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autoSpaceDE w:val="0"/>
        <w:autoSpaceDN w:val="0"/>
        <w:adjustRightInd w:val="0"/>
        <w:spacing w:line="720" w:lineRule="auto"/>
        <w:jc w:val="both"/>
        <w:textAlignment w:val="baseline"/>
        <w:rPr>
          <w:rFonts w:hint="eastAsia" w:ascii="Times New Roman" w:hAnsi="Times New Roman" w:eastAsia="黑体"/>
          <w:b/>
          <w:bCs/>
          <w:kern w:val="0"/>
          <w:sz w:val="48"/>
          <w:szCs w:val="48"/>
          <w:lang w:bidi="en-US"/>
        </w:rPr>
      </w:pPr>
      <w:bookmarkStart w:id="126" w:name="_GoBack"/>
      <w:bookmarkEnd w:id="126"/>
    </w:p>
    <w:p>
      <w:pPr>
        <w:widowControl/>
        <w:overflowPunct w:val="0"/>
        <w:autoSpaceDE w:val="0"/>
        <w:autoSpaceDN w:val="0"/>
        <w:adjustRightInd w:val="0"/>
        <w:spacing w:line="720" w:lineRule="auto"/>
        <w:jc w:val="center"/>
        <w:textAlignment w:val="baseline"/>
        <w:rPr>
          <w:rFonts w:hint="eastAsia" w:ascii="Times New Roman" w:hAnsi="Times New Roman" w:eastAsia="黑体"/>
          <w:b/>
          <w:bCs/>
          <w:kern w:val="0"/>
          <w:sz w:val="48"/>
          <w:szCs w:val="48"/>
          <w:lang w:bidi="en-US"/>
        </w:rPr>
      </w:pPr>
    </w:p>
    <w:p>
      <w:pPr>
        <w:widowControl/>
        <w:overflowPunct w:val="0"/>
        <w:autoSpaceDE w:val="0"/>
        <w:autoSpaceDN w:val="0"/>
        <w:adjustRightInd w:val="0"/>
        <w:spacing w:line="720" w:lineRule="auto"/>
        <w:jc w:val="center"/>
        <w:textAlignment w:val="baseline"/>
        <w:rPr>
          <w:rFonts w:hint="eastAsia" w:ascii="Times New Roman" w:hAnsi="Times New Roman" w:eastAsia="黑体"/>
          <w:b/>
          <w:bCs/>
          <w:kern w:val="0"/>
          <w:sz w:val="48"/>
          <w:szCs w:val="48"/>
          <w:lang w:bidi="en-US"/>
        </w:rPr>
      </w:pPr>
    </w:p>
    <w:p>
      <w:pPr>
        <w:snapToGrid/>
        <w:spacing w:before="0" w:beforeAutospacing="0" w:after="0" w:afterAutospacing="0" w:line="240" w:lineRule="auto"/>
        <w:ind w:firstLine="0" w:firstLineChars="0"/>
        <w:jc w:val="center"/>
        <w:textAlignment w:val="baseline"/>
        <w:rPr>
          <w:rStyle w:val="23"/>
          <w:rFonts w:hint="eastAsia" w:ascii="Times New Roman" w:hAnsi="Times New Roman" w:eastAsia="黑体" w:cstheme="minorBidi"/>
          <w:b/>
          <w:i w:val="0"/>
          <w:caps w:val="0"/>
          <w:spacing w:val="0"/>
          <w:w w:val="100"/>
          <w:kern w:val="0"/>
          <w:sz w:val="52"/>
          <w:szCs w:val="52"/>
          <w:lang w:val="en-US" w:eastAsia="zh-CN" w:bidi="ar-SA"/>
        </w:rPr>
      </w:pPr>
      <w:r>
        <w:rPr>
          <w:rStyle w:val="23"/>
          <w:rFonts w:hint="eastAsia" w:ascii="Times New Roman" w:hAnsi="Times New Roman" w:eastAsia="黑体" w:cstheme="minorBidi"/>
          <w:b/>
          <w:i w:val="0"/>
          <w:caps w:val="0"/>
          <w:spacing w:val="0"/>
          <w:w w:val="100"/>
          <w:kern w:val="0"/>
          <w:sz w:val="52"/>
          <w:szCs w:val="52"/>
          <w:lang w:val="en-US" w:eastAsia="zh-CN" w:bidi="ar-SA"/>
        </w:rPr>
        <w:t>吐鲁番市2021年度重点项目</w:t>
      </w:r>
    </w:p>
    <w:p>
      <w:pPr>
        <w:snapToGrid/>
        <w:spacing w:before="0" w:beforeAutospacing="0" w:after="0" w:afterAutospacing="0" w:line="240" w:lineRule="auto"/>
        <w:ind w:firstLine="0" w:firstLineChars="0"/>
        <w:jc w:val="center"/>
        <w:textAlignment w:val="baseline"/>
        <w:rPr>
          <w:rStyle w:val="23"/>
          <w:rFonts w:hint="eastAsia" w:ascii="Times New Roman" w:hAnsi="Times New Roman" w:eastAsia="黑体" w:cstheme="minorBidi"/>
          <w:b/>
          <w:i w:val="0"/>
          <w:caps w:val="0"/>
          <w:spacing w:val="0"/>
          <w:w w:val="100"/>
          <w:kern w:val="0"/>
          <w:sz w:val="52"/>
          <w:szCs w:val="52"/>
          <w:lang w:val="en-US" w:eastAsia="zh-CN" w:bidi="ar-SA"/>
        </w:rPr>
      </w:pPr>
      <w:r>
        <w:rPr>
          <w:rStyle w:val="23"/>
          <w:rFonts w:hint="eastAsia" w:ascii="Times New Roman" w:hAnsi="Times New Roman" w:eastAsia="黑体" w:cstheme="minorBidi"/>
          <w:b/>
          <w:i w:val="0"/>
          <w:caps w:val="0"/>
          <w:spacing w:val="0"/>
          <w:w w:val="100"/>
          <w:kern w:val="0"/>
          <w:sz w:val="52"/>
          <w:szCs w:val="52"/>
          <w:lang w:val="en-US" w:eastAsia="zh-CN" w:bidi="ar-SA"/>
        </w:rPr>
        <w:t>预算绩效评价报告</w:t>
      </w:r>
    </w:p>
    <w:p>
      <w:pPr>
        <w:widowControl/>
        <w:overflowPunct w:val="0"/>
        <w:autoSpaceDE w:val="0"/>
        <w:autoSpaceDN w:val="0"/>
        <w:adjustRightInd w:val="0"/>
        <w:jc w:val="center"/>
        <w:textAlignment w:val="baseline"/>
        <w:rPr>
          <w:rFonts w:ascii="Times New Roman" w:hAnsi="Times New Roman" w:eastAsia="黑体"/>
          <w:kern w:val="0"/>
          <w:sz w:val="30"/>
          <w:szCs w:val="30"/>
        </w:rPr>
      </w:pPr>
    </w:p>
    <w:p>
      <w:pPr>
        <w:widowControl/>
        <w:overflowPunct w:val="0"/>
        <w:autoSpaceDE w:val="0"/>
        <w:autoSpaceDN w:val="0"/>
        <w:adjustRightInd w:val="0"/>
        <w:jc w:val="center"/>
        <w:textAlignment w:val="baseline"/>
        <w:rPr>
          <w:rFonts w:ascii="Times New Roman" w:hAnsi="Times New Roman" w:eastAsia="黑体"/>
          <w:kern w:val="0"/>
          <w:sz w:val="30"/>
          <w:szCs w:val="30"/>
        </w:rPr>
      </w:pPr>
    </w:p>
    <w:p>
      <w:pPr>
        <w:widowControl/>
        <w:overflowPunct w:val="0"/>
        <w:autoSpaceDE w:val="0"/>
        <w:autoSpaceDN w:val="0"/>
        <w:adjustRightInd w:val="0"/>
        <w:jc w:val="center"/>
        <w:textAlignment w:val="baseline"/>
        <w:rPr>
          <w:rFonts w:ascii="Times New Roman" w:hAnsi="Times New Roman" w:eastAsia="黑体"/>
          <w:kern w:val="0"/>
          <w:sz w:val="30"/>
          <w:szCs w:val="30"/>
        </w:rPr>
      </w:pPr>
    </w:p>
    <w:p>
      <w:pPr>
        <w:widowControl/>
        <w:overflowPunct w:val="0"/>
        <w:autoSpaceDE w:val="0"/>
        <w:autoSpaceDN w:val="0"/>
        <w:adjustRightInd w:val="0"/>
        <w:jc w:val="center"/>
        <w:textAlignment w:val="baseline"/>
        <w:rPr>
          <w:rFonts w:ascii="Times New Roman" w:hAnsi="Times New Roman" w:eastAsia="黑体"/>
          <w:kern w:val="0"/>
          <w:sz w:val="30"/>
          <w:szCs w:val="30"/>
        </w:rPr>
      </w:pPr>
    </w:p>
    <w:p>
      <w:pPr>
        <w:widowControl/>
        <w:overflowPunct w:val="0"/>
        <w:autoSpaceDE w:val="0"/>
        <w:autoSpaceDN w:val="0"/>
        <w:adjustRightInd w:val="0"/>
        <w:jc w:val="center"/>
        <w:textAlignment w:val="baseline"/>
        <w:rPr>
          <w:rFonts w:ascii="Times New Roman" w:hAnsi="Times New Roman" w:eastAsia="黑体"/>
          <w:kern w:val="0"/>
          <w:sz w:val="30"/>
          <w:szCs w:val="30"/>
        </w:rPr>
      </w:pPr>
    </w:p>
    <w:p>
      <w:pPr>
        <w:widowControl/>
        <w:overflowPunct w:val="0"/>
        <w:autoSpaceDE w:val="0"/>
        <w:autoSpaceDN w:val="0"/>
        <w:adjustRightInd w:val="0"/>
        <w:jc w:val="both"/>
        <w:textAlignment w:val="baseline"/>
        <w:rPr>
          <w:rFonts w:ascii="Times New Roman" w:hAnsi="Times New Roman" w:eastAsia="黑体"/>
          <w:kern w:val="0"/>
          <w:sz w:val="30"/>
          <w:szCs w:val="30"/>
        </w:rPr>
      </w:pPr>
    </w:p>
    <w:p>
      <w:pPr>
        <w:pageBreakBefore w:val="0"/>
        <w:widowControl/>
        <w:kinsoku/>
        <w:wordWrap/>
        <w:overflowPunct/>
        <w:topLinePunct w:val="0"/>
        <w:autoSpaceDE/>
        <w:autoSpaceDN/>
        <w:bidi w:val="0"/>
        <w:adjustRightInd/>
        <w:snapToGrid/>
        <w:spacing w:before="120" w:beforeAutospacing="0" w:after="120" w:afterAutospacing="0" w:line="560" w:lineRule="exact"/>
        <w:ind w:left="2880" w:leftChars="400" w:hanging="1600" w:hangingChars="500"/>
        <w:jc w:val="left"/>
        <w:textAlignment w:val="baseline"/>
        <w:rPr>
          <w:rStyle w:val="23"/>
          <w:rFonts w:hint="default" w:ascii="Times New Roman" w:hAnsi="Times New Roman" w:eastAsia="黑体" w:cstheme="minorBidi"/>
          <w:b w:val="0"/>
          <w:i w:val="0"/>
          <w:caps w:val="0"/>
          <w:spacing w:val="0"/>
          <w:w w:val="100"/>
          <w:kern w:val="0"/>
          <w:sz w:val="32"/>
          <w:szCs w:val="32"/>
          <w:lang w:val="en-US" w:eastAsia="zh-CN" w:bidi="en-US"/>
        </w:rPr>
      </w:pPr>
      <w:r>
        <w:rPr>
          <w:rStyle w:val="23"/>
          <w:rFonts w:ascii="Times New Roman" w:hAnsi="Times New Roman" w:eastAsia="黑体" w:cstheme="minorBidi"/>
          <w:b w:val="0"/>
          <w:i w:val="0"/>
          <w:caps w:val="0"/>
          <w:spacing w:val="0"/>
          <w:w w:val="100"/>
          <w:kern w:val="0"/>
          <w:sz w:val="32"/>
          <w:szCs w:val="32"/>
          <w:lang w:val="en-US" w:eastAsia="zh-CN" w:bidi="en-US"/>
        </w:rPr>
        <w:t>项目名称：</w:t>
      </w:r>
      <w:r>
        <w:rPr>
          <w:rStyle w:val="23"/>
          <w:rFonts w:hint="eastAsia" w:ascii="Times New Roman" w:hAnsi="Times New Roman" w:eastAsia="黑体" w:cstheme="minorBidi"/>
          <w:b w:val="0"/>
          <w:i w:val="0"/>
          <w:caps w:val="0"/>
          <w:spacing w:val="0"/>
          <w:w w:val="100"/>
          <w:kern w:val="0"/>
          <w:sz w:val="32"/>
          <w:szCs w:val="32"/>
          <w:lang w:val="en-US" w:eastAsia="zh-CN" w:bidi="en-US"/>
        </w:rPr>
        <w:t>吐鲁番市权限内二类非金属矿产资源调查（高昌区Ⅳ区、Ⅵ区）项目</w:t>
      </w:r>
    </w:p>
    <w:p>
      <w:pPr>
        <w:pageBreakBefore w:val="0"/>
        <w:widowControl/>
        <w:kinsoku/>
        <w:wordWrap/>
        <w:overflowPunct/>
        <w:topLinePunct w:val="0"/>
        <w:autoSpaceDE/>
        <w:autoSpaceDN/>
        <w:bidi w:val="0"/>
        <w:adjustRightInd/>
        <w:snapToGrid/>
        <w:spacing w:before="120" w:beforeAutospacing="0" w:after="120" w:afterAutospacing="0" w:line="560" w:lineRule="exact"/>
        <w:ind w:firstLine="1280" w:firstLineChars="400"/>
        <w:jc w:val="left"/>
        <w:textAlignment w:val="baseline"/>
        <w:rPr>
          <w:rStyle w:val="23"/>
          <w:rFonts w:ascii="Times New Roman" w:hAnsi="Times New Roman" w:eastAsia="黑体" w:cstheme="minorBidi"/>
          <w:b w:val="0"/>
          <w:i w:val="0"/>
          <w:caps w:val="0"/>
          <w:spacing w:val="0"/>
          <w:w w:val="100"/>
          <w:kern w:val="0"/>
          <w:sz w:val="32"/>
          <w:szCs w:val="32"/>
          <w:lang w:val="en-US" w:eastAsia="zh-CN" w:bidi="en-US"/>
        </w:rPr>
      </w:pPr>
      <w:r>
        <w:rPr>
          <w:rStyle w:val="23"/>
          <w:rFonts w:hint="eastAsia" w:ascii="Times New Roman" w:hAnsi="Times New Roman" w:eastAsia="黑体" w:cstheme="minorBidi"/>
          <w:b w:val="0"/>
          <w:i w:val="0"/>
          <w:caps w:val="0"/>
          <w:spacing w:val="0"/>
          <w:w w:val="100"/>
          <w:kern w:val="0"/>
          <w:sz w:val="32"/>
          <w:szCs w:val="32"/>
          <w:lang w:val="en-US" w:eastAsia="zh-CN" w:bidi="en-US"/>
        </w:rPr>
        <w:t>项目单位：吐鲁番市自然资源局</w:t>
      </w:r>
    </w:p>
    <w:p>
      <w:pPr>
        <w:pageBreakBefore w:val="0"/>
        <w:widowControl/>
        <w:kinsoku/>
        <w:wordWrap/>
        <w:overflowPunct/>
        <w:topLinePunct w:val="0"/>
        <w:autoSpaceDE/>
        <w:autoSpaceDN/>
        <w:bidi w:val="0"/>
        <w:adjustRightInd/>
        <w:snapToGrid/>
        <w:spacing w:before="120" w:beforeAutospacing="0" w:after="120" w:afterAutospacing="0" w:line="560" w:lineRule="exact"/>
        <w:ind w:firstLine="1280" w:firstLineChars="400"/>
        <w:jc w:val="left"/>
        <w:textAlignment w:val="baseline"/>
        <w:rPr>
          <w:rStyle w:val="23"/>
          <w:rFonts w:hint="eastAsia" w:ascii="Times New Roman" w:hAnsi="Times New Roman" w:eastAsia="黑体" w:cstheme="minorBidi"/>
          <w:b w:val="0"/>
          <w:i w:val="0"/>
          <w:caps w:val="0"/>
          <w:spacing w:val="0"/>
          <w:w w:val="100"/>
          <w:kern w:val="0"/>
          <w:sz w:val="32"/>
          <w:szCs w:val="32"/>
          <w:lang w:val="en-US" w:eastAsia="zh-CN" w:bidi="en-US"/>
        </w:rPr>
      </w:pPr>
      <w:r>
        <w:rPr>
          <w:rStyle w:val="23"/>
          <w:rFonts w:hint="eastAsia" w:ascii="Times New Roman" w:hAnsi="Times New Roman" w:eastAsia="黑体" w:cstheme="minorBidi"/>
          <w:b w:val="0"/>
          <w:i w:val="0"/>
          <w:caps w:val="0"/>
          <w:spacing w:val="0"/>
          <w:w w:val="100"/>
          <w:kern w:val="0"/>
          <w:sz w:val="32"/>
          <w:szCs w:val="32"/>
          <w:lang w:val="en-US" w:eastAsia="zh-CN" w:bidi="en-US"/>
        </w:rPr>
        <w:t>主管部门：吐鲁番市自然资源局</w:t>
      </w:r>
    </w:p>
    <w:p>
      <w:pPr>
        <w:pageBreakBefore w:val="0"/>
        <w:widowControl/>
        <w:kinsoku/>
        <w:wordWrap/>
        <w:overflowPunct/>
        <w:topLinePunct w:val="0"/>
        <w:autoSpaceDE/>
        <w:autoSpaceDN/>
        <w:bidi w:val="0"/>
        <w:adjustRightInd/>
        <w:snapToGrid/>
        <w:spacing w:before="120" w:beforeAutospacing="0" w:after="120" w:afterAutospacing="0" w:line="560" w:lineRule="exact"/>
        <w:ind w:firstLine="1280" w:firstLineChars="400"/>
        <w:jc w:val="left"/>
        <w:textAlignment w:val="baseline"/>
        <w:rPr>
          <w:rStyle w:val="23"/>
          <w:rFonts w:hint="default" w:ascii="Times New Roman" w:hAnsi="Times New Roman" w:eastAsia="黑体" w:cstheme="minorBidi"/>
          <w:b w:val="0"/>
          <w:i w:val="0"/>
          <w:caps w:val="0"/>
          <w:spacing w:val="0"/>
          <w:w w:val="100"/>
          <w:kern w:val="0"/>
          <w:sz w:val="32"/>
          <w:szCs w:val="32"/>
          <w:lang w:val="en-US" w:eastAsia="zh-CN" w:bidi="en-US"/>
        </w:rPr>
      </w:pPr>
      <w:r>
        <w:rPr>
          <w:rStyle w:val="23"/>
          <w:rFonts w:hint="eastAsia" w:ascii="Times New Roman" w:hAnsi="Times New Roman" w:eastAsia="黑体" w:cstheme="minorBidi"/>
          <w:b w:val="0"/>
          <w:i w:val="0"/>
          <w:caps w:val="0"/>
          <w:spacing w:val="0"/>
          <w:w w:val="100"/>
          <w:kern w:val="0"/>
          <w:sz w:val="32"/>
          <w:szCs w:val="32"/>
          <w:lang w:val="en-US" w:eastAsia="zh-CN" w:bidi="en-US"/>
        </w:rPr>
        <w:t>委托单位：新疆维吾尔自治区财政厅</w:t>
      </w:r>
    </w:p>
    <w:p>
      <w:pPr>
        <w:pageBreakBefore w:val="0"/>
        <w:widowControl/>
        <w:kinsoku/>
        <w:wordWrap/>
        <w:overflowPunct/>
        <w:topLinePunct w:val="0"/>
        <w:autoSpaceDE/>
        <w:autoSpaceDN/>
        <w:bidi w:val="0"/>
        <w:adjustRightInd/>
        <w:snapToGrid/>
        <w:spacing w:before="120" w:beforeAutospacing="0" w:after="120" w:afterAutospacing="0" w:line="560" w:lineRule="exact"/>
        <w:ind w:firstLine="1280" w:firstLineChars="400"/>
        <w:jc w:val="left"/>
        <w:textAlignment w:val="baseline"/>
        <w:rPr>
          <w:rStyle w:val="23"/>
          <w:rFonts w:ascii="Times New Roman" w:hAnsi="Times New Roman" w:eastAsia="黑体" w:cstheme="minorBidi"/>
          <w:b w:val="0"/>
          <w:i w:val="0"/>
          <w:caps w:val="0"/>
          <w:spacing w:val="0"/>
          <w:w w:val="100"/>
          <w:kern w:val="0"/>
          <w:sz w:val="32"/>
          <w:szCs w:val="32"/>
          <w:lang w:val="en-US" w:eastAsia="zh-CN" w:bidi="en-US"/>
        </w:rPr>
      </w:pPr>
      <w:r>
        <w:rPr>
          <w:rStyle w:val="23"/>
          <w:rFonts w:ascii="Times New Roman" w:hAnsi="Times New Roman" w:eastAsia="黑体" w:cstheme="minorBidi"/>
          <w:b w:val="0"/>
          <w:i w:val="0"/>
          <w:caps w:val="0"/>
          <w:spacing w:val="0"/>
          <w:w w:val="100"/>
          <w:kern w:val="0"/>
          <w:sz w:val="32"/>
          <w:szCs w:val="32"/>
          <w:lang w:val="en-US" w:eastAsia="zh-CN" w:bidi="en-US"/>
        </w:rPr>
        <w:t>评价机构：新疆财讯睿智信息咨询有限公司</w:t>
      </w:r>
    </w:p>
    <w:p>
      <w:pPr>
        <w:pageBreakBefore w:val="0"/>
        <w:widowControl/>
        <w:kinsoku/>
        <w:wordWrap/>
        <w:overflowPunct/>
        <w:topLinePunct w:val="0"/>
        <w:autoSpaceDE/>
        <w:autoSpaceDN/>
        <w:bidi w:val="0"/>
        <w:adjustRightInd/>
        <w:snapToGrid/>
        <w:spacing w:before="120" w:beforeAutospacing="0" w:after="120" w:afterAutospacing="0" w:line="560" w:lineRule="exact"/>
        <w:ind w:firstLine="0" w:firstLineChars="0"/>
        <w:jc w:val="center"/>
        <w:textAlignment w:val="baseline"/>
        <w:rPr>
          <w:rStyle w:val="23"/>
          <w:rFonts w:hint="eastAsia" w:ascii="黑体" w:hAnsi="黑体" w:eastAsia="黑体" w:cs="黑体"/>
          <w:b w:val="0"/>
          <w:i w:val="0"/>
          <w:caps w:val="0"/>
          <w:spacing w:val="0"/>
          <w:w w:val="100"/>
          <w:kern w:val="0"/>
          <w:sz w:val="32"/>
          <w:szCs w:val="32"/>
          <w:lang w:val="en-US" w:eastAsia="zh-CN" w:bidi="en-US"/>
        </w:rPr>
      </w:pPr>
      <w:r>
        <w:rPr>
          <w:rStyle w:val="23"/>
          <w:rFonts w:hint="eastAsia" w:ascii="黑体" w:hAnsi="黑体" w:eastAsia="黑体" w:cs="黑体"/>
          <w:b w:val="0"/>
          <w:i w:val="0"/>
          <w:caps w:val="0"/>
          <w:spacing w:val="0"/>
          <w:w w:val="100"/>
          <w:kern w:val="0"/>
          <w:sz w:val="32"/>
          <w:szCs w:val="32"/>
          <w:lang w:val="en-US" w:eastAsia="zh-CN" w:bidi="en-US"/>
        </w:rPr>
        <w:t>2022年8月</w:t>
      </w:r>
    </w:p>
    <w:p>
      <w:pPr>
        <w:spacing w:line="600" w:lineRule="exact"/>
        <w:jc w:val="center"/>
        <w:outlineLvl w:val="0"/>
        <w:rPr>
          <w:rStyle w:val="23"/>
          <w:rFonts w:hint="eastAsia" w:ascii="Times New Roman" w:hAnsi="Times New Roman" w:eastAsia="黑体"/>
          <w:b/>
          <w:kern w:val="0"/>
          <w:sz w:val="36"/>
          <w:szCs w:val="36"/>
        </w:rPr>
        <w:sectPr>
          <w:pgSz w:w="11906" w:h="16838"/>
          <w:pgMar w:top="1440" w:right="1800" w:bottom="1440" w:left="1800" w:header="851" w:footer="992" w:gutter="0"/>
          <w:pgNumType w:start="1"/>
          <w:cols w:space="425" w:num="1"/>
          <w:docGrid w:type="lines" w:linePitch="312" w:charSpace="0"/>
        </w:sectPr>
      </w:pPr>
      <w:bookmarkStart w:id="0" w:name="_Toc111984454"/>
    </w:p>
    <w:p>
      <w:pPr>
        <w:spacing w:line="600" w:lineRule="exact"/>
        <w:ind w:left="0" w:leftChars="0" w:firstLine="0" w:firstLineChars="0"/>
        <w:jc w:val="center"/>
        <w:outlineLvl w:val="0"/>
        <w:rPr>
          <w:rStyle w:val="23"/>
          <w:rFonts w:hint="eastAsia" w:ascii="Times New Roman" w:hAnsi="Times New Roman" w:eastAsia="黑体"/>
          <w:b/>
          <w:kern w:val="0"/>
          <w:sz w:val="36"/>
          <w:szCs w:val="36"/>
        </w:rPr>
      </w:pPr>
      <w:r>
        <w:rPr>
          <w:rStyle w:val="23"/>
          <w:rFonts w:hint="eastAsia" w:ascii="Times New Roman" w:hAnsi="Times New Roman" w:eastAsia="黑体"/>
          <w:b/>
          <w:kern w:val="0"/>
          <w:sz w:val="36"/>
          <w:szCs w:val="36"/>
        </w:rPr>
        <w:t>摘</w:t>
      </w:r>
      <w:r>
        <w:rPr>
          <w:rStyle w:val="23"/>
          <w:rFonts w:hint="eastAsia" w:ascii="Times New Roman" w:hAnsi="Times New Roman" w:eastAsia="黑体"/>
          <w:b/>
          <w:kern w:val="0"/>
          <w:sz w:val="36"/>
          <w:szCs w:val="36"/>
          <w:lang w:val="en-US"/>
        </w:rPr>
        <w:t xml:space="preserve">  </w:t>
      </w:r>
      <w:r>
        <w:rPr>
          <w:rStyle w:val="23"/>
          <w:rFonts w:hint="eastAsia" w:ascii="Times New Roman" w:hAnsi="Times New Roman" w:eastAsia="黑体"/>
          <w:b/>
          <w:kern w:val="0"/>
          <w:sz w:val="36"/>
          <w:szCs w:val="36"/>
        </w:rPr>
        <w:t>要</w:t>
      </w:r>
      <w:bookmarkEnd w:id="0"/>
    </w:p>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r>
        <w:rPr>
          <w:rStyle w:val="23"/>
          <w:rFonts w:hint="eastAsia" w:ascii="黑体" w:hAnsi="黑体" w:eastAsia="黑体" w:cs="Times New Roman"/>
          <w:lang w:val="en-US" w:eastAsia="zh-CN"/>
        </w:rPr>
        <w:t>一、项目概述</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（一）项目概况</w:t>
      </w:r>
    </w:p>
    <w:p>
      <w:pPr>
        <w:bidi w:val="0"/>
        <w:spacing w:line="560" w:lineRule="exact"/>
        <w:ind w:firstLine="640"/>
        <w:rPr>
          <w:rFonts w:hint="eastAsia" w:ascii="Times New Roman" w:hAnsi="Times New Roman"/>
          <w:color w:val="000000"/>
          <w:kern w:val="0"/>
          <w:szCs w:val="32"/>
          <w:lang w:val="en-US" w:eastAsia="zh-CN" w:bidi="ar"/>
        </w:rPr>
      </w:pPr>
      <w:r>
        <w:rPr>
          <w:rFonts w:hint="eastAsia" w:ascii="Times New Roman" w:hAnsi="Times New Roman"/>
          <w:color w:val="000000"/>
          <w:kern w:val="0"/>
          <w:szCs w:val="32"/>
          <w:lang w:val="en-US" w:eastAsia="zh-CN" w:bidi="ar"/>
        </w:rPr>
        <w:t>吐鲁番市行政区域位于著名的东天山成矿带，成矿条件优越，已探明资源储量大，矿产种类齐全，资源优势明显。目前已形成以金、铁、铜、盐和花岗岩、大理岩、石灰岩等优势矿产资源开采和深加工为主的工业产业集群，在矿业市场活跃时期，财政收入大部分来源于矿产资源勘查开发所作出的贡献。随着吐鲁番市生态红线的划定，辖区禁止功能区内的矿山陆续关闭退出，吐鲁番市多年形成的矿产品深加工产业面临原料供应紧张或无原料供应的局面。</w:t>
      </w:r>
      <w:r>
        <w:rPr>
          <w:rFonts w:hint="eastAsia" w:ascii="Times New Roman" w:hAnsi="Times New Roman" w:cs="Times New Roman"/>
          <w:b w:val="0"/>
          <w:bCs w:val="0"/>
          <w:i w:val="0"/>
          <w:caps w:val="0"/>
          <w:color w:val="000000"/>
          <w:spacing w:val="0"/>
          <w:w w:val="100"/>
          <w:kern w:val="0"/>
          <w:sz w:val="32"/>
          <w:szCs w:val="32"/>
          <w:lang w:val="en-US" w:eastAsia="zh-CN" w:bidi="ar"/>
        </w:rPr>
        <w:t>2021年吐鲁番市安排</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吐鲁番市权限内二类非金属矿产资源调查项目（高昌区Ⅳ区、Ⅵ区）</w:t>
      </w:r>
      <w:r>
        <w:rPr>
          <w:rFonts w:hint="eastAsia" w:ascii="Times New Roman" w:hAnsi="Times New Roman" w:cs="Times New Roman"/>
          <w:b w:val="0"/>
          <w:bCs w:val="0"/>
          <w:i w:val="0"/>
          <w:caps w:val="0"/>
          <w:color w:val="000000"/>
          <w:spacing w:val="0"/>
          <w:w w:val="100"/>
          <w:kern w:val="0"/>
          <w:sz w:val="32"/>
          <w:szCs w:val="32"/>
          <w:lang w:val="en-US" w:eastAsia="zh-CN" w:bidi="ar"/>
        </w:rPr>
        <w:t>资金471.56万元。</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（二）项目实施情况</w:t>
      </w:r>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rPr>
        <w:t>1.项目内容及规模</w:t>
      </w:r>
    </w:p>
    <w:p>
      <w:pPr>
        <w:bidi w:val="0"/>
        <w:spacing w:line="560" w:lineRule="exact"/>
        <w:rPr>
          <w:rFonts w:hint="eastAsia"/>
          <w:lang w:val="en-US" w:eastAsia="zh-CN"/>
        </w:rPr>
      </w:pPr>
      <w:r>
        <w:rPr>
          <w:rFonts w:hint="eastAsia"/>
          <w:lang w:val="en-US" w:eastAsia="zh-CN"/>
        </w:rPr>
        <w:t>为满足吐鲁番市现有产业对原材料的需求，保障地方经济可持续发展有后续接替资源，培育财政新的经济增长点，吐鲁番市自然资源局党组认真研究国家、自治区矿业权出让制度改革文件，与长期在吐鲁番市开展地质矿产勘查工作的国有地勘单位进行沟通联系，筛选了一批找矿前景好、矿体有出露、不在生态红线范围等禁止功能区且企业有需求的大理岩调查工作靶区，并按照吐鲁番市政府批示，利用市级财政资金开展吐鲁番市权限内二类非金属矿产资源调查项目（高昌区Ⅳ区、Ⅵ区），对筛选的工作靶区开展</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w:t>
      </w:r>
      <w:r>
        <w:rPr>
          <w:rFonts w:hint="eastAsia"/>
          <w:lang w:val="en-US" w:eastAsia="zh-CN"/>
        </w:rPr>
        <w:t>个矿产资源调查（非金属矿）。</w:t>
      </w:r>
    </w:p>
    <w:p>
      <w:pPr>
        <w:bidi w:val="0"/>
        <w:spacing w:line="540" w:lineRule="exact"/>
        <w:ind w:firstLine="643" w:firstLineChars="200"/>
        <w:rPr>
          <w:rStyle w:val="23"/>
          <w:rFonts w:hint="eastAsia" w:ascii="仿宋_GB2312" w:hAnsi="Times New Roman" w:eastAsia="仿宋_GB2312"/>
          <w:b/>
          <w:kern w:val="0"/>
          <w:sz w:val="32"/>
          <w:szCs w:val="32"/>
        </w:rPr>
      </w:pPr>
      <w:r>
        <w:rPr>
          <w:rStyle w:val="23"/>
          <w:rFonts w:hint="eastAsia" w:ascii="仿宋_GB2312" w:hAnsi="Times New Roman" w:eastAsia="仿宋_GB2312"/>
          <w:b/>
          <w:kern w:val="0"/>
          <w:sz w:val="32"/>
          <w:szCs w:val="32"/>
        </w:rPr>
        <w:t>2．评价时段</w:t>
      </w:r>
    </w:p>
    <w:p>
      <w:pPr>
        <w:bidi w:val="0"/>
        <w:spacing w:line="560" w:lineRule="exact"/>
        <w:rPr>
          <w:rFonts w:hint="eastAsia"/>
          <w:lang w:val="en-US" w:eastAsia="zh-CN"/>
        </w:rPr>
      </w:pPr>
      <w:r>
        <w:rPr>
          <w:rFonts w:hint="eastAsia"/>
          <w:lang w:val="en-US" w:eastAsia="zh-CN"/>
        </w:rPr>
        <w:t>本次专项资金的评价时段为：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w:t>
      </w:r>
      <w:r>
        <w:rPr>
          <w:rFonts w:hint="eastAsia"/>
          <w:lang w:val="en-US" w:eastAsia="zh-CN"/>
        </w:rPr>
        <w:t>日</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12</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31</w:t>
      </w:r>
      <w:r>
        <w:rPr>
          <w:rFonts w:hint="eastAsia"/>
          <w:lang w:val="en-US" w:eastAsia="zh-CN"/>
        </w:rPr>
        <w:t>日。</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（三）绩效目标</w:t>
      </w:r>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lang w:val="en-US" w:eastAsia="zh-CN"/>
        </w:rPr>
        <w:t>1.总目标</w:t>
      </w:r>
    </w:p>
    <w:p>
      <w:pPr>
        <w:bidi w:val="0"/>
        <w:spacing w:line="560" w:lineRule="exact"/>
        <w:rPr>
          <w:rFonts w:hint="eastAsia"/>
          <w:lang w:val="en-US" w:eastAsia="zh-CN"/>
        </w:rPr>
      </w:pPr>
      <w:r>
        <w:rPr>
          <w:rFonts w:hint="eastAsia"/>
          <w:lang w:val="en-US" w:eastAsia="zh-CN"/>
        </w:rPr>
        <w:t>筛选一批找矿前景好、矿体有出露、不在生态红线范围等禁止功能区且企业有需求的大理岩等非金属矿调查工作靶区进行矿产资源调查，为吐鲁番市社会经济持续发展提供资源保障。</w:t>
      </w:r>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lang w:val="en-US" w:eastAsia="zh-CN"/>
        </w:rPr>
        <w:t>2.年度绩效目标</w:t>
      </w:r>
    </w:p>
    <w:p>
      <w:pPr>
        <w:bidi w:val="0"/>
        <w:spacing w:line="560" w:lineRule="exact"/>
        <w:rPr>
          <w:rFonts w:hint="eastAsia"/>
          <w:lang w:val="en-US" w:eastAsia="zh-CN"/>
        </w:rPr>
      </w:pPr>
      <w:r>
        <w:rPr>
          <w:rFonts w:hint="eastAsia"/>
          <w:lang w:val="en-US" w:eastAsia="zh-CN"/>
        </w:rPr>
        <w:t>根据《吐鲁番市权限内二类非金属矿产资源调查项目（高昌区Ⅳ区、Ⅵ区）绩效目标申报表》，本专项资金</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年度绩效目标如下：</w:t>
      </w:r>
    </w:p>
    <w:p>
      <w:pPr>
        <w:keepNext w:val="0"/>
        <w:keepLines w:val="0"/>
        <w:widowControl/>
        <w:suppressLineNumbers w:val="0"/>
        <w:spacing w:line="560" w:lineRule="exact"/>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表1-1 项目年度绩效目标</w:t>
      </w:r>
    </w:p>
    <w:tbl>
      <w:tblPr>
        <w:tblStyle w:val="17"/>
        <w:tblpPr w:leftFromText="180" w:rightFromText="180" w:vertAnchor="text" w:horzAnchor="page" w:tblpX="1382" w:tblpY="283"/>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728"/>
        <w:gridCol w:w="349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36"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一级指标</w:t>
            </w:r>
          </w:p>
        </w:tc>
        <w:tc>
          <w:tcPr>
            <w:tcW w:w="1728"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二级指标</w:t>
            </w:r>
          </w:p>
        </w:tc>
        <w:tc>
          <w:tcPr>
            <w:tcW w:w="3495"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三级指标</w:t>
            </w:r>
          </w:p>
        </w:tc>
        <w:tc>
          <w:tcPr>
            <w:tcW w:w="2625"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restart"/>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产出指标</w:t>
            </w:r>
          </w:p>
        </w:tc>
        <w:tc>
          <w:tcPr>
            <w:tcW w:w="1728" w:type="dxa"/>
            <w:vMerge w:val="restart"/>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数量指标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对筛选的工作靶区开展矿产资源调查工作</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Merge w:val="continue"/>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委托实施单位提交调查项目成果报告</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质量指标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按照项目任务书，提交项目设计书</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时效指标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调查项目成果报告按期完成率</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成本指标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预算控制数</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≤471.56万元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36" w:type="dxa"/>
            <w:vMerge w:val="restart"/>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效益指标</w:t>
            </w:r>
          </w:p>
        </w:tc>
        <w:tc>
          <w:tcPr>
            <w:tcW w:w="1728" w:type="dxa"/>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社会效益指标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拓宽吐鲁番市矿产资源的发展空间</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生态效益指标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坚持资源开发可持续与生态保护可持续，积极倡导绿色发展理念</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6"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满意度指标</w:t>
            </w: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满意度指标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调查成果使用者满意度</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≥90%</w:t>
            </w:r>
          </w:p>
        </w:tc>
      </w:tr>
    </w:tbl>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r>
        <w:rPr>
          <w:rStyle w:val="23"/>
          <w:rFonts w:hint="eastAsia" w:ascii="黑体" w:hAnsi="黑体" w:eastAsia="黑体" w:cs="Times New Roman"/>
          <w:lang w:val="en-US" w:eastAsia="zh-CN"/>
        </w:rPr>
        <w:t>二、绩效评价情况</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（一）评价结论</w:t>
      </w:r>
    </w:p>
    <w:p>
      <w:pPr>
        <w:spacing w:line="560" w:lineRule="exact"/>
        <w:rPr>
          <w:rFonts w:hint="eastAsia"/>
          <w:b/>
          <w:bCs/>
          <w:lang w:val="en-US" w:eastAsia="zh-CN"/>
        </w:rPr>
      </w:pPr>
      <w:r>
        <w:rPr>
          <w:rFonts w:hint="eastAsia"/>
          <w:lang w:val="en-US" w:eastAsia="zh-CN"/>
        </w:rPr>
        <w:t>运用由评价组研发并通过单位确认的评价指标体系及评分标准，通过基础数据填报、问卷调查和访谈获取的数据，评价组对吐鲁吐鲁番市权限内二类非金属矿产资源调查项目（高昌区Ⅳ区、Ⅵ区）行了独立客观的评价，最终评分结果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97.33</w:t>
      </w:r>
      <w:r>
        <w:rPr>
          <w:rFonts w:hint="eastAsia"/>
          <w:lang w:val="en-US" w:eastAsia="zh-CN"/>
        </w:rPr>
        <w:t>分，</w:t>
      </w:r>
      <w:r>
        <w:rPr>
          <w:rFonts w:hint="default" w:ascii="Times New Roman" w:hAnsi="Times New Roman" w:eastAsia="仿宋" w:cs="Times New Roman"/>
          <w:color w:val="000000"/>
          <w:kern w:val="0"/>
          <w:sz w:val="32"/>
          <w:szCs w:val="32"/>
          <w:lang w:val="en-US" w:eastAsia="zh-CN" w:bidi="ar"/>
        </w:rPr>
        <w:t>评价等级为“优”</w:t>
      </w:r>
      <w:r>
        <w:rPr>
          <w:rFonts w:hint="default" w:ascii="Times New Roman" w:hAnsi="Times New Roman" w:eastAsia="仿宋_GB2312" w:cs="Times New Roman"/>
          <w:color w:val="000000"/>
          <w:kern w:val="0"/>
          <w:sz w:val="32"/>
          <w:szCs w:val="32"/>
          <w:lang w:bidi="ar"/>
        </w:rPr>
        <w:t>。</w:t>
      </w:r>
      <w:r>
        <w:rPr>
          <w:rFonts w:hint="default" w:ascii="Times New Roman" w:hAnsi="Times New Roman" w:eastAsia="仿宋_GB2312" w:cs="Times New Roman"/>
          <w:b w:val="0"/>
          <w:bCs w:val="0"/>
          <w:i w:val="0"/>
          <w:caps w:val="0"/>
          <w:spacing w:val="0"/>
          <w:w w:val="100"/>
          <w:kern w:val="0"/>
          <w:sz w:val="32"/>
          <w:szCs w:val="32"/>
          <w:highlight w:val="none"/>
          <w:lang w:val="en-US" w:eastAsia="zh-CN" w:bidi="en-US"/>
        </w:rPr>
        <w:t>各部分得分情况详见表3-1、表3-2。评分过程详见附件1。</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（二）预算执行情况</w:t>
      </w:r>
    </w:p>
    <w:p>
      <w:pPr>
        <w:pStyle w:val="43"/>
        <w:spacing w:line="560" w:lineRule="exact"/>
        <w:ind w:firstLine="640"/>
        <w:rPr>
          <w:rFonts w:hint="eastAsia"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2021年吐鲁番市权限内二类非金属矿产资源调查项目（高昌区Ⅳ区、Ⅵ区）资金</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ascii="Calibri" w:hAnsi="Calibri" w:eastAsia="仿宋_GB2312" w:cs="Times New Roman"/>
          <w:kern w:val="2"/>
          <w:sz w:val="32"/>
          <w:szCs w:val="22"/>
          <w:lang w:val="en-US" w:eastAsia="zh-CN" w:bidi="ar-SA"/>
        </w:rPr>
        <w:t>万元，当年实际支出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ascii="Calibri" w:hAnsi="Calibri" w:eastAsia="仿宋_GB2312" w:cs="Times New Roman"/>
          <w:kern w:val="2"/>
          <w:sz w:val="32"/>
          <w:szCs w:val="22"/>
          <w:lang w:val="en-US" w:eastAsia="zh-CN" w:bidi="ar-SA"/>
        </w:rPr>
        <w:t>万元，执行率</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100%</w:t>
      </w:r>
      <w:r>
        <w:rPr>
          <w:rFonts w:hint="eastAsia" w:ascii="Calibri" w:hAnsi="Calibri" w:eastAsia="仿宋_GB2312" w:cs="Times New Roman"/>
          <w:kern w:val="2"/>
          <w:sz w:val="32"/>
          <w:szCs w:val="22"/>
          <w:lang w:val="en-US" w:eastAsia="zh-CN" w:bidi="ar-SA"/>
        </w:rPr>
        <w:t>。</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（三）项目绩效情况</w:t>
      </w:r>
    </w:p>
    <w:p>
      <w:pPr>
        <w:bidi w:val="0"/>
        <w:rPr>
          <w:rFonts w:hint="eastAsia" w:ascii="Calibri" w:hAnsi="Calibri" w:eastAsia="仿宋_GB2312" w:cs="Times New Roman"/>
          <w:kern w:val="2"/>
          <w:sz w:val="32"/>
          <w:szCs w:val="22"/>
          <w:lang w:val="en-US" w:eastAsia="zh-CN" w:bidi="ar-SA"/>
        </w:rPr>
      </w:pPr>
      <w:r>
        <w:rPr>
          <w:rFonts w:hint="eastAsia" w:ascii="Calibri" w:hAnsi="Calibri" w:eastAsia="仿宋_GB2312" w:cs="Times New Roman"/>
          <w:b/>
          <w:bCs/>
          <w:kern w:val="2"/>
          <w:sz w:val="32"/>
          <w:szCs w:val="22"/>
          <w:lang w:val="zh-CN" w:eastAsia="zh-CN" w:bidi="ar-SA"/>
        </w:rPr>
        <w:t>较好完成了</w:t>
      </w:r>
      <w:r>
        <w:rPr>
          <w:rFonts w:hint="eastAsia" w:ascii="Calibri" w:hAnsi="Calibri" w:eastAsia="仿宋_GB2312" w:cs="Times New Roman"/>
          <w:b/>
          <w:bCs/>
          <w:kern w:val="2"/>
          <w:sz w:val="32"/>
          <w:szCs w:val="22"/>
          <w:lang w:val="en-US" w:eastAsia="zh-CN" w:bidi="ar-SA"/>
        </w:rPr>
        <w:t>吐鲁番市权限内二类非金属矿产资源调查项目（高昌区Ⅳ区、Ⅵ区）</w:t>
      </w:r>
      <w:r>
        <w:rPr>
          <w:rFonts w:hint="eastAsia" w:ascii="Calibri" w:hAnsi="Calibri" w:eastAsia="仿宋_GB2312" w:cs="Times New Roman"/>
          <w:b/>
          <w:bCs/>
          <w:kern w:val="2"/>
          <w:sz w:val="32"/>
          <w:szCs w:val="22"/>
          <w:lang w:val="zh-CN" w:eastAsia="zh-CN" w:bidi="ar-SA"/>
        </w:rPr>
        <w:t>年度规划目标，确保</w:t>
      </w:r>
      <w:r>
        <w:rPr>
          <w:rFonts w:hint="eastAsia" w:ascii="Calibri" w:hAnsi="Calibri" w:eastAsia="仿宋_GB2312" w:cs="Times New Roman"/>
          <w:b/>
          <w:bCs/>
          <w:kern w:val="2"/>
          <w:sz w:val="32"/>
          <w:szCs w:val="22"/>
          <w:lang w:val="en-US" w:eastAsia="zh-CN" w:bidi="ar-SA"/>
        </w:rPr>
        <w:t>培训</w:t>
      </w:r>
      <w:r>
        <w:rPr>
          <w:rFonts w:hint="eastAsia" w:ascii="Calibri" w:hAnsi="Calibri" w:eastAsia="仿宋_GB2312" w:cs="Times New Roman"/>
          <w:b/>
          <w:bCs/>
          <w:kern w:val="2"/>
          <w:sz w:val="32"/>
          <w:szCs w:val="22"/>
          <w:lang w:val="zh-CN" w:eastAsia="zh-CN" w:bidi="ar-SA"/>
        </w:rPr>
        <w:t>工作有序开展。</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ascii="Calibri" w:hAnsi="Calibri" w:eastAsia="仿宋_GB2312" w:cs="Times New Roman"/>
          <w:kern w:val="2"/>
          <w:sz w:val="32"/>
          <w:szCs w:val="22"/>
          <w:lang w:val="en-US" w:eastAsia="zh-CN" w:bidi="ar-SA"/>
        </w:rPr>
        <w:t>年度吐鲁番市权限内二类非金属矿产资源调查项目（高昌区Ⅳ区、Ⅵ区）已完成，满足了吐鲁番市现有产业对原材料的需求，保障地方经济可持续发展有后续接替资源，培育财政新的经济增长点。</w:t>
      </w:r>
    </w:p>
    <w:p>
      <w:pPr>
        <w:pStyle w:val="4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Style w:val="23"/>
          <w:rFonts w:hint="eastAsia" w:ascii="黑体" w:hAnsi="黑体" w:eastAsia="黑体" w:cs="Times New Roman"/>
          <w:lang w:val="en-US" w:eastAsia="zh-CN"/>
        </w:rPr>
      </w:pPr>
      <w:r>
        <w:rPr>
          <w:rStyle w:val="23"/>
          <w:rFonts w:hint="eastAsia" w:ascii="黑体" w:hAnsi="黑体" w:eastAsia="黑体" w:cs="Times New Roman"/>
          <w:lang w:val="en-US" w:eastAsia="zh-CN"/>
        </w:rPr>
        <w:t>三、问题和建议</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（一）存在的问题与不足</w:t>
      </w:r>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rPr>
        <w:t>1.</w:t>
      </w:r>
      <w:r>
        <w:rPr>
          <w:rStyle w:val="23"/>
          <w:rFonts w:hint="eastAsia" w:ascii="仿宋_GB2312" w:hAnsi="Times New Roman" w:eastAsia="仿宋_GB2312"/>
          <w:b/>
          <w:kern w:val="0"/>
          <w:sz w:val="32"/>
          <w:szCs w:val="32"/>
          <w:lang w:val="en-US" w:eastAsia="zh-CN"/>
        </w:rPr>
        <w:t>绩效目标合理性有待提升</w:t>
      </w:r>
    </w:p>
    <w:p>
      <w:pPr>
        <w:bidi w:val="0"/>
        <w:spacing w:line="560" w:lineRule="exact"/>
        <w:rPr>
          <w:rFonts w:hint="eastAsia"/>
          <w:lang w:val="en-US" w:eastAsia="zh-CN"/>
        </w:rPr>
      </w:pPr>
      <w:r>
        <w:rPr>
          <w:rFonts w:hint="eastAsia"/>
          <w:lang w:val="en-US" w:eastAsia="zh-CN"/>
        </w:rPr>
        <w:t>部分绩效目标设置缺乏合理性。年度绩效目标总体完整、可实现，但存在以下不合理之处：部分指标设置不科学、不明确，如质量指标“按照项目任务书，提交项目设计书”</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w:t>
      </w:r>
      <w:r>
        <w:rPr>
          <w:rFonts w:hint="eastAsia"/>
          <w:lang w:val="en-US" w:eastAsia="zh-CN"/>
        </w:rPr>
        <w:t>个（非金属矿）</w:t>
      </w:r>
      <w:r>
        <w:rPr>
          <w:rFonts w:hint="eastAsia"/>
          <w:lang w:val="zh-CN" w:eastAsia="zh-CN"/>
        </w:rPr>
        <w:t>”</w:t>
      </w:r>
      <w:r>
        <w:rPr>
          <w:rFonts w:hint="eastAsia"/>
          <w:lang w:val="en-US" w:eastAsia="zh-CN"/>
        </w:rPr>
        <w:t>，应调整为数量指标；质量指标应按照数量指标设置相对应的指标，缺失“调查成果采用通过率”；部分指标设置不合理，如成本指标“项目预算控制数”</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w:t>
      </w:r>
      <w:r>
        <w:rPr>
          <w:rFonts w:hint="eastAsia"/>
          <w:lang w:val="zh-CN" w:eastAsia="zh-CN"/>
        </w:rPr>
        <w:t>”</w:t>
      </w:r>
      <w:r>
        <w:rPr>
          <w:rFonts w:hint="eastAsia"/>
          <w:lang w:val="en-US" w:eastAsia="zh-CN"/>
        </w:rPr>
        <w:t>，该项目已明确总资金数为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万元，该指标设置无意义。</w:t>
      </w:r>
    </w:p>
    <w:p>
      <w:pPr>
        <w:widowControl/>
        <w:spacing w:line="540" w:lineRule="exact"/>
        <w:ind w:firstLine="643" w:firstLineChars="200"/>
        <w:textAlignment w:val="baseline"/>
        <w:rPr>
          <w:rStyle w:val="23"/>
          <w:rFonts w:hint="default" w:ascii="楷体" w:hAnsi="楷体" w:eastAsia="楷体" w:cs="Times New Roman"/>
          <w:b/>
          <w:kern w:val="0"/>
          <w:szCs w:val="32"/>
          <w:lang w:val="en-US" w:eastAsia="zh-CN"/>
        </w:rPr>
      </w:pPr>
      <w:r>
        <w:rPr>
          <w:rStyle w:val="23"/>
          <w:rFonts w:hint="eastAsia" w:ascii="仿宋_GB2312" w:hAnsi="Times New Roman" w:eastAsia="仿宋_GB2312"/>
          <w:b/>
          <w:kern w:val="0"/>
          <w:sz w:val="32"/>
          <w:szCs w:val="32"/>
          <w:lang w:val="en-US" w:eastAsia="zh-CN"/>
        </w:rPr>
        <w:t>2.</w:t>
      </w:r>
      <w:r>
        <w:rPr>
          <w:rStyle w:val="23"/>
          <w:rFonts w:hint="eastAsia" w:ascii="楷体" w:hAnsi="楷体" w:eastAsia="楷体" w:cs="Times New Roman"/>
          <w:b/>
          <w:kern w:val="0"/>
          <w:szCs w:val="32"/>
          <w:lang w:val="en-US" w:eastAsia="zh-CN"/>
        </w:rPr>
        <w:t>项目相关资料收集和管理工作不足</w:t>
      </w:r>
    </w:p>
    <w:p>
      <w:pPr>
        <w:pStyle w:val="42"/>
        <w:widowControl/>
        <w:spacing w:line="540" w:lineRule="exact"/>
        <w:ind w:firstLine="799" w:firstLineChars="0"/>
        <w:textAlignment w:val="baseline"/>
        <w:rPr>
          <w:rFonts w:hint="eastAsia"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根据提供资料，项目中的资料管理必须是完整的、全面的，只有完整、全面的资料才能够确保对项目资料全面记录、全面分析以及全面评价的顺利展开，且没有严格地制定出科学的、合理的以及具有前瞻性的管理方法、管理手段，进而直接地影响到、制约到后续展开的项目资料管理工作。</w:t>
      </w:r>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r>
        <w:rPr>
          <w:rStyle w:val="23"/>
          <w:rFonts w:hint="eastAsia" w:ascii="楷体" w:hAnsi="楷体" w:eastAsia="楷体" w:cs="Times New Roman"/>
          <w:b/>
          <w:kern w:val="0"/>
          <w:szCs w:val="32"/>
          <w:lang w:val="en-US" w:eastAsia="zh-CN"/>
        </w:rPr>
        <w:t>（二）建议和改进措施</w:t>
      </w:r>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rPr>
        <w:t>1.</w:t>
      </w:r>
      <w:r>
        <w:rPr>
          <w:rStyle w:val="23"/>
          <w:rFonts w:hint="eastAsia" w:ascii="仿宋_GB2312" w:hAnsi="Times New Roman" w:eastAsia="仿宋_GB2312"/>
          <w:b/>
          <w:kern w:val="0"/>
          <w:sz w:val="32"/>
          <w:szCs w:val="32"/>
          <w:lang w:val="en-US" w:eastAsia="zh-CN"/>
        </w:rPr>
        <w:t>深入研究项目特点，强化绩效管理责任意识</w:t>
      </w:r>
    </w:p>
    <w:p>
      <w:pPr>
        <w:bidi w:val="0"/>
        <w:spacing w:line="560" w:lineRule="exact"/>
        <w:rPr>
          <w:rFonts w:hint="eastAsia"/>
          <w:lang w:val="zh-CN" w:eastAsia="zh-CN"/>
        </w:rPr>
      </w:pPr>
      <w:r>
        <w:rPr>
          <w:rFonts w:hint="eastAsia"/>
          <w:lang w:val="zh-CN" w:eastAsia="zh-CN"/>
        </w:rPr>
        <w:t>建议吐鲁番市自然资源局加强对项目目标设置的研究，提升预算绩效管理水平。首先，在项目绩效目标申报阶段，应认真研究项目特点，从明确性、可衡量性、可实现性、相关性和时限性等方面着手，设置与项目匹配的指标，更好地凸显项目绩效。加大绩效管理知识的学习培训力度，提升对绩效理念重要性的认知，加强绩效目标审核，对绩效目标编制质量进行严格把关，对设置不合理、不完善的绩效目标应退回预算单位，进行规范设置，以确保绩效目标编制的完整性、科学性和可衡量性。</w:t>
      </w:r>
    </w:p>
    <w:p>
      <w:pPr>
        <w:bidi w:val="0"/>
        <w:spacing w:line="540" w:lineRule="exact"/>
        <w:ind w:firstLine="643" w:firstLineChars="200"/>
        <w:rPr>
          <w:rStyle w:val="23"/>
          <w:rFonts w:hint="default"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lang w:val="en-US" w:eastAsia="zh-CN"/>
        </w:rPr>
        <w:t>2.加强项目资料的收集和管理工作</w:t>
      </w:r>
    </w:p>
    <w:p>
      <w:pPr>
        <w:bidi w:val="0"/>
        <w:spacing w:line="560" w:lineRule="exact"/>
        <w:rPr>
          <w:rFonts w:hint="eastAsia"/>
          <w:lang w:val="zh-CN"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lang w:val="en-US" w:eastAsia="zh-CN"/>
        </w:rPr>
        <w:t>建议</w:t>
      </w:r>
      <w:r>
        <w:rPr>
          <w:rFonts w:hint="eastAsia"/>
          <w:lang w:val="zh-CN" w:eastAsia="zh-CN"/>
        </w:rPr>
        <w:t>重视项目资料的管理，提高项目资料的管理意识，提高相关资料收集与整理</w:t>
      </w:r>
      <w:r>
        <w:rPr>
          <w:rFonts w:hint="eastAsia"/>
          <w:lang w:val="en-US" w:eastAsia="zh-CN"/>
        </w:rPr>
        <w:t>工作；</w:t>
      </w:r>
      <w:r>
        <w:rPr>
          <w:rFonts w:hint="eastAsia"/>
          <w:lang w:val="zh-CN" w:eastAsia="zh-CN"/>
        </w:rPr>
        <w:t>完善工程项目资料保存工作，</w:t>
      </w:r>
      <w:r>
        <w:rPr>
          <w:rFonts w:hint="eastAsia"/>
          <w:lang w:val="en-US" w:eastAsia="zh-CN"/>
        </w:rPr>
        <w:t>在</w:t>
      </w:r>
      <w:r>
        <w:rPr>
          <w:rFonts w:hint="eastAsia"/>
          <w:lang w:val="zh-CN" w:eastAsia="zh-CN"/>
        </w:rPr>
        <w:t>资料管理中对其进行分门别类，有利于资料的收件和管理，也便于日后查看，也能避免资料的缺漏问题；提高项目资料的完整性，</w:t>
      </w:r>
      <w:r>
        <w:rPr>
          <w:rFonts w:hint="eastAsia"/>
          <w:lang w:val="en-US" w:eastAsia="zh-CN"/>
        </w:rPr>
        <w:t>安排工作人员</w:t>
      </w:r>
      <w:r>
        <w:rPr>
          <w:rFonts w:hint="eastAsia"/>
          <w:lang w:val="zh-CN" w:eastAsia="zh-CN"/>
        </w:rPr>
        <w:t>进行项目资料的跟踪收集和整理管理，当资料管理人员有变动时，要彻底完成资料交接。在</w:t>
      </w:r>
      <w:r>
        <w:rPr>
          <w:rFonts w:hint="eastAsia"/>
          <w:lang w:val="en-US" w:eastAsia="zh-CN"/>
        </w:rPr>
        <w:t>项目实施</w:t>
      </w:r>
      <w:r>
        <w:rPr>
          <w:rFonts w:hint="eastAsia"/>
          <w:lang w:val="zh-CN" w:eastAsia="zh-CN"/>
        </w:rPr>
        <w:t>的同时进行资料的收集，如有发现错误或者遗漏要及时进行补救，确保资料的完整性。</w:t>
      </w:r>
      <w:bookmarkStart w:id="1" w:name="_Toc5382"/>
      <w:bookmarkStart w:id="2" w:name="_Toc3699"/>
      <w:bookmarkStart w:id="3" w:name="_Toc13010"/>
    </w:p>
    <w:sdt>
      <w:sdtPr>
        <w:rPr>
          <w:rFonts w:hint="eastAsia" w:ascii="宋体" w:hAnsi="宋体" w:eastAsia="宋体" w:cstheme="minorBidi"/>
          <w:b w:val="0"/>
          <w:bCs w:val="0"/>
          <w:kern w:val="2"/>
          <w:sz w:val="21"/>
          <w:szCs w:val="24"/>
          <w:lang w:val="en-US" w:eastAsia="zh-CN" w:bidi="ar-SA"/>
        </w:rPr>
        <w:id w:val="147483239"/>
        <w15:color w:val="DBDBDB"/>
        <w:docPartObj>
          <w:docPartGallery w:val="Table of Contents"/>
          <w:docPartUnique/>
        </w:docPartObj>
      </w:sdtPr>
      <w:sdtEndPr>
        <w:rPr>
          <w:rFonts w:hint="eastAsia" w:ascii="黑体" w:hAnsi="黑体" w:eastAsia="黑体" w:cs="Times New Roman"/>
          <w:b/>
          <w:bCs w:val="0"/>
          <w:kern w:val="2"/>
          <w:sz w:val="21"/>
          <w:szCs w:val="36"/>
          <w:lang w:val="en-US" w:eastAsia="zh-CN" w:bidi="ar-SA"/>
        </w:rPr>
      </w:sdtEndPr>
      <w:sdtContent>
        <w:p>
          <w:pPr>
            <w:widowControl/>
            <w:tabs>
              <w:tab w:val="right" w:leader="dot" w:pos="8306"/>
            </w:tabs>
            <w:overflowPunct w:val="0"/>
            <w:autoSpaceDE w:val="0"/>
            <w:autoSpaceDN w:val="0"/>
            <w:adjustRightInd w:val="0"/>
            <w:spacing w:before="120" w:after="120" w:line="360" w:lineRule="auto"/>
            <w:jc w:val="center"/>
            <w:textAlignment w:val="baseline"/>
            <w:rPr>
              <w:rFonts w:hint="eastAsia" w:ascii="仿宋_GB2312" w:hAnsi="仿宋_GB2312" w:eastAsia="仿宋_GB2312" w:cs="仿宋_GB2312"/>
              <w:b/>
              <w:kern w:val="2"/>
              <w:sz w:val="28"/>
              <w:szCs w:val="28"/>
              <w:lang w:val="en-US" w:eastAsia="zh-CN" w:bidi="ar-SA"/>
            </w:rPr>
          </w:pPr>
          <w:r>
            <w:rPr>
              <w:rFonts w:hint="eastAsia" w:ascii="Times New Roman" w:hAnsi="Times New Roman" w:eastAsia="黑体" w:cs="Times New Roman"/>
              <w:b w:val="0"/>
              <w:bCs w:val="0"/>
              <w:i w:val="0"/>
              <w:caps w:val="0"/>
              <w:spacing w:val="0"/>
              <w:w w:val="100"/>
              <w:sz w:val="44"/>
              <w:szCs w:val="44"/>
              <w:lang w:val="en-US" w:eastAsia="zh-CN"/>
            </w:rPr>
            <w:t>目录</w:t>
          </w:r>
          <w:r>
            <w:rPr>
              <w:rFonts w:hint="eastAsia" w:ascii="仿宋_GB2312" w:hAnsi="仿宋_GB2312" w:eastAsia="仿宋_GB2312" w:cs="仿宋_GB2312"/>
              <w:b/>
              <w:sz w:val="28"/>
              <w:szCs w:val="28"/>
            </w:rPr>
            <w:fldChar w:fldCharType="begin"/>
          </w:r>
          <w:r>
            <w:rPr>
              <w:rFonts w:ascii="仿宋_GB2312" w:hAnsi="仿宋_GB2312" w:eastAsia="仿宋_GB2312" w:cs="仿宋_GB2312"/>
              <w:b/>
              <w:sz w:val="28"/>
              <w:szCs w:val="28"/>
            </w:rPr>
            <w:instrText xml:space="preserve">TOC \o "1-2" \h \u </w:instrText>
          </w:r>
          <w:r>
            <w:rPr>
              <w:rFonts w:hint="eastAsia" w:ascii="仿宋_GB2312" w:hAnsi="仿宋_GB2312" w:eastAsia="仿宋_GB2312" w:cs="仿宋_GB2312"/>
              <w:b/>
              <w:sz w:val="28"/>
              <w:szCs w:val="28"/>
            </w:rPr>
            <w:fldChar w:fldCharType="separate"/>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_Toc5842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摘要</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t>1</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_Toc18238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一、项目概况</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_Toc18238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_Toc28831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（一）项目背景</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_Toc28831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_Toc17661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（二）项目内容及规模</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_Toc17661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2</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_Toc5394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（三）资金来源及使用情况</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_Toc5394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2</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_Toc16693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（四）项目组织与资金管理情况</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_Toc16693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3</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_Toc7134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（五）项目绩效目标</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_Toc7134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4</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_Toc4636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default" w:ascii="仿宋_GB2312" w:hAnsi="仿宋_GB2312" w:eastAsia="仿宋_GB2312" w:cs="仿宋_GB2312"/>
              <w:b w:val="0"/>
              <w:i w:val="0"/>
              <w:caps w:val="0"/>
              <w:spacing w:val="0"/>
              <w:w w:val="100"/>
              <w:kern w:val="0"/>
              <w:sz w:val="32"/>
              <w:szCs w:val="32"/>
              <w:lang w:val="en-US" w:eastAsia="zh-CN" w:bidi="en-US"/>
            </w:rPr>
            <w:t>二、评价工作概述</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_Toc4636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5</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_Toc29284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（一）评价目的与原则</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_Toc29284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5</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_Toc18293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（二）评价方法</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_Toc18293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5</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_Toc27068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（三）绩效评价指标体系</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_Toc27068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6</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_Toc21732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（四）评价组织实施</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_Toc21732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7</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_Toc14878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三、评价结论</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_Toc14878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9</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_Toc77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四、绩效评价分析</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_Toc77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12</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_Toc20063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（一）绩效目标分析</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_Toc20063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12</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left" w:pos="560"/>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_Toc15289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（二）项目管理分析</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_Toc15289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13</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4"/>
            <w:tabs>
              <w:tab w:val="right" w:leader="dot" w:pos="8306"/>
            </w:tabs>
            <w:snapToGrid/>
            <w:spacing w:before="0" w:beforeAutospacing="0" w:after="0" w:afterAutospacing="0" w:line="560" w:lineRule="exact"/>
            <w:ind w:left="0" w:leftChars="0"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_Toc168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（三）项目绩效分析</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_Toc168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14</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_Toc4053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五、存在的问题</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_Toc4053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14</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_Toc11569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六、相关建议</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_Toc11569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15</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_Toc16245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七、其他需要说明的问题</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_Toc16245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16</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_Toc2978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附件1</w:t>
          </w:r>
          <w:r>
            <w:rPr>
              <w:rFonts w:hint="default" w:ascii="仿宋_GB2312" w:hAnsi="仿宋_GB2312" w:eastAsia="仿宋_GB2312" w:cs="仿宋_GB2312"/>
              <w:b w:val="0"/>
              <w:i w:val="0"/>
              <w:caps w:val="0"/>
              <w:spacing w:val="0"/>
              <w:w w:val="100"/>
              <w:kern w:val="0"/>
              <w:sz w:val="32"/>
              <w:szCs w:val="32"/>
              <w:lang w:val="en-US" w:eastAsia="zh-CN" w:bidi="en-US"/>
            </w:rPr>
            <w:t xml:space="preserve"> </w:t>
          </w:r>
          <w:r>
            <w:rPr>
              <w:rFonts w:hint="eastAsia" w:ascii="仿宋_GB2312" w:hAnsi="仿宋_GB2312" w:eastAsia="仿宋_GB2312" w:cs="仿宋_GB2312"/>
              <w:b w:val="0"/>
              <w:i w:val="0"/>
              <w:caps w:val="0"/>
              <w:spacing w:val="0"/>
              <w:w w:val="100"/>
              <w:kern w:val="0"/>
              <w:sz w:val="32"/>
              <w:szCs w:val="32"/>
              <w:lang w:val="en-US" w:eastAsia="zh-CN" w:bidi="en-US"/>
            </w:rPr>
            <w:t>综合评分表</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_Toc2978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17</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_Toc4315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附件2</w:t>
          </w:r>
          <w:r>
            <w:rPr>
              <w:rFonts w:hint="default" w:ascii="仿宋_GB2312" w:hAnsi="仿宋_GB2312" w:eastAsia="仿宋_GB2312" w:cs="仿宋_GB2312"/>
              <w:b w:val="0"/>
              <w:i w:val="0"/>
              <w:caps w:val="0"/>
              <w:spacing w:val="0"/>
              <w:w w:val="100"/>
              <w:kern w:val="0"/>
              <w:sz w:val="32"/>
              <w:szCs w:val="32"/>
              <w:lang w:val="en-US" w:eastAsia="zh-CN" w:bidi="en-US"/>
            </w:rPr>
            <w:t xml:space="preserve"> </w:t>
          </w:r>
          <w:r>
            <w:rPr>
              <w:rFonts w:hint="eastAsia" w:ascii="仿宋_GB2312" w:hAnsi="仿宋_GB2312" w:eastAsia="仿宋_GB2312" w:cs="仿宋_GB2312"/>
              <w:b w:val="0"/>
              <w:i w:val="0"/>
              <w:caps w:val="0"/>
              <w:spacing w:val="0"/>
              <w:w w:val="100"/>
              <w:kern w:val="0"/>
              <w:sz w:val="32"/>
              <w:szCs w:val="32"/>
              <w:lang w:val="en-US" w:eastAsia="zh-CN" w:bidi="en-US"/>
            </w:rPr>
            <w:t>相关负责人访谈提纲</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PAGEREF _Toc4315 \h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29</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fldChar w:fldCharType="end"/>
          </w:r>
        </w:p>
        <w:p>
          <w:pPr>
            <w:pStyle w:val="12"/>
            <w:tabs>
              <w:tab w:val="right" w:leader="dot" w:pos="8306"/>
            </w:tabs>
            <w:snapToGrid/>
            <w:spacing w:before="0" w:beforeAutospacing="0" w:after="0" w:afterAutospacing="0" w:line="560" w:lineRule="exact"/>
            <w:ind w:firstLine="0" w:firstLineChars="0"/>
            <w:jc w:val="both"/>
            <w:textAlignment w:val="baseline"/>
            <w:rPr>
              <w:rFonts w:hint="eastAsia" w:ascii="仿宋_GB2312" w:hAnsi="仿宋_GB2312" w:eastAsia="仿宋_GB2312" w:cs="仿宋_GB2312"/>
              <w:b w:val="0"/>
              <w:i w:val="0"/>
              <w:caps w:val="0"/>
              <w:spacing w:val="0"/>
              <w:w w:val="100"/>
              <w:kern w:val="0"/>
              <w:sz w:val="32"/>
              <w:szCs w:val="32"/>
              <w:lang w:val="en-US" w:eastAsia="zh-CN" w:bidi="en-US"/>
            </w:rPr>
          </w:pPr>
          <w:r>
            <w:rPr>
              <w:rFonts w:hint="eastAsia" w:ascii="仿宋_GB2312" w:hAnsi="仿宋_GB2312" w:eastAsia="仿宋_GB2312" w:cs="仿宋_GB2312"/>
              <w:b w:val="0"/>
              <w:i w:val="0"/>
              <w:caps w:val="0"/>
              <w:spacing w:val="0"/>
              <w:w w:val="100"/>
              <w:kern w:val="0"/>
              <w:sz w:val="32"/>
              <w:szCs w:val="32"/>
              <w:lang w:val="en-US" w:eastAsia="zh-CN" w:bidi="en-US"/>
            </w:rPr>
            <w:fldChar w:fldCharType="begin"/>
          </w:r>
          <w:r>
            <w:rPr>
              <w:rFonts w:hint="eastAsia" w:ascii="仿宋_GB2312" w:hAnsi="仿宋_GB2312" w:eastAsia="仿宋_GB2312" w:cs="仿宋_GB2312"/>
              <w:b w:val="0"/>
              <w:i w:val="0"/>
              <w:caps w:val="0"/>
              <w:spacing w:val="0"/>
              <w:w w:val="100"/>
              <w:kern w:val="0"/>
              <w:sz w:val="32"/>
              <w:szCs w:val="32"/>
              <w:lang w:val="en-US" w:eastAsia="zh-CN" w:bidi="en-US"/>
            </w:rPr>
            <w:instrText xml:space="preserve"> HYPERLINK \l _Toc4315 </w:instrText>
          </w:r>
          <w:r>
            <w:rPr>
              <w:rFonts w:hint="eastAsia" w:ascii="仿宋_GB2312" w:hAnsi="仿宋_GB2312" w:eastAsia="仿宋_GB2312" w:cs="仿宋_GB2312"/>
              <w:b w:val="0"/>
              <w:i w:val="0"/>
              <w:caps w:val="0"/>
              <w:spacing w:val="0"/>
              <w:w w:val="100"/>
              <w:kern w:val="0"/>
              <w:sz w:val="32"/>
              <w:szCs w:val="32"/>
              <w:lang w:val="en-US" w:eastAsia="zh-CN" w:bidi="en-US"/>
            </w:rPr>
            <w:fldChar w:fldCharType="separate"/>
          </w:r>
          <w:r>
            <w:rPr>
              <w:rFonts w:hint="eastAsia" w:ascii="仿宋_GB2312" w:hAnsi="仿宋_GB2312" w:eastAsia="仿宋_GB2312" w:cs="仿宋_GB2312"/>
              <w:b w:val="0"/>
              <w:i w:val="0"/>
              <w:caps w:val="0"/>
              <w:spacing w:val="0"/>
              <w:w w:val="100"/>
              <w:kern w:val="0"/>
              <w:sz w:val="32"/>
              <w:szCs w:val="32"/>
              <w:lang w:val="en-US" w:eastAsia="zh-CN" w:bidi="en-US"/>
            </w:rPr>
            <w:t>附件3</w:t>
          </w:r>
          <w:r>
            <w:rPr>
              <w:rFonts w:hint="default" w:ascii="仿宋_GB2312" w:hAnsi="仿宋_GB2312" w:eastAsia="仿宋_GB2312" w:cs="仿宋_GB2312"/>
              <w:b w:val="0"/>
              <w:i w:val="0"/>
              <w:caps w:val="0"/>
              <w:spacing w:val="0"/>
              <w:w w:val="100"/>
              <w:kern w:val="0"/>
              <w:sz w:val="32"/>
              <w:szCs w:val="32"/>
              <w:lang w:val="en-US" w:eastAsia="zh-CN" w:bidi="en-US"/>
            </w:rPr>
            <w:t xml:space="preserve"> </w:t>
          </w:r>
          <w:r>
            <w:rPr>
              <w:rFonts w:hint="eastAsia" w:ascii="仿宋_GB2312" w:hAnsi="仿宋_GB2312" w:eastAsia="仿宋_GB2312" w:cs="仿宋_GB2312"/>
              <w:b w:val="0"/>
              <w:i w:val="0"/>
              <w:caps w:val="0"/>
              <w:spacing w:val="0"/>
              <w:w w:val="100"/>
              <w:kern w:val="0"/>
              <w:sz w:val="32"/>
              <w:szCs w:val="32"/>
              <w:lang w:val="en-US" w:eastAsia="zh-CN" w:bidi="en-US"/>
            </w:rPr>
            <w:t>基础表佐证</w:t>
          </w:r>
          <w:r>
            <w:rPr>
              <w:rFonts w:hint="eastAsia" w:ascii="仿宋_GB2312" w:hAnsi="仿宋_GB2312" w:eastAsia="仿宋_GB2312" w:cs="仿宋_GB2312"/>
              <w:b w:val="0"/>
              <w:i w:val="0"/>
              <w:caps w:val="0"/>
              <w:spacing w:val="0"/>
              <w:w w:val="100"/>
              <w:kern w:val="0"/>
              <w:sz w:val="32"/>
              <w:szCs w:val="32"/>
              <w:lang w:val="en-US" w:eastAsia="zh-CN" w:bidi="en-US"/>
            </w:rPr>
            <w:tab/>
          </w:r>
          <w:r>
            <w:rPr>
              <w:rFonts w:hint="eastAsia" w:ascii="仿宋_GB2312" w:hAnsi="仿宋_GB2312" w:eastAsia="仿宋_GB2312" w:cs="仿宋_GB2312"/>
              <w:b w:val="0"/>
              <w:i w:val="0"/>
              <w:caps w:val="0"/>
              <w:spacing w:val="0"/>
              <w:w w:val="100"/>
              <w:kern w:val="0"/>
              <w:sz w:val="32"/>
              <w:szCs w:val="32"/>
              <w:lang w:val="en-US" w:eastAsia="zh-CN" w:bidi="en-US"/>
            </w:rPr>
            <w:t>3</w:t>
          </w:r>
          <w:r>
            <w:rPr>
              <w:rFonts w:hint="eastAsia" w:ascii="仿宋_GB2312" w:hAnsi="仿宋_GB2312" w:eastAsia="仿宋_GB2312" w:cs="仿宋_GB2312"/>
              <w:b w:val="0"/>
              <w:i w:val="0"/>
              <w:caps w:val="0"/>
              <w:spacing w:val="0"/>
              <w:w w:val="100"/>
              <w:kern w:val="0"/>
              <w:sz w:val="32"/>
              <w:szCs w:val="32"/>
              <w:lang w:val="en-US" w:eastAsia="zh-CN" w:bidi="en-US"/>
            </w:rPr>
            <w:fldChar w:fldCharType="end"/>
          </w:r>
          <w:r>
            <w:rPr>
              <w:rFonts w:hint="eastAsia" w:ascii="仿宋_GB2312" w:hAnsi="仿宋_GB2312" w:eastAsia="仿宋_GB2312" w:cs="仿宋_GB2312"/>
              <w:b w:val="0"/>
              <w:i w:val="0"/>
              <w:caps w:val="0"/>
              <w:spacing w:val="0"/>
              <w:w w:val="100"/>
              <w:kern w:val="0"/>
              <w:sz w:val="32"/>
              <w:szCs w:val="32"/>
              <w:lang w:val="en-US" w:eastAsia="zh-CN" w:bidi="en-US"/>
            </w:rPr>
            <w:t>0</w:t>
          </w:r>
        </w:p>
        <w:p>
          <w:pPr>
            <w:bidi w:val="0"/>
            <w:spacing w:line="560" w:lineRule="exact"/>
            <w:rPr>
              <w:rFonts w:hint="eastAsia" w:ascii="仿宋_GB2312" w:hAnsi="仿宋_GB2312" w:eastAsia="仿宋_GB2312" w:cs="仿宋_GB2312"/>
              <w:b/>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bidi w:val="0"/>
            <w:spacing w:line="560" w:lineRule="exact"/>
          </w:pPr>
          <w:r>
            <w:rPr>
              <w:rFonts w:hint="eastAsia" w:ascii="仿宋_GB2312" w:hAnsi="仿宋_GB2312" w:eastAsia="仿宋_GB2312" w:cs="仿宋_GB2312"/>
              <w:b/>
              <w:sz w:val="28"/>
              <w:szCs w:val="28"/>
            </w:rPr>
            <w:fldChar w:fldCharType="end"/>
          </w:r>
        </w:p>
      </w:sdtContent>
    </w:sdt>
    <w:p>
      <w:pPr>
        <w:widowControl/>
        <w:ind w:firstLine="640"/>
        <w:jc w:val="center"/>
        <w:textAlignment w:val="baseline"/>
        <w:rPr>
          <w:rFonts w:hint="eastAsia" w:ascii="黑体" w:hAnsi="黑体" w:eastAsia="黑体" w:cs="黑体"/>
          <w:szCs w:val="32"/>
          <w:lang w:val="en-US" w:eastAsia="zh-CN"/>
        </w:rPr>
      </w:pPr>
      <w:r>
        <w:rPr>
          <w:rFonts w:hint="eastAsia" w:ascii="黑体" w:hAnsi="黑体" w:eastAsia="黑体" w:cs="黑体"/>
          <w:szCs w:val="32"/>
          <w:lang w:val="en-US" w:eastAsia="zh-CN"/>
        </w:rPr>
        <w:t>吐鲁番市权限内二类非金属矿产资源调查（高昌区Ⅳ区、Ⅵ区）项目绩效评价报告</w:t>
      </w:r>
      <w:bookmarkEnd w:id="1"/>
      <w:bookmarkEnd w:id="2"/>
      <w:bookmarkEnd w:id="3"/>
    </w:p>
    <w:p>
      <w:pPr>
        <w:bidi w:val="0"/>
        <w:spacing w:line="560" w:lineRule="exact"/>
        <w:rPr>
          <w:rFonts w:hint="eastAsia"/>
          <w:lang w:val="en-US" w:eastAsia="zh-CN"/>
        </w:rPr>
      </w:pPr>
      <w:bookmarkStart w:id="4" w:name="_Toc21821"/>
      <w:bookmarkStart w:id="5" w:name="_Toc7288"/>
    </w:p>
    <w:p>
      <w:pPr>
        <w:bidi w:val="0"/>
        <w:spacing w:line="560" w:lineRule="exact"/>
        <w:rPr>
          <w:rFonts w:hint="eastAsia"/>
          <w:lang w:val="en-US" w:eastAsia="zh-CN"/>
        </w:rPr>
      </w:pPr>
      <w:r>
        <w:rPr>
          <w:rFonts w:hint="eastAsia"/>
          <w:lang w:val="en-US" w:eastAsia="zh-CN"/>
        </w:rPr>
        <w:t>为满足吐鲁番市现有产业对原材料的需求，保障地方经济可持续发展有后续接替资源，培育财政新的经济增长点，使吐鲁番市权限内二类非金属矿产资源调查项目（高昌区Ⅳ区、Ⅵ区）工作顺利完成。</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年吐鲁番市安排专项资金</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用于支付吐鲁番市权限内二类非金属矿产资源调查项目（高昌区Ⅳ区、Ⅵ区）。受吐鲁番市财政局委托，新疆财讯睿智信息咨询有限公司承担吐鲁番市权限内二类非金属矿产资源调查项目（高昌区Ⅳ区、Ⅵ区）绩效评价工作。评价组依据绩效评价的基本原理，结合政策特点，经过前期调研、方案制定、数据收集与梳理等环节撰写形成本绩效评价报告。</w:t>
      </w:r>
      <w:bookmarkEnd w:id="4"/>
      <w:bookmarkEnd w:id="5"/>
      <w:bookmarkStart w:id="6" w:name="_Toc57400169"/>
    </w:p>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bookmarkStart w:id="7" w:name="_Toc18238"/>
      <w:bookmarkStart w:id="8" w:name="_Toc683"/>
      <w:r>
        <w:rPr>
          <w:rStyle w:val="23"/>
          <w:rFonts w:hint="eastAsia" w:ascii="黑体" w:hAnsi="黑体" w:eastAsia="黑体" w:cs="Times New Roman"/>
          <w:lang w:val="en-US" w:eastAsia="zh-CN"/>
        </w:rPr>
        <w:t>一、项目概况</w:t>
      </w:r>
      <w:bookmarkEnd w:id="6"/>
      <w:bookmarkEnd w:id="7"/>
      <w:bookmarkEnd w:id="8"/>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bookmarkStart w:id="9" w:name="_Toc20606"/>
      <w:bookmarkStart w:id="10" w:name="_Toc32276"/>
      <w:bookmarkStart w:id="11" w:name="_Toc20073"/>
      <w:bookmarkStart w:id="12" w:name="_Toc12985"/>
      <w:bookmarkStart w:id="13" w:name="_Toc18955"/>
      <w:bookmarkStart w:id="14" w:name="_Toc57400170"/>
      <w:bookmarkStart w:id="15" w:name="_Toc9925"/>
      <w:bookmarkStart w:id="16" w:name="_Toc28831"/>
      <w:bookmarkStart w:id="17" w:name="_Toc1202"/>
      <w:r>
        <w:rPr>
          <w:rStyle w:val="23"/>
          <w:rFonts w:hint="eastAsia" w:ascii="楷体" w:hAnsi="楷体" w:eastAsia="楷体" w:cs="Times New Roman"/>
          <w:b/>
          <w:kern w:val="0"/>
          <w:szCs w:val="32"/>
          <w:lang w:val="en-US" w:eastAsia="zh-CN"/>
        </w:rPr>
        <w:t>（一）项目背景</w:t>
      </w:r>
      <w:bookmarkEnd w:id="9"/>
      <w:bookmarkEnd w:id="10"/>
      <w:bookmarkEnd w:id="11"/>
      <w:bookmarkEnd w:id="12"/>
      <w:bookmarkEnd w:id="13"/>
      <w:bookmarkEnd w:id="14"/>
      <w:bookmarkEnd w:id="15"/>
      <w:bookmarkEnd w:id="16"/>
      <w:bookmarkEnd w:id="17"/>
      <w:bookmarkStart w:id="18" w:name="_Toc57400171"/>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 w:val="0"/>
          <w:bCs w:val="0"/>
          <w:i w:val="0"/>
          <w:caps w:val="0"/>
          <w:color w:val="000000"/>
          <w:spacing w:val="0"/>
          <w:w w:val="100"/>
          <w:kern w:val="0"/>
          <w:sz w:val="32"/>
          <w:szCs w:val="32"/>
          <w:lang w:val="en-US" w:eastAsia="zh-CN" w:bidi="ar"/>
        </w:rPr>
      </w:pPr>
      <w:bookmarkStart w:id="19" w:name="_Toc19161"/>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吐鲁番市行政区域位于著名的东天山成矿带，成矿条件优越，已探明资源储量大，矿产种类齐全，资源优势明显。目前已形成以金、铁、铜、盐和花岗岩、大理岩、石灰岩等优势矿产资源开采和深加工为主的工业产业集群，在矿业市场活跃时期，财政收入大部分来源于矿产资源勘查开发所作出的贡献。随着吐鲁番市生态红线的划定，辖区禁止功能区内的矿山陆续关闭退出，吐鲁番市多年形成的矿产品深加工产业面临原料供应紧张或无原料供应的局面。</w:t>
      </w:r>
      <w:r>
        <w:rPr>
          <w:rFonts w:hint="eastAsia" w:ascii="Times New Roman" w:hAnsi="Times New Roman" w:cs="Times New Roman"/>
          <w:b w:val="0"/>
          <w:bCs w:val="0"/>
          <w:i w:val="0"/>
          <w:caps w:val="0"/>
          <w:color w:val="000000"/>
          <w:spacing w:val="0"/>
          <w:w w:val="100"/>
          <w:kern w:val="0"/>
          <w:sz w:val="32"/>
          <w:szCs w:val="32"/>
          <w:lang w:val="en-US" w:eastAsia="zh-CN" w:bidi="ar"/>
        </w:rPr>
        <w:t>2021年吐鲁番市安排</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吐鲁番市权限内二类非金属矿产资源调查项目（高昌区Ⅳ区、Ⅵ区）</w:t>
      </w:r>
      <w:r>
        <w:rPr>
          <w:rFonts w:hint="eastAsia" w:ascii="Times New Roman" w:hAnsi="Times New Roman" w:cs="Times New Roman"/>
          <w:b w:val="0"/>
          <w:bCs w:val="0"/>
          <w:i w:val="0"/>
          <w:caps w:val="0"/>
          <w:color w:val="000000"/>
          <w:spacing w:val="0"/>
          <w:w w:val="100"/>
          <w:kern w:val="0"/>
          <w:sz w:val="32"/>
          <w:szCs w:val="32"/>
          <w:lang w:val="en-US" w:eastAsia="zh-CN" w:bidi="ar"/>
        </w:rPr>
        <w:t>资金471.56万元。</w:t>
      </w:r>
    </w:p>
    <w:p>
      <w:pPr>
        <w:widowControl/>
        <w:bidi w:val="0"/>
        <w:spacing w:line="540" w:lineRule="exact"/>
        <w:ind w:firstLine="643" w:firstLineChars="200"/>
        <w:textAlignment w:val="baseline"/>
        <w:outlineLvl w:val="1"/>
        <w:rPr>
          <w:rStyle w:val="23"/>
          <w:rFonts w:hint="eastAsia" w:ascii="楷体" w:hAnsi="楷体" w:eastAsia="楷体"/>
          <w:b/>
          <w:kern w:val="0"/>
          <w:szCs w:val="32"/>
          <w:lang w:val="en-US" w:eastAsia="zh-CN"/>
        </w:rPr>
      </w:pPr>
      <w:bookmarkStart w:id="20" w:name="_Toc17661"/>
      <w:r>
        <w:rPr>
          <w:rStyle w:val="23"/>
          <w:rFonts w:hint="eastAsia" w:ascii="楷体" w:hAnsi="楷体" w:eastAsia="楷体"/>
          <w:b/>
          <w:kern w:val="0"/>
          <w:szCs w:val="32"/>
          <w:lang w:val="en-US" w:eastAsia="zh-CN"/>
        </w:rPr>
        <w:t>（二）项目内容及规模</w:t>
      </w:r>
      <w:bookmarkEnd w:id="18"/>
      <w:bookmarkEnd w:id="19"/>
      <w:bookmarkEnd w:id="20"/>
    </w:p>
    <w:p>
      <w:pPr>
        <w:bidi w:val="0"/>
        <w:spacing w:line="540" w:lineRule="exact"/>
        <w:ind w:firstLine="643" w:firstLineChars="200"/>
        <w:rPr>
          <w:rStyle w:val="23"/>
          <w:rFonts w:hint="eastAsia" w:ascii="仿宋_GB2312" w:hAnsi="Times New Roman" w:eastAsia="仿宋_GB2312"/>
          <w:b/>
          <w:kern w:val="0"/>
          <w:sz w:val="32"/>
          <w:szCs w:val="32"/>
          <w:lang w:val="en-US" w:eastAsia="zh-CN"/>
        </w:rPr>
      </w:pPr>
      <w:r>
        <w:rPr>
          <w:rStyle w:val="23"/>
          <w:rFonts w:hint="eastAsia" w:ascii="仿宋_GB2312" w:hAnsi="Times New Roman" w:eastAsia="仿宋_GB2312"/>
          <w:b/>
          <w:kern w:val="0"/>
          <w:sz w:val="32"/>
          <w:szCs w:val="32"/>
        </w:rPr>
        <w:t>1.项目内容及规模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bookmarkStart w:id="21" w:name="_Toc26519"/>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为满足吐鲁番市现有产业对原材料的需求，保障地方经济可持续发展有后续接替资源，培育财政新的经济增长点，吐鲁番市自然资源局党组认真研究国家、自治区矿业权出让制度改革文件，与长期在吐鲁番市开展地质矿产勘查工作的国有地勘单位进行沟通联系，筛选了一批找矿前景好、矿体有出露、不在生态红线范围等禁止功能区且企业有需求的大理岩调查工作靶区，并按照吐鲁番市政府批示，利用市级财政资金开展吐鲁番市权限内二类非金属矿产资源调查项目（高昌区Ⅳ区、Ⅵ区），对筛选的工作靶区开展2个矿产资源调查（非金属矿）。</w:t>
      </w:r>
    </w:p>
    <w:p>
      <w:pPr>
        <w:bidi w:val="0"/>
        <w:spacing w:line="540" w:lineRule="exact"/>
        <w:ind w:firstLine="643" w:firstLineChars="200"/>
        <w:rPr>
          <w:rStyle w:val="23"/>
          <w:rFonts w:hint="eastAsia" w:ascii="仿宋_GB2312" w:hAnsi="Times New Roman" w:eastAsia="仿宋_GB2312"/>
          <w:b/>
          <w:kern w:val="0"/>
          <w:sz w:val="32"/>
          <w:szCs w:val="32"/>
        </w:rPr>
      </w:pPr>
      <w:r>
        <w:rPr>
          <w:rStyle w:val="23"/>
          <w:rFonts w:hint="eastAsia" w:ascii="仿宋_GB2312" w:hAnsi="Times New Roman" w:eastAsia="仿宋_GB2312"/>
          <w:b/>
          <w:kern w:val="0"/>
          <w:sz w:val="32"/>
          <w:szCs w:val="32"/>
        </w:rPr>
        <w:t>2．评价时段</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本次专项资金的评价时段为：2021年1月1日-2021年12月31日。</w:t>
      </w:r>
      <w:bookmarkEnd w:id="21"/>
    </w:p>
    <w:p>
      <w:pPr>
        <w:widowControl/>
        <w:bidi w:val="0"/>
        <w:spacing w:line="540" w:lineRule="exact"/>
        <w:ind w:firstLine="643" w:firstLineChars="200"/>
        <w:textAlignment w:val="baseline"/>
        <w:rPr>
          <w:rStyle w:val="23"/>
          <w:rFonts w:hint="eastAsia" w:ascii="楷体" w:hAnsi="楷体" w:eastAsia="楷体" w:cs="Times New Roman"/>
          <w:b/>
          <w:kern w:val="0"/>
          <w:szCs w:val="32"/>
          <w:lang w:val="en-US" w:eastAsia="zh-CN"/>
        </w:rPr>
      </w:pPr>
      <w:bookmarkStart w:id="22" w:name="_Toc17700"/>
      <w:bookmarkStart w:id="23" w:name="_Toc4912"/>
      <w:bookmarkStart w:id="24" w:name="_Toc17405"/>
      <w:bookmarkStart w:id="25" w:name="_Toc9700"/>
      <w:bookmarkStart w:id="26" w:name="_Toc5394"/>
      <w:r>
        <w:rPr>
          <w:rStyle w:val="23"/>
          <w:rFonts w:hint="eastAsia" w:ascii="楷体" w:hAnsi="楷体" w:eastAsia="楷体" w:cs="Times New Roman"/>
          <w:b/>
          <w:kern w:val="0"/>
          <w:szCs w:val="32"/>
          <w:lang w:val="en-US" w:eastAsia="zh-CN"/>
        </w:rPr>
        <w:t>（三）资金来源及使用情况</w:t>
      </w:r>
      <w:bookmarkEnd w:id="22"/>
      <w:bookmarkEnd w:id="23"/>
      <w:bookmarkEnd w:id="24"/>
      <w:bookmarkEnd w:id="25"/>
      <w:bookmarkEnd w:id="26"/>
    </w:p>
    <w:p>
      <w:pPr>
        <w:bidi w:val="0"/>
        <w:spacing w:line="560" w:lineRule="exact"/>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根据吐鲁番市人民政府与新疆地矿局签订战略发展合作框架协议，地矿局承诺只要是地矿局下属地勘单位中标的调查项目，其调查费用均由地矿局先行垫付，为此申请的市级财政资金实际为中标单位垫付。按照吐鲁番市自然资源局与中标单位合同约定，项目调查评价工作全部结束后，根据中标单位提供的调查评价成果报告，经自治区矿产资源储量评审中心评审后，按照竣工财务决算审计的最终审定价（不得超出项目预算经费），报请吐鲁番市财政局申请拨付中标单位垫付的项目调查费用。项目资金到位471.56万元，截止到2021年12月31日</w:t>
      </w:r>
      <w:r>
        <w:rPr>
          <w:rFonts w:hint="eastAsia" w:ascii="Times New Roman" w:hAnsi="Times New Roman" w:cs="Times New Roman"/>
          <w:b w:val="0"/>
          <w:bCs w:val="0"/>
          <w:i w:val="0"/>
          <w:caps w:val="0"/>
          <w:color w:val="000000"/>
          <w:spacing w:val="0"/>
          <w:w w:val="100"/>
          <w:kern w:val="0"/>
          <w:sz w:val="32"/>
          <w:szCs w:val="32"/>
          <w:lang w:val="en-US" w:eastAsia="zh-CN" w:bidi="ar"/>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实际支付471.56万元，全部用于支付勘查单位项目资金，执行率100%。</w:t>
      </w:r>
    </w:p>
    <w:p>
      <w:pPr>
        <w:widowControl/>
        <w:bidi w:val="0"/>
        <w:spacing w:line="560" w:lineRule="exact"/>
        <w:ind w:firstLine="643" w:firstLineChars="200"/>
        <w:textAlignment w:val="baseline"/>
        <w:rPr>
          <w:rStyle w:val="23"/>
          <w:rFonts w:hint="eastAsia" w:ascii="楷体" w:hAnsi="楷体" w:eastAsia="楷体"/>
          <w:b/>
          <w:kern w:val="0"/>
          <w:szCs w:val="32"/>
          <w:lang w:val="en-US" w:eastAsia="zh-CN"/>
        </w:rPr>
      </w:pPr>
      <w:bookmarkStart w:id="27" w:name="_Toc18755"/>
      <w:bookmarkStart w:id="28" w:name="_Toc24892"/>
      <w:bookmarkStart w:id="29" w:name="_Toc5535"/>
      <w:bookmarkStart w:id="30" w:name="_Toc4854"/>
      <w:bookmarkStart w:id="31" w:name="_Toc16693"/>
      <w:r>
        <w:rPr>
          <w:rStyle w:val="23"/>
          <w:rFonts w:hint="eastAsia" w:ascii="楷体" w:hAnsi="楷体" w:eastAsia="楷体"/>
          <w:b/>
          <w:kern w:val="0"/>
          <w:szCs w:val="32"/>
          <w:lang w:val="en-US" w:eastAsia="zh-CN"/>
        </w:rPr>
        <w:t>（四）项目组织与资金管理情况</w:t>
      </w:r>
      <w:bookmarkEnd w:id="27"/>
      <w:bookmarkEnd w:id="28"/>
      <w:bookmarkEnd w:id="29"/>
      <w:bookmarkEnd w:id="30"/>
      <w:bookmarkEnd w:id="31"/>
    </w:p>
    <w:p>
      <w:pPr>
        <w:keepNext w:val="0"/>
        <w:keepLines w:val="0"/>
        <w:pageBreakBefore w:val="0"/>
        <w:kinsoku/>
        <w:wordWrap/>
        <w:overflowPunct/>
        <w:topLinePunct w:val="0"/>
        <w:autoSpaceDE/>
        <w:autoSpaceDN/>
        <w:bidi w:val="0"/>
        <w:adjustRightInd/>
        <w:snapToGrid/>
        <w:spacing w:line="560" w:lineRule="exac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32" w:name="_Toc32708"/>
      <w:r>
        <w:rPr>
          <w:rFonts w:hint="eastAsia" w:ascii="Times New Roman" w:hAnsi="Times New Roman" w:eastAsia="仿宋_GB2312" w:cs="Times New Roman"/>
          <w:b/>
          <w:bCs/>
          <w:i w:val="0"/>
          <w:caps w:val="0"/>
          <w:color w:val="000000"/>
          <w:spacing w:val="0"/>
          <w:w w:val="100"/>
          <w:kern w:val="0"/>
          <w:sz w:val="32"/>
          <w:szCs w:val="32"/>
          <w:lang w:val="en-US" w:eastAsia="zh-CN" w:bidi="ar"/>
        </w:rPr>
        <w:t>1.项目组织情况</w:t>
      </w:r>
      <w:bookmarkEnd w:id="32"/>
    </w:p>
    <w:p>
      <w:pPr>
        <w:bidi w:val="0"/>
        <w:spacing w:line="560" w:lineRule="exact"/>
        <w:rPr>
          <w:rFonts w:hint="eastAsia" w:ascii="Times New Roman" w:hAnsi="Times New Roman" w:eastAsia="仿宋_GB2312" w:cs="Times New Roman"/>
          <w:b w:val="0"/>
          <w:bCs w:val="0"/>
          <w:i w:val="0"/>
          <w:caps w:val="0"/>
          <w:color w:val="000000"/>
          <w:spacing w:val="0"/>
          <w:w w:val="100"/>
          <w:kern w:val="0"/>
          <w:sz w:val="32"/>
          <w:szCs w:val="32"/>
          <w:lang w:val="zh-CN" w:eastAsia="zh-CN" w:bidi="ar"/>
        </w:rPr>
      </w:pP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吐鲁番市权限内二类非金属矿产资源调查项目（高昌区Ⅳ区、Ⅵ区）资金拨付部门为吐鲁番市财政局，项目监管单位为鲁番市自然资源局，项目具体实施单位为鲁番市自然资源局。</w:t>
      </w:r>
    </w:p>
    <w:p>
      <w:pPr>
        <w:bidi w:val="0"/>
        <w:spacing w:line="560" w:lineRule="exact"/>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bookmarkStart w:id="33" w:name="_Toc25110"/>
      <w:bookmarkStart w:id="34" w:name="_Toc8582"/>
      <w:r>
        <w:rPr>
          <w:rFonts w:hint="eastAsia" w:ascii="Times New Roman" w:hAnsi="Times New Roman" w:eastAsia="仿宋_GB2312" w:cs="Times New Roman"/>
          <w:b/>
          <w:bCs/>
          <w:i w:val="0"/>
          <w:caps w:val="0"/>
          <w:color w:val="000000"/>
          <w:spacing w:val="0"/>
          <w:w w:val="100"/>
          <w:kern w:val="0"/>
          <w:sz w:val="32"/>
          <w:szCs w:val="32"/>
          <w:lang w:val="en-US" w:eastAsia="zh-CN" w:bidi="ar"/>
        </w:rPr>
        <w:t>吐鲁番市财政局：</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负责审核专项资金的年度预算及项目资金拨付管理，协同各部门制订和完善专项资金管理政策、项目申报指南，参与项目财务事项评审，根据专项资金预算和项目公示结果及时拨付资金，并对专项资金使用情况进行绩效考核和监督检查。</w:t>
      </w:r>
      <w:bookmarkEnd w:id="33"/>
    </w:p>
    <w:p>
      <w:pPr>
        <w:bidi w:val="0"/>
        <w:spacing w:line="560" w:lineRule="exact"/>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Times New Roman" w:hAnsi="Times New Roman" w:eastAsia="仿宋_GB2312" w:cs="Times New Roman"/>
          <w:b/>
          <w:bCs/>
          <w:i w:val="0"/>
          <w:caps w:val="0"/>
          <w:color w:val="000000"/>
          <w:spacing w:val="0"/>
          <w:w w:val="100"/>
          <w:kern w:val="0"/>
          <w:sz w:val="32"/>
          <w:szCs w:val="32"/>
          <w:lang w:val="en-US" w:eastAsia="zh-CN" w:bidi="ar"/>
        </w:rPr>
        <w:t>吐鲁番市自然资源局：</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组织项目申报、审核，并对项目实施情况进行监督检查，负责专项资金拨付管理，制订专项资金管理办法。编制专项资金绩效目标和年度预算，负责项目总结和绩效评价自评工作；负责制定项目实施方案；指导、协调、监督、管理项目顺利实施。</w:t>
      </w:r>
    </w:p>
    <w:p>
      <w:pPr>
        <w:keepNext w:val="0"/>
        <w:keepLines w:val="0"/>
        <w:pageBreakBefore w:val="0"/>
        <w:kinsoku/>
        <w:wordWrap/>
        <w:overflowPunct/>
        <w:topLinePunct w:val="0"/>
        <w:autoSpaceDE/>
        <w:autoSpaceDN/>
        <w:bidi w:val="0"/>
        <w:adjustRightInd/>
        <w:snapToGrid/>
        <w:spacing w:line="560" w:lineRule="atLeast"/>
        <w:ind w:firstLine="643" w:firstLineChars="200"/>
        <w:rPr>
          <w:rFonts w:hint="eastAsia" w:ascii="Times New Roman" w:hAnsi="Times New Roman" w:eastAsia="仿宋_GB2312" w:cs="Times New Roman"/>
          <w:b/>
          <w:bCs/>
          <w:i w:val="0"/>
          <w:caps w:val="0"/>
          <w:color w:val="000000"/>
          <w:spacing w:val="0"/>
          <w:w w:val="100"/>
          <w:kern w:val="0"/>
          <w:sz w:val="32"/>
          <w:szCs w:val="32"/>
          <w:lang w:val="en-US" w:eastAsia="zh-CN" w:bidi="ar"/>
        </w:rPr>
      </w:pPr>
      <w:r>
        <w:rPr>
          <w:rFonts w:hint="eastAsia" w:ascii="Times New Roman" w:hAnsi="Times New Roman" w:eastAsia="仿宋_GB2312" w:cs="Times New Roman"/>
          <w:b/>
          <w:bCs/>
          <w:i w:val="0"/>
          <w:caps w:val="0"/>
          <w:color w:val="000000"/>
          <w:spacing w:val="0"/>
          <w:w w:val="100"/>
          <w:kern w:val="0"/>
          <w:sz w:val="32"/>
          <w:szCs w:val="32"/>
          <w:lang w:val="en-US" w:eastAsia="zh-CN" w:bidi="ar"/>
        </w:rPr>
        <w:t>2.资金管理情况</w:t>
      </w:r>
      <w:bookmarkEnd w:id="34"/>
    </w:p>
    <w:p>
      <w:pPr>
        <w:bidi w:val="0"/>
        <w:spacing w:line="560" w:lineRule="exact"/>
        <w:rPr>
          <w:rFonts w:hint="eastAsia"/>
          <w:lang w:val="en-US" w:eastAsia="zh-CN"/>
        </w:rPr>
      </w:pPr>
      <w:r>
        <w:rPr>
          <w:rFonts w:hint="eastAsia"/>
          <w:lang w:val="en-US" w:eastAsia="zh-CN"/>
        </w:rPr>
        <w:t>此项目资金支出严格按照单位财务制度等相关规定，资金支出符合专项资金费用范围，做到了专款专用。在项目资金拨付和使用过程中，为确保项目资金的安全性，提高项目资金使用效率，严格遵循项目资金的拨付程序，认真审核项目实施各阶段的相关材料和手续，根据项目实施进展情况拨付资金。</w:t>
      </w:r>
    </w:p>
    <w:p>
      <w:pPr>
        <w:widowControl/>
        <w:bidi w:val="0"/>
        <w:spacing w:line="560" w:lineRule="exact"/>
        <w:ind w:firstLine="643" w:firstLineChars="200"/>
        <w:textAlignment w:val="baseline"/>
        <w:rPr>
          <w:rStyle w:val="23"/>
          <w:rFonts w:hint="eastAsia" w:ascii="楷体" w:hAnsi="楷体" w:eastAsia="楷体"/>
          <w:b/>
          <w:kern w:val="0"/>
          <w:szCs w:val="32"/>
          <w:lang w:val="en-US" w:eastAsia="zh-CN"/>
        </w:rPr>
      </w:pPr>
      <w:bookmarkStart w:id="35" w:name="_Toc7134"/>
      <w:bookmarkStart w:id="36" w:name="_Toc57400174"/>
      <w:bookmarkStart w:id="37" w:name="_Toc14112"/>
      <w:bookmarkStart w:id="38" w:name="_Toc9610"/>
      <w:bookmarkStart w:id="39" w:name="_Toc27977"/>
      <w:r>
        <w:rPr>
          <w:rStyle w:val="23"/>
          <w:rFonts w:hint="eastAsia" w:ascii="楷体" w:hAnsi="楷体" w:eastAsia="楷体"/>
          <w:b/>
          <w:kern w:val="0"/>
          <w:szCs w:val="32"/>
          <w:lang w:val="en-US" w:eastAsia="zh-CN"/>
        </w:rPr>
        <w:t>（五）项目绩效目标</w:t>
      </w:r>
      <w:bookmarkEnd w:id="35"/>
      <w:bookmarkEnd w:id="36"/>
      <w:bookmarkEnd w:id="37"/>
      <w:bookmarkEnd w:id="38"/>
      <w:bookmarkEnd w:id="39"/>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40" w:name="_Toc29540"/>
      <w:r>
        <w:rPr>
          <w:rFonts w:hint="eastAsia" w:ascii="Times New Roman" w:hAnsi="Times New Roman" w:eastAsia="仿宋_GB2312" w:cs="Times New Roman"/>
          <w:b/>
          <w:bCs/>
          <w:i w:val="0"/>
          <w:caps w:val="0"/>
          <w:color w:val="000000"/>
          <w:spacing w:val="0"/>
          <w:w w:val="100"/>
          <w:kern w:val="0"/>
          <w:sz w:val="32"/>
          <w:szCs w:val="32"/>
          <w:lang w:val="en-US" w:eastAsia="zh-CN" w:bidi="ar"/>
        </w:rPr>
        <w:t>1.总目标</w:t>
      </w:r>
      <w:bookmarkEnd w:id="40"/>
    </w:p>
    <w:p>
      <w:pPr>
        <w:bidi w:val="0"/>
        <w:spacing w:line="560" w:lineRule="exact"/>
        <w:rPr>
          <w:rFonts w:hint="eastAsia"/>
          <w:lang w:val="en-US" w:eastAsia="zh-CN"/>
        </w:rPr>
      </w:pPr>
      <w:bookmarkStart w:id="41" w:name="_Toc15957"/>
      <w:bookmarkStart w:id="42" w:name="_Toc3312"/>
      <w:r>
        <w:rPr>
          <w:rFonts w:hint="eastAsia"/>
          <w:lang w:val="en-US" w:eastAsia="zh-CN"/>
        </w:rPr>
        <w:t>筛选一批找矿前景好、矿体有出露、不在生态红线范围等禁止功能区且企业有需求的大理岩等非金属矿调查工作靶区进行矿产资源调查，为吐鲁番市社会经济持续发展提供资源保障。</w:t>
      </w:r>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r>
        <w:rPr>
          <w:rFonts w:hint="eastAsia" w:ascii="Times New Roman" w:hAnsi="Times New Roman" w:eastAsia="仿宋_GB2312" w:cs="Times New Roman"/>
          <w:b/>
          <w:bCs/>
          <w:i w:val="0"/>
          <w:caps w:val="0"/>
          <w:color w:val="000000"/>
          <w:spacing w:val="0"/>
          <w:w w:val="100"/>
          <w:kern w:val="0"/>
          <w:sz w:val="32"/>
          <w:szCs w:val="32"/>
          <w:lang w:val="en-US" w:eastAsia="zh-CN" w:bidi="ar"/>
        </w:rPr>
        <w:t>2.年度绩效目标</w:t>
      </w:r>
      <w:bookmarkEnd w:id="41"/>
      <w:bookmarkEnd w:id="42"/>
    </w:p>
    <w:p>
      <w:pPr>
        <w:bidi w:val="0"/>
        <w:spacing w:line="560" w:lineRule="exact"/>
        <w:rPr>
          <w:rFonts w:hint="eastAsia"/>
          <w:lang w:val="en-US" w:eastAsia="zh-CN"/>
        </w:rPr>
      </w:pPr>
      <w:r>
        <w:rPr>
          <w:rFonts w:hint="eastAsia"/>
          <w:lang w:val="en-US" w:eastAsia="zh-CN"/>
        </w:rPr>
        <w:t>根据《吐鲁番市权限内二类非金属矿产资源调查项目（高昌区Ⅳ区、Ⅵ区）绩效目标申报表》，本专项资金</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年度绩效目标如下：</w:t>
      </w:r>
    </w:p>
    <w:p>
      <w:pPr>
        <w:keepNext w:val="0"/>
        <w:keepLines w:val="0"/>
        <w:widowControl/>
        <w:suppressLineNumbers w:val="0"/>
        <w:spacing w:line="560" w:lineRule="exact"/>
        <w:ind w:firstLine="0" w:firstLineChars="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表1-1 项目年度绩效目标</w:t>
      </w:r>
    </w:p>
    <w:tbl>
      <w:tblPr>
        <w:tblStyle w:val="17"/>
        <w:tblpPr w:leftFromText="180" w:rightFromText="180" w:vertAnchor="text" w:horzAnchor="page" w:tblpX="1382" w:tblpY="283"/>
        <w:tblOverlap w:val="never"/>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728"/>
        <w:gridCol w:w="349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36"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一级指标</w:t>
            </w:r>
          </w:p>
        </w:tc>
        <w:tc>
          <w:tcPr>
            <w:tcW w:w="1728"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二级指标</w:t>
            </w:r>
          </w:p>
        </w:tc>
        <w:tc>
          <w:tcPr>
            <w:tcW w:w="3495"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三级指标</w:t>
            </w:r>
          </w:p>
        </w:tc>
        <w:tc>
          <w:tcPr>
            <w:tcW w:w="2625" w:type="dxa"/>
            <w:shd w:val="clear" w:color="auto" w:fill="AEAAAA"/>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预期指标值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restart"/>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产出指标</w:t>
            </w:r>
          </w:p>
        </w:tc>
        <w:tc>
          <w:tcPr>
            <w:tcW w:w="1728" w:type="dxa"/>
            <w:vMerge w:val="restart"/>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数量指标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对筛选的工作靶区开展矿产资源调查工作</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Merge w:val="continue"/>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委托实施单位提交调查项目成果报告</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质量指标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按照项目任务书，提交项目设计书</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≥2个（非金属矿）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时效指标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调查项目成果报告按期完成率</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成本指标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预算控制数</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≤471.56万元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36" w:type="dxa"/>
            <w:vMerge w:val="restart"/>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效益指标</w:t>
            </w:r>
          </w:p>
        </w:tc>
        <w:tc>
          <w:tcPr>
            <w:tcW w:w="1728" w:type="dxa"/>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社会效益指标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拓宽吐鲁番市矿产资源的发展空间</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536" w:type="dxa"/>
            <w:vMerge w:val="continue"/>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生态效益指标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坚持资源开发可持续与生态保护可持续，积极倡导绿色发展理念</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长期坚持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6"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满意度指标</w:t>
            </w:r>
          </w:p>
        </w:tc>
        <w:tc>
          <w:tcPr>
            <w:tcW w:w="1728"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满意度指标</w:t>
            </w:r>
          </w:p>
        </w:tc>
        <w:tc>
          <w:tcPr>
            <w:tcW w:w="3495" w:type="dxa"/>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调查成果使用者满意度</w:t>
            </w:r>
          </w:p>
        </w:tc>
        <w:tc>
          <w:tcPr>
            <w:tcW w:w="2625" w:type="dxa"/>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≥90%</w:t>
            </w:r>
          </w:p>
        </w:tc>
      </w:tr>
    </w:tbl>
    <w:p>
      <w:pPr>
        <w:widowControl/>
        <w:bidi w:val="0"/>
        <w:spacing w:line="560" w:lineRule="exact"/>
        <w:ind w:firstLine="640" w:firstLineChars="200"/>
        <w:textAlignment w:val="baseline"/>
        <w:outlineLvl w:val="0"/>
        <w:rPr>
          <w:rStyle w:val="23"/>
          <w:rFonts w:hint="eastAsia" w:ascii="黑体" w:hAnsi="黑体" w:eastAsia="黑体" w:cs="黑体"/>
          <w:b w:val="0"/>
          <w:bCs/>
          <w:kern w:val="0"/>
          <w:szCs w:val="32"/>
          <w:lang w:val="en-US" w:eastAsia="zh-CN"/>
        </w:rPr>
      </w:pPr>
      <w:bookmarkStart w:id="43" w:name="_Toc10432"/>
      <w:bookmarkStart w:id="44" w:name="_Toc32"/>
      <w:bookmarkStart w:id="45" w:name="_Toc14713"/>
      <w:bookmarkStart w:id="46" w:name="_Toc4636"/>
      <w:r>
        <w:rPr>
          <w:rStyle w:val="23"/>
          <w:rFonts w:hint="default" w:ascii="黑体" w:hAnsi="黑体" w:eastAsia="黑体" w:cs="黑体"/>
          <w:b w:val="0"/>
          <w:bCs/>
          <w:kern w:val="0"/>
          <w:szCs w:val="32"/>
          <w:lang w:val="en-US" w:eastAsia="zh-CN"/>
        </w:rPr>
        <w:t>二、评价</w:t>
      </w:r>
      <w:bookmarkEnd w:id="43"/>
      <w:r>
        <w:rPr>
          <w:rStyle w:val="23"/>
          <w:rFonts w:hint="default" w:ascii="黑体" w:hAnsi="黑体" w:eastAsia="黑体" w:cs="黑体"/>
          <w:b w:val="0"/>
          <w:bCs/>
          <w:kern w:val="0"/>
          <w:szCs w:val="32"/>
          <w:lang w:val="en-US" w:eastAsia="zh-CN"/>
        </w:rPr>
        <w:t>工作概述</w:t>
      </w:r>
      <w:bookmarkEnd w:id="44"/>
      <w:bookmarkEnd w:id="45"/>
      <w:bookmarkEnd w:id="46"/>
      <w:r>
        <w:rPr>
          <w:rStyle w:val="23"/>
          <w:rFonts w:hint="eastAsia" w:ascii="黑体" w:hAnsi="黑体" w:eastAsia="黑体" w:cs="黑体"/>
          <w:b w:val="0"/>
          <w:bCs/>
          <w:kern w:val="0"/>
          <w:szCs w:val="32"/>
          <w:lang w:val="en-US" w:eastAsia="zh-CN"/>
        </w:rPr>
        <w:tab/>
      </w:r>
    </w:p>
    <w:p>
      <w:pPr>
        <w:widowControl/>
        <w:bidi w:val="0"/>
        <w:spacing w:line="560" w:lineRule="exact"/>
        <w:ind w:firstLine="643" w:firstLineChars="200"/>
        <w:textAlignment w:val="baseline"/>
        <w:outlineLvl w:val="1"/>
        <w:rPr>
          <w:rStyle w:val="23"/>
          <w:rFonts w:hint="eastAsia" w:ascii="楷体" w:hAnsi="楷体" w:eastAsia="楷体"/>
          <w:b/>
          <w:kern w:val="0"/>
          <w:szCs w:val="32"/>
          <w:lang w:val="en-US" w:eastAsia="zh-CN"/>
        </w:rPr>
      </w:pPr>
      <w:bookmarkStart w:id="47" w:name="_Toc25234"/>
      <w:bookmarkStart w:id="48" w:name="_Toc29284"/>
      <w:bookmarkStart w:id="49" w:name="_Toc30975"/>
      <w:r>
        <w:rPr>
          <w:rStyle w:val="23"/>
          <w:rFonts w:hint="eastAsia" w:ascii="楷体" w:hAnsi="楷体" w:eastAsia="楷体"/>
          <w:b/>
          <w:kern w:val="0"/>
          <w:szCs w:val="32"/>
          <w:lang w:val="en-US" w:eastAsia="zh-CN"/>
        </w:rPr>
        <w:t>（一）评价目的与原则</w:t>
      </w:r>
      <w:bookmarkEnd w:id="47"/>
      <w:bookmarkEnd w:id="48"/>
      <w:bookmarkEnd w:id="49"/>
    </w:p>
    <w:p>
      <w:pPr>
        <w:bidi w:val="0"/>
        <w:spacing w:line="560" w:lineRule="exact"/>
        <w:rPr>
          <w:rFonts w:hint="eastAsia"/>
          <w:lang w:val="en-US" w:eastAsia="zh-CN"/>
        </w:rPr>
      </w:pPr>
      <w:r>
        <w:rPr>
          <w:rFonts w:hint="eastAsia"/>
          <w:lang w:val="en-US" w:eastAsia="zh-CN"/>
        </w:rPr>
        <w:t>本次评价坚持定量优先、定量与定性相结合的方式，始终遵循科学规范、公正公开、分级分类、绩效相关的基本原则。通过对吐鲁番市权限内二类非金属矿产资源调查项目（高昌区Ⅳ区、Ⅵ区）专项资金进行绩效评价，旨在了解项目资金使用和项目管理情况，同时，通过对该资金使用的项目所达到的效益进行考量，分析该项目所产生的效益，以发现本项目在项目管理及预算资金安排等方面存在的问题并提出针对性的意见。</w:t>
      </w:r>
    </w:p>
    <w:p>
      <w:pPr>
        <w:widowControl/>
        <w:bidi w:val="0"/>
        <w:spacing w:line="560" w:lineRule="exact"/>
        <w:ind w:firstLine="643" w:firstLineChars="200"/>
        <w:textAlignment w:val="baseline"/>
        <w:outlineLvl w:val="1"/>
        <w:rPr>
          <w:rStyle w:val="23"/>
          <w:rFonts w:hint="eastAsia" w:ascii="楷体" w:hAnsi="楷体" w:eastAsia="楷体"/>
          <w:b/>
          <w:kern w:val="0"/>
          <w:szCs w:val="32"/>
          <w:lang w:val="en-US" w:eastAsia="zh-CN"/>
        </w:rPr>
      </w:pPr>
      <w:bookmarkStart w:id="50" w:name="_Toc18293"/>
      <w:bookmarkStart w:id="51" w:name="_Toc19559"/>
      <w:bookmarkStart w:id="52" w:name="_Toc12257"/>
      <w:r>
        <w:rPr>
          <w:rStyle w:val="23"/>
          <w:rFonts w:hint="eastAsia" w:ascii="楷体" w:hAnsi="楷体" w:eastAsia="楷体"/>
          <w:b/>
          <w:kern w:val="0"/>
          <w:szCs w:val="32"/>
          <w:lang w:val="en-US" w:eastAsia="zh-CN"/>
        </w:rPr>
        <w:t>（二）评价方法</w:t>
      </w:r>
      <w:bookmarkEnd w:id="50"/>
      <w:bookmarkEnd w:id="51"/>
      <w:bookmarkEnd w:id="52"/>
    </w:p>
    <w:p>
      <w:pPr>
        <w:bidi w:val="0"/>
        <w:spacing w:line="560" w:lineRule="exact"/>
        <w:rPr>
          <w:rFonts w:hint="eastAsia"/>
          <w:lang w:val="en-US" w:eastAsia="zh-CN"/>
        </w:rPr>
      </w:pPr>
      <w:r>
        <w:rPr>
          <w:rFonts w:hint="eastAsia"/>
          <w:lang w:val="en-US" w:eastAsia="zh-CN"/>
        </w:rPr>
        <w:t>本次评价主要运用文献法、社会调查法、对比分析法等方法，具体评价方法如下：</w:t>
      </w:r>
    </w:p>
    <w:p>
      <w:pPr>
        <w:bidi w:val="0"/>
        <w:spacing w:line="560" w:lineRule="exact"/>
        <w:rPr>
          <w:rFonts w:hint="eastAsia"/>
          <w:lang w:val="en-US" w:eastAsia="zh-CN"/>
        </w:rPr>
      </w:pPr>
      <w:bookmarkStart w:id="53" w:name="_Toc451937457"/>
      <w:bookmarkStart w:id="54" w:name="_Toc371600465"/>
      <w:bookmarkStart w:id="55" w:name="_Toc435460264"/>
      <w:bookmarkStart w:id="56" w:name="_Toc453593832"/>
      <w:bookmarkStart w:id="57" w:name="_Toc438563763"/>
      <w:bookmarkStart w:id="58" w:name="_Toc371295690"/>
      <w:bookmarkStart w:id="59" w:name="_Toc451758897"/>
      <w:bookmarkStart w:id="60" w:name="_Toc435026288"/>
      <w:bookmarkStart w:id="61" w:name="_Toc452370924"/>
      <w:bookmarkStart w:id="62" w:name="_Toc435602755"/>
      <w:bookmarkStart w:id="63" w:name="_Toc435006004"/>
      <w:r>
        <w:rPr>
          <w:rFonts w:hint="eastAsia"/>
          <w:b/>
          <w:bCs/>
          <w:lang w:val="en-US" w:eastAsia="zh-CN"/>
        </w:rPr>
        <w:t>文献法：</w:t>
      </w:r>
      <w:r>
        <w:rPr>
          <w:rFonts w:hint="eastAsia"/>
          <w:lang w:val="en-US" w:eastAsia="zh-CN"/>
        </w:rPr>
        <w:t>通过检索、查阅、梳理吐鲁番市权限内二类非金属矿产资源调查项目（高昌区Ⅳ区、Ⅵ区）相关的政策文件、会议纪要等相关材料，了解该项目立项依据的充分性及立项的规范性。</w:t>
      </w:r>
    </w:p>
    <w:p>
      <w:pPr>
        <w:bidi w:val="0"/>
        <w:spacing w:line="560" w:lineRule="exact"/>
        <w:rPr>
          <w:rFonts w:hint="eastAsia"/>
          <w:lang w:val="en-US" w:eastAsia="zh-CN"/>
        </w:rPr>
      </w:pPr>
      <w:r>
        <w:rPr>
          <w:rFonts w:hint="eastAsia"/>
          <w:b/>
          <w:bCs/>
          <w:lang w:val="en-US" w:eastAsia="zh-CN"/>
        </w:rPr>
        <w:t>社会调查法</w:t>
      </w:r>
      <w:bookmarkEnd w:id="53"/>
      <w:bookmarkEnd w:id="54"/>
      <w:bookmarkEnd w:id="55"/>
      <w:bookmarkEnd w:id="56"/>
      <w:bookmarkEnd w:id="57"/>
      <w:bookmarkEnd w:id="58"/>
      <w:bookmarkEnd w:id="59"/>
      <w:bookmarkEnd w:id="60"/>
      <w:bookmarkEnd w:id="61"/>
      <w:bookmarkEnd w:id="62"/>
      <w:bookmarkEnd w:id="63"/>
      <w:r>
        <w:rPr>
          <w:rFonts w:hint="eastAsia"/>
          <w:b/>
          <w:bCs/>
          <w:lang w:val="en-US" w:eastAsia="zh-CN"/>
        </w:rPr>
        <w:t>：</w:t>
      </w:r>
      <w:r>
        <w:rPr>
          <w:rFonts w:hint="eastAsia"/>
          <w:lang w:val="en-US" w:eastAsia="zh-CN"/>
        </w:rPr>
        <w:t>社会调查是深入了解项目参与主体和利益相关方对项目认知及态度的主要方法，同时也是搜集标准统计数据的有效途径。评价组将采用访谈等方法对吐鲁番市权限内二类非金属矿产资源调查项目（高昌区Ⅳ区、Ⅵ区）参与人员等进行充分调研，更加充分的掌握项目的内容、实施过程、实施效果等，为评价指标评分和结果分析提供支撑。</w:t>
      </w:r>
    </w:p>
    <w:p>
      <w:pPr>
        <w:bidi w:val="0"/>
        <w:spacing w:line="560" w:lineRule="exact"/>
        <w:rPr>
          <w:rFonts w:hint="eastAsia"/>
          <w:lang w:val="en-US" w:eastAsia="zh-CN"/>
        </w:rPr>
      </w:pPr>
      <w:bookmarkStart w:id="64" w:name="_Toc12587"/>
      <w:bookmarkStart w:id="65" w:name="_Toc377"/>
      <w:r>
        <w:rPr>
          <w:rFonts w:hint="eastAsia"/>
          <w:b/>
          <w:bCs/>
          <w:lang w:val="en-US" w:eastAsia="zh-CN"/>
        </w:rPr>
        <w:t>对比分析法：</w:t>
      </w:r>
      <w:r>
        <w:rPr>
          <w:rFonts w:hint="eastAsia"/>
          <w:lang w:val="en-US" w:eastAsia="zh-CN"/>
        </w:rPr>
        <w:t>对比分析是绩效评价中分析政策产出和效果常用的方法之一。本次专项资金政策绩效评价过程中，评价组将各指标的实际完成值与绩效目标进行对比分析，考察分析绩效目标的完成情况及实现程度和效果。</w:t>
      </w:r>
    </w:p>
    <w:p>
      <w:pPr>
        <w:widowControl/>
        <w:bidi w:val="0"/>
        <w:spacing w:line="560" w:lineRule="exact"/>
        <w:ind w:firstLine="643" w:firstLineChars="200"/>
        <w:textAlignment w:val="baseline"/>
        <w:rPr>
          <w:rStyle w:val="23"/>
          <w:rFonts w:hint="eastAsia" w:ascii="楷体" w:hAnsi="楷体" w:eastAsia="楷体"/>
          <w:b/>
          <w:kern w:val="0"/>
          <w:szCs w:val="32"/>
          <w:lang w:val="en-US" w:eastAsia="zh-CN"/>
        </w:rPr>
      </w:pPr>
      <w:bookmarkStart w:id="66" w:name="_Toc27068"/>
      <w:r>
        <w:rPr>
          <w:rStyle w:val="23"/>
          <w:rFonts w:hint="eastAsia" w:ascii="楷体" w:hAnsi="楷体" w:eastAsia="楷体"/>
          <w:b/>
          <w:kern w:val="0"/>
          <w:szCs w:val="32"/>
          <w:lang w:val="en-US" w:eastAsia="zh-CN"/>
        </w:rPr>
        <w:t>（三）绩效评价指标体系</w:t>
      </w:r>
      <w:bookmarkEnd w:id="64"/>
      <w:bookmarkEnd w:id="65"/>
      <w:bookmarkEnd w:id="66"/>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67" w:name="_Toc28709"/>
      <w:bookmarkStart w:id="68" w:name="_Toc864"/>
      <w:bookmarkStart w:id="69" w:name="_Toc25793"/>
      <w:r>
        <w:rPr>
          <w:rFonts w:hint="eastAsia" w:ascii="Times New Roman" w:hAnsi="Times New Roman" w:eastAsia="仿宋_GB2312" w:cs="Times New Roman"/>
          <w:b/>
          <w:bCs/>
          <w:i w:val="0"/>
          <w:caps w:val="0"/>
          <w:color w:val="000000"/>
          <w:spacing w:val="0"/>
          <w:w w:val="100"/>
          <w:kern w:val="0"/>
          <w:sz w:val="32"/>
          <w:szCs w:val="32"/>
          <w:lang w:val="en-US" w:eastAsia="zh-CN" w:bidi="ar"/>
        </w:rPr>
        <w:t>1.指标体系设计思路</w:t>
      </w:r>
      <w:bookmarkEnd w:id="67"/>
      <w:bookmarkEnd w:id="68"/>
      <w:bookmarkEnd w:id="69"/>
    </w:p>
    <w:p>
      <w:pPr>
        <w:bidi w:val="0"/>
        <w:spacing w:line="560" w:lineRule="exact"/>
        <w:rPr>
          <w:rFonts w:hint="eastAsia"/>
          <w:lang w:val="en-US" w:eastAsia="zh-CN"/>
        </w:rPr>
      </w:pPr>
      <w:r>
        <w:rPr>
          <w:rFonts w:hint="eastAsia"/>
          <w:lang w:val="en-US" w:eastAsia="zh-CN"/>
        </w:rPr>
        <w:t>根据绩效评价的基本原理、原则和项目特点，结合绩效目标，由项目组独立研制科学的指标体系。评价指标体系按照逻辑分析法设计，包括决策、过程、产出、效益四部分内容，力求全面考察项目决策、资金投入、过程管理、产出效果和社会效益，体现从项目本身、执行到效果的逻辑路径。评价指标体系是评价的依据，评价数据通过由访谈方式获取。</w:t>
      </w:r>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70" w:name="_Toc26179"/>
      <w:bookmarkStart w:id="71" w:name="_Toc25824"/>
      <w:bookmarkStart w:id="72" w:name="_Toc5259"/>
      <w:r>
        <w:rPr>
          <w:rFonts w:hint="eastAsia" w:ascii="Times New Roman" w:hAnsi="Times New Roman" w:eastAsia="仿宋_GB2312" w:cs="Times New Roman"/>
          <w:b/>
          <w:bCs/>
          <w:i w:val="0"/>
          <w:caps w:val="0"/>
          <w:color w:val="000000"/>
          <w:spacing w:val="0"/>
          <w:w w:val="100"/>
          <w:kern w:val="0"/>
          <w:sz w:val="32"/>
          <w:szCs w:val="32"/>
          <w:lang w:val="en-US" w:eastAsia="zh-CN" w:bidi="ar"/>
        </w:rPr>
        <w:t>2.指标</w:t>
      </w:r>
      <w:bookmarkEnd w:id="70"/>
      <w:r>
        <w:rPr>
          <w:rFonts w:hint="eastAsia" w:ascii="Times New Roman" w:hAnsi="Times New Roman" w:eastAsia="仿宋_GB2312" w:cs="Times New Roman"/>
          <w:b/>
          <w:bCs/>
          <w:i w:val="0"/>
          <w:caps w:val="0"/>
          <w:color w:val="000000"/>
          <w:spacing w:val="0"/>
          <w:w w:val="100"/>
          <w:kern w:val="0"/>
          <w:sz w:val="32"/>
          <w:szCs w:val="32"/>
          <w:lang w:val="en-US" w:eastAsia="zh-CN" w:bidi="ar"/>
        </w:rPr>
        <w:t>解释</w:t>
      </w:r>
      <w:bookmarkEnd w:id="71"/>
      <w:bookmarkEnd w:id="72"/>
    </w:p>
    <w:p>
      <w:pPr>
        <w:bidi w:val="0"/>
        <w:spacing w:line="560" w:lineRule="exact"/>
        <w:rPr>
          <w:rFonts w:hint="eastAsia"/>
        </w:rPr>
      </w:pPr>
      <w:r>
        <w:rPr>
          <w:rFonts w:hint="eastAsia"/>
        </w:rPr>
        <w:t>（1）权重</w:t>
      </w:r>
    </w:p>
    <w:p>
      <w:pPr>
        <w:bidi w:val="0"/>
        <w:spacing w:line="560" w:lineRule="exact"/>
        <w:rPr>
          <w:rFonts w:hint="eastAsia"/>
        </w:rPr>
      </w:pPr>
      <w:r>
        <w:rPr>
          <w:rFonts w:hint="eastAsia"/>
        </w:rPr>
        <w:t>本报告评价指标体系各指标的权重由评价组根据项目评价需求，在调研基础上依据指标的重要性进行分配，在经专家论证后结合专家意见最终确定。</w:t>
      </w:r>
    </w:p>
    <w:p>
      <w:pPr>
        <w:bidi w:val="0"/>
        <w:spacing w:line="560" w:lineRule="exact"/>
        <w:rPr>
          <w:rFonts w:hint="eastAsia"/>
        </w:rPr>
      </w:pPr>
      <w:r>
        <w:rPr>
          <w:rFonts w:hint="eastAsia"/>
        </w:rPr>
        <w:t>（2）评价标准</w:t>
      </w:r>
    </w:p>
    <w:p>
      <w:pPr>
        <w:bidi w:val="0"/>
        <w:spacing w:line="560" w:lineRule="exact"/>
        <w:rPr>
          <w:rFonts w:hint="eastAsia"/>
        </w:rPr>
      </w:pPr>
      <w:r>
        <w:rPr>
          <w:rFonts w:hint="eastAsia"/>
        </w:rPr>
        <w:t>本报告指标体系的评价标准按照计划标准、行业标准、历史标准等制定。对于定性指标，一般通过访谈采集相关数据，在实施过程中运用等级描述法进行考核，通过设置分级标准来体现该指标认可程度的差异。对于定量指标，一般通过公式等方式予以量化，可以准确数量定义、精确衡量并能设定目标值的考核指标。</w:t>
      </w:r>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73" w:name="_Toc4684"/>
      <w:bookmarkStart w:id="74" w:name="_Toc31619"/>
      <w:r>
        <w:rPr>
          <w:rFonts w:hint="eastAsia" w:ascii="Times New Roman" w:hAnsi="Times New Roman" w:eastAsia="仿宋_GB2312" w:cs="Times New Roman"/>
          <w:b/>
          <w:bCs/>
          <w:i w:val="0"/>
          <w:caps w:val="0"/>
          <w:color w:val="000000"/>
          <w:spacing w:val="0"/>
          <w:w w:val="100"/>
          <w:kern w:val="0"/>
          <w:sz w:val="32"/>
          <w:szCs w:val="32"/>
          <w:lang w:val="en-US" w:eastAsia="zh-CN" w:bidi="ar"/>
        </w:rPr>
        <w:t>3.指标体系</w:t>
      </w:r>
      <w:bookmarkEnd w:id="73"/>
      <w:bookmarkEnd w:id="74"/>
    </w:p>
    <w:p>
      <w:pPr>
        <w:bidi w:val="0"/>
        <w:spacing w:line="560" w:lineRule="exact"/>
        <w:rPr>
          <w:rFonts w:hint="eastAsia"/>
          <w:lang w:val="en-US" w:eastAsia="zh-CN"/>
        </w:rPr>
      </w:pPr>
      <w:bookmarkStart w:id="75" w:name="_Toc24159"/>
      <w:r>
        <w:rPr>
          <w:rFonts w:hint="eastAsia"/>
          <w:lang w:val="en-US" w:eastAsia="zh-CN"/>
        </w:rPr>
        <w:t>根据《财政部关于印发〈项目支岀绩效评价管理办法〉的通知》（财预〔</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2020</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10</w:t>
      </w:r>
      <w:r>
        <w:rPr>
          <w:rFonts w:hint="eastAsia"/>
          <w:lang w:val="en-US" w:eastAsia="zh-CN"/>
        </w:rPr>
        <w:t>号）等相关文件要求，本次专项资金的评价指标体系包括评价指标、权重、指标解释、计算公式、评分标准，完整的绩效评价指标体系及评分过程详见附件1。</w:t>
      </w:r>
      <w:bookmarkEnd w:id="75"/>
    </w:p>
    <w:p>
      <w:pPr>
        <w:widowControl/>
        <w:bidi w:val="0"/>
        <w:spacing w:line="560" w:lineRule="exact"/>
        <w:ind w:firstLine="643" w:firstLineChars="200"/>
        <w:textAlignment w:val="baseline"/>
        <w:rPr>
          <w:rStyle w:val="23"/>
          <w:rFonts w:hint="eastAsia" w:ascii="楷体" w:hAnsi="楷体" w:eastAsia="楷体"/>
          <w:b/>
          <w:kern w:val="0"/>
          <w:szCs w:val="32"/>
          <w:lang w:val="en-US" w:eastAsia="zh-CN"/>
        </w:rPr>
      </w:pPr>
      <w:bookmarkStart w:id="76" w:name="_Toc21732"/>
      <w:bookmarkStart w:id="77" w:name="_Toc15770"/>
      <w:bookmarkStart w:id="78" w:name="_Toc23595"/>
      <w:r>
        <w:rPr>
          <w:rStyle w:val="23"/>
          <w:rFonts w:hint="eastAsia" w:ascii="楷体" w:hAnsi="楷体" w:eastAsia="楷体"/>
          <w:b/>
          <w:kern w:val="0"/>
          <w:szCs w:val="32"/>
          <w:lang w:val="en-US" w:eastAsia="zh-CN"/>
        </w:rPr>
        <w:t>（四）评价组织实施</w:t>
      </w:r>
      <w:bookmarkEnd w:id="76"/>
      <w:bookmarkEnd w:id="77"/>
      <w:bookmarkEnd w:id="78"/>
    </w:p>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bookmarkStart w:id="79" w:name="_Toc10800"/>
      <w:bookmarkStart w:id="80" w:name="_Toc31947"/>
      <w:r>
        <w:rPr>
          <w:rFonts w:hint="eastAsia" w:ascii="Times New Roman" w:hAnsi="Times New Roman" w:eastAsia="仿宋_GB2312" w:cs="Times New Roman"/>
          <w:b/>
          <w:bCs/>
          <w:i w:val="0"/>
          <w:caps w:val="0"/>
          <w:color w:val="000000"/>
          <w:spacing w:val="0"/>
          <w:w w:val="100"/>
          <w:kern w:val="0"/>
          <w:sz w:val="32"/>
          <w:szCs w:val="32"/>
          <w:lang w:val="en-US" w:eastAsia="zh-CN" w:bidi="ar"/>
        </w:rPr>
        <w:t>1.评价人员</w:t>
      </w:r>
      <w:bookmarkEnd w:id="79"/>
      <w:bookmarkEnd w:id="80"/>
    </w:p>
    <w:p>
      <w:pPr>
        <w:bidi w:val="0"/>
        <w:spacing w:line="560" w:lineRule="exact"/>
        <w:rPr>
          <w:rFonts w:hint="eastAsia"/>
          <w:lang w:val="en-US" w:eastAsia="zh-CN"/>
        </w:rPr>
      </w:pPr>
      <w:r>
        <w:rPr>
          <w:rFonts w:hint="eastAsia"/>
          <w:lang w:val="en-US" w:eastAsia="zh-CN"/>
        </w:rPr>
        <w:t>本次评价委托方为吐鲁番市财政局，受托方为新疆财讯睿智信息咨询有限公司。新疆财讯睿智信息咨询有限公司负责完成评价工作，包括前期调查，制定工作方案，调查取数，撰写评价报告。具体人员名单如下：</w:t>
      </w:r>
    </w:p>
    <w:p>
      <w:pPr>
        <w:keepNext w:val="0"/>
        <w:keepLines w:val="0"/>
        <w:widowControl/>
        <w:suppressLineNumbers w:val="0"/>
        <w:spacing w:line="560" w:lineRule="exact"/>
        <w:ind w:firstLine="0" w:firstLineChars="0"/>
        <w:jc w:val="center"/>
        <w:rPr>
          <w:lang w:val="en-US" w:eastAsia="zh-CN"/>
        </w:rPr>
      </w:pPr>
      <w:r>
        <w:rPr>
          <w:rFonts w:hint="eastAsia" w:ascii="仿宋_GB2312" w:hAnsi="宋体" w:eastAsia="仿宋_GB2312" w:cs="仿宋_GB2312"/>
          <w:b/>
          <w:bCs/>
          <w:color w:val="000000"/>
          <w:kern w:val="0"/>
          <w:sz w:val="28"/>
          <w:szCs w:val="28"/>
          <w:lang w:val="en-US" w:eastAsia="zh-CN" w:bidi="ar"/>
        </w:rPr>
        <w:t>表2-1 评价组组员表</w:t>
      </w:r>
    </w:p>
    <w:tbl>
      <w:tblPr>
        <w:tblStyle w:val="17"/>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050"/>
        <w:gridCol w:w="1605"/>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867" w:type="dxa"/>
            <w:tcBorders>
              <w:top w:val="single" w:color="auto" w:sz="4" w:space="0"/>
              <w:left w:val="single" w:color="auto" w:sz="4" w:space="0"/>
              <w:bottom w:val="single" w:color="auto" w:sz="4" w:space="0"/>
              <w:right w:val="single" w:color="auto" w:sz="4" w:space="0"/>
              <w:tl2br w:val="nil"/>
              <w:tr2bl w:val="nil"/>
            </w:tcBorders>
            <w:shd w:val="clear" w:color="auto" w:fill="A6A6A6"/>
            <w:vAlign w:val="center"/>
          </w:tcPr>
          <w:p>
            <w:pPr>
              <w:snapToGrid w:val="0"/>
              <w:spacing w:line="540" w:lineRule="exact"/>
              <w:ind w:firstLine="0" w:firstLineChars="0"/>
              <w:jc w:val="center"/>
              <w:rPr>
                <w:rFonts w:hint="eastAsia" w:ascii="Times New Roman" w:hAnsi="Times New Roman" w:eastAsia="仿宋_GB2312" w:cs="Times New Roman"/>
                <w:b/>
                <w:bCs/>
                <w:i w:val="0"/>
                <w:iCs w:val="0"/>
                <w:kern w:val="2"/>
                <w:sz w:val="22"/>
                <w:szCs w:val="22"/>
                <w:lang w:val="en-US" w:eastAsia="zh-CN" w:bidi="ar-SA"/>
              </w:rPr>
            </w:pPr>
            <w:r>
              <w:rPr>
                <w:rFonts w:hint="eastAsia" w:ascii="Times New Roman" w:hAnsi="Times New Roman" w:eastAsia="仿宋_GB2312" w:cs="Times New Roman"/>
                <w:b/>
                <w:bCs/>
                <w:i w:val="0"/>
                <w:iCs w:val="0"/>
                <w:kern w:val="2"/>
                <w:sz w:val="22"/>
                <w:szCs w:val="22"/>
                <w:lang w:val="en-US" w:eastAsia="zh-CN" w:bidi="ar-SA"/>
              </w:rPr>
              <w:t>序号</w:t>
            </w: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6A6A6"/>
            <w:vAlign w:val="center"/>
          </w:tcPr>
          <w:p>
            <w:pPr>
              <w:snapToGrid w:val="0"/>
              <w:spacing w:line="540" w:lineRule="exact"/>
              <w:ind w:firstLine="0" w:firstLineChars="0"/>
              <w:jc w:val="center"/>
              <w:rPr>
                <w:rFonts w:hint="eastAsia" w:ascii="Times New Roman" w:hAnsi="Times New Roman" w:eastAsia="仿宋_GB2312" w:cs="Times New Roman"/>
                <w:b/>
                <w:bCs/>
                <w:i w:val="0"/>
                <w:iCs w:val="0"/>
                <w:kern w:val="2"/>
                <w:sz w:val="22"/>
                <w:szCs w:val="22"/>
                <w:lang w:val="en-US" w:eastAsia="zh-CN" w:bidi="ar-SA"/>
              </w:rPr>
            </w:pPr>
            <w:r>
              <w:rPr>
                <w:rFonts w:hint="eastAsia" w:ascii="Times New Roman" w:hAnsi="Times New Roman" w:eastAsia="仿宋_GB2312" w:cs="Times New Roman"/>
                <w:b/>
                <w:bCs/>
                <w:i w:val="0"/>
                <w:iCs w:val="0"/>
                <w:kern w:val="2"/>
                <w:sz w:val="22"/>
                <w:szCs w:val="22"/>
                <w:lang w:val="en-US" w:eastAsia="zh-CN" w:bidi="ar-SA"/>
              </w:rPr>
              <w:t>姓名</w:t>
            </w:r>
          </w:p>
        </w:tc>
        <w:tc>
          <w:tcPr>
            <w:tcW w:w="1605" w:type="dxa"/>
            <w:tcBorders>
              <w:top w:val="single" w:color="auto" w:sz="4" w:space="0"/>
              <w:left w:val="single" w:color="auto" w:sz="4" w:space="0"/>
              <w:bottom w:val="single" w:color="auto" w:sz="4" w:space="0"/>
              <w:right w:val="single" w:color="auto" w:sz="4" w:space="0"/>
              <w:tl2br w:val="nil"/>
              <w:tr2bl w:val="nil"/>
            </w:tcBorders>
            <w:shd w:val="clear" w:color="auto" w:fill="A6A6A6"/>
            <w:vAlign w:val="center"/>
          </w:tcPr>
          <w:p>
            <w:pPr>
              <w:snapToGrid w:val="0"/>
              <w:spacing w:line="540" w:lineRule="exact"/>
              <w:ind w:firstLine="0" w:firstLineChars="0"/>
              <w:jc w:val="center"/>
              <w:rPr>
                <w:rFonts w:hint="eastAsia" w:ascii="Times New Roman" w:hAnsi="Times New Roman" w:eastAsia="仿宋_GB2312" w:cs="Times New Roman"/>
                <w:b/>
                <w:bCs/>
                <w:i w:val="0"/>
                <w:iCs w:val="0"/>
                <w:kern w:val="2"/>
                <w:sz w:val="22"/>
                <w:szCs w:val="22"/>
                <w:lang w:val="en-US" w:eastAsia="zh-CN" w:bidi="ar-SA"/>
              </w:rPr>
            </w:pPr>
            <w:r>
              <w:rPr>
                <w:rFonts w:hint="eastAsia" w:ascii="Times New Roman" w:hAnsi="Times New Roman" w:eastAsia="仿宋_GB2312" w:cs="Times New Roman"/>
                <w:b/>
                <w:bCs/>
                <w:i w:val="0"/>
                <w:iCs w:val="0"/>
                <w:kern w:val="2"/>
                <w:sz w:val="22"/>
                <w:szCs w:val="22"/>
                <w:lang w:val="en-US" w:eastAsia="zh-CN" w:bidi="ar-SA"/>
              </w:rPr>
              <w:t>本项目中角色</w:t>
            </w:r>
          </w:p>
        </w:tc>
        <w:tc>
          <w:tcPr>
            <w:tcW w:w="4771" w:type="dxa"/>
            <w:tcBorders>
              <w:top w:val="single" w:color="auto" w:sz="4" w:space="0"/>
              <w:left w:val="single" w:color="auto" w:sz="4" w:space="0"/>
              <w:bottom w:val="single" w:color="auto" w:sz="4" w:space="0"/>
              <w:right w:val="single" w:color="auto" w:sz="4" w:space="0"/>
              <w:tl2br w:val="nil"/>
              <w:tr2bl w:val="nil"/>
            </w:tcBorders>
            <w:shd w:val="clear" w:color="auto" w:fill="A6A6A6"/>
            <w:vAlign w:val="center"/>
          </w:tcPr>
          <w:p>
            <w:pPr>
              <w:snapToGrid w:val="0"/>
              <w:spacing w:line="540" w:lineRule="exact"/>
              <w:ind w:firstLine="0" w:firstLineChars="0"/>
              <w:jc w:val="center"/>
              <w:rPr>
                <w:rFonts w:hint="eastAsia" w:ascii="Times New Roman" w:hAnsi="Times New Roman" w:eastAsia="仿宋_GB2312" w:cs="Times New Roman"/>
                <w:b/>
                <w:bCs/>
                <w:i w:val="0"/>
                <w:iCs w:val="0"/>
                <w:kern w:val="2"/>
                <w:sz w:val="22"/>
                <w:szCs w:val="22"/>
                <w:lang w:val="en-US" w:eastAsia="zh-CN" w:bidi="ar-SA"/>
              </w:rPr>
            </w:pPr>
            <w:r>
              <w:rPr>
                <w:rFonts w:hint="eastAsia" w:ascii="Times New Roman" w:hAnsi="Times New Roman" w:eastAsia="仿宋_GB2312" w:cs="Times New Roman"/>
                <w:b/>
                <w:bCs/>
                <w:i w:val="0"/>
                <w:iCs w:val="0"/>
                <w:kern w:val="2"/>
                <w:sz w:val="22"/>
                <w:szCs w:val="22"/>
                <w:lang w:val="en-US" w:eastAsia="zh-CN" w:bidi="ar-SA"/>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李刚</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主评人</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负责绩效评价过程指导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田文艳</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项目质控</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负责项目评价方案、项目报告等重点工作内容的质量控制，技术指导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3</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张桐</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项目经理</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负责对项目实施统筹、资料收集，整理及数据分析、撰写工作方案及评价报告并对评价报告进行负责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4</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马宵莹</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项目助理</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郭玲</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项目助理</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67"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bookmarkStart w:id="81" w:name="_Toc15715"/>
            <w:bookmarkStart w:id="82" w:name="_Toc22117"/>
            <w:r>
              <w:rPr>
                <w:rFonts w:hint="eastAsia" w:ascii="Times New Roman" w:hAnsi="Times New Roman" w:cs="Times New Roman"/>
                <w:kern w:val="2"/>
                <w:sz w:val="22"/>
                <w:szCs w:val="22"/>
                <w:lang w:val="en-US" w:eastAsia="zh-CN" w:bidi="ar-SA"/>
              </w:rPr>
              <w:t>6</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张琳娜</w:t>
            </w:r>
          </w:p>
        </w:tc>
        <w:tc>
          <w:tcPr>
            <w:tcW w:w="1605"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项目助理</w:t>
            </w:r>
          </w:p>
        </w:tc>
        <w:tc>
          <w:tcPr>
            <w:tcW w:w="477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负责资料搜集、整理及数据分析等，并协助撰写工作方案及评价报告等</w:t>
            </w:r>
          </w:p>
        </w:tc>
      </w:tr>
    </w:tbl>
    <w:p>
      <w:pPr>
        <w:keepNext w:val="0"/>
        <w:keepLines w:val="0"/>
        <w:pageBreakBefore w:val="0"/>
        <w:kinsoku/>
        <w:wordWrap/>
        <w:overflowPunct/>
        <w:topLinePunct w:val="0"/>
        <w:autoSpaceDE/>
        <w:autoSpaceDN/>
        <w:bidi w:val="0"/>
        <w:adjustRightInd/>
        <w:snapToGrid/>
        <w:spacing w:line="560" w:lineRule="atLeast"/>
        <w:ind w:firstLine="964" w:firstLineChars="300"/>
        <w:rPr>
          <w:rFonts w:hint="eastAsia" w:ascii="Times New Roman" w:hAnsi="Times New Roman" w:eastAsia="仿宋_GB2312" w:cs="Times New Roman"/>
          <w:b/>
          <w:bCs/>
          <w:i w:val="0"/>
          <w:caps w:val="0"/>
          <w:color w:val="000000"/>
          <w:spacing w:val="0"/>
          <w:w w:val="100"/>
          <w:kern w:val="0"/>
          <w:sz w:val="32"/>
          <w:szCs w:val="32"/>
          <w:lang w:val="en-US" w:eastAsia="zh-CN" w:bidi="ar"/>
        </w:rPr>
      </w:pPr>
      <w:r>
        <w:rPr>
          <w:rFonts w:hint="eastAsia" w:ascii="Times New Roman" w:hAnsi="Times New Roman" w:eastAsia="仿宋_GB2312" w:cs="Times New Roman"/>
          <w:b/>
          <w:bCs/>
          <w:i w:val="0"/>
          <w:caps w:val="0"/>
          <w:color w:val="000000"/>
          <w:spacing w:val="0"/>
          <w:w w:val="100"/>
          <w:kern w:val="0"/>
          <w:sz w:val="32"/>
          <w:szCs w:val="32"/>
          <w:lang w:val="en-US" w:eastAsia="zh-CN" w:bidi="ar"/>
        </w:rPr>
        <w:t>2.评价进度</w:t>
      </w:r>
      <w:bookmarkEnd w:id="81"/>
      <w:bookmarkEnd w:id="82"/>
    </w:p>
    <w:p>
      <w:pPr>
        <w:bidi w:val="0"/>
        <w:spacing w:line="560" w:lineRule="exact"/>
        <w:rPr>
          <w:rFonts w:hint="eastAsia"/>
          <w:lang w:val="en-US" w:eastAsia="zh-CN"/>
        </w:rPr>
      </w:pPr>
      <w:r>
        <w:rPr>
          <w:rFonts w:hint="eastAsia"/>
          <w:lang w:val="en-US" w:eastAsia="zh-CN"/>
        </w:rPr>
        <w:t>本次项目的评价期间为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w:t>
      </w:r>
      <w:r>
        <w:rPr>
          <w:rFonts w:hint="eastAsia"/>
          <w:lang w:val="en-US" w:eastAsia="zh-CN"/>
        </w:rPr>
        <w:t>日至</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31</w:t>
      </w:r>
      <w:r>
        <w:rPr>
          <w:rFonts w:hint="eastAsia"/>
          <w:lang w:val="en-US" w:eastAsia="zh-CN"/>
        </w:rPr>
        <w:t>日，具体安排如下：</w:t>
      </w:r>
    </w:p>
    <w:p>
      <w:pPr>
        <w:bidi w:val="0"/>
        <w:spacing w:line="560" w:lineRule="exact"/>
        <w:rPr>
          <w:rFonts w:hint="eastAsia"/>
          <w:lang w:val="en-US" w:eastAsia="zh-CN"/>
        </w:rPr>
      </w:pPr>
      <w:r>
        <w:rPr>
          <w:rFonts w:hint="eastAsia"/>
          <w:lang w:val="en-US" w:eastAsia="zh-CN"/>
        </w:rPr>
        <w:t>（1）数据采集（</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5</w:t>
      </w:r>
      <w:r>
        <w:rPr>
          <w:rFonts w:hint="eastAsia"/>
          <w:lang w:val="en-US" w:eastAsia="zh-CN"/>
        </w:rPr>
        <w:t>日前）受吐鲁番市财政局委托后，对专项资金进行调研，与预算单位沟通，收集相关资料，了解专项资金的内容、操作流程、管理机制、资金使用、产出和效果等情况。</w:t>
      </w:r>
    </w:p>
    <w:p>
      <w:pPr>
        <w:bidi w:val="0"/>
        <w:spacing w:line="560" w:lineRule="exact"/>
        <w:rPr>
          <w:rFonts w:hint="eastAsia"/>
          <w:lang w:val="en-US" w:eastAsia="zh-CN"/>
        </w:rPr>
      </w:pPr>
      <w:r>
        <w:rPr>
          <w:rFonts w:hint="eastAsia"/>
          <w:lang w:val="en-US" w:eastAsia="zh-CN"/>
        </w:rPr>
        <w:t>（2）线上调研（</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13</w:t>
      </w:r>
      <w:r>
        <w:rPr>
          <w:rFonts w:hint="eastAsia"/>
          <w:lang w:val="en-US" w:eastAsia="zh-CN"/>
        </w:rPr>
        <w:t>日前）。根据社会调查方案，对预算主管部门，相关负责人进行线上访谈，并对其填报的数据进行复核。调研结束后，对相关材料及数据进行分析整理。</w:t>
      </w:r>
    </w:p>
    <w:p>
      <w:pPr>
        <w:bidi w:val="0"/>
        <w:spacing w:line="560" w:lineRule="exact"/>
        <w:rPr>
          <w:rFonts w:hint="eastAsia"/>
          <w:lang w:val="en-US" w:eastAsia="zh-CN"/>
        </w:rPr>
      </w:pPr>
      <w:r>
        <w:rPr>
          <w:rFonts w:hint="eastAsia"/>
          <w:lang w:val="en-US" w:eastAsia="zh-CN"/>
        </w:rPr>
        <w:t>（3）撰写评价报告（</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w:t>
      </w:r>
      <w:r>
        <w:rPr>
          <w:rFonts w:hint="eastAsia"/>
          <w:lang w:val="en-US" w:eastAsia="zh-CN"/>
        </w:rPr>
        <w:t>日前）。对复核后的数据和资料进行汇总，依据评分标准对绩效指标进行评分，并形成政策评价结论。在此基础上，按照预算绩效管理要求撰写绩效评价报告。将绩效评价报告提交吐鲁番市财政局，由吐鲁番市财政局征求预算主管部门意见，根据相关意见修改后形成待验收稿。</w:t>
      </w:r>
    </w:p>
    <w:p>
      <w:pPr>
        <w:bidi w:val="0"/>
        <w:spacing w:line="560" w:lineRule="exact"/>
        <w:rPr>
          <w:rFonts w:hint="eastAsia"/>
          <w:lang w:val="en-US" w:eastAsia="zh-CN"/>
        </w:rPr>
      </w:pPr>
      <w:r>
        <w:rPr>
          <w:rFonts w:hint="eastAsia"/>
          <w:lang w:val="en-US" w:eastAsia="zh-CN"/>
        </w:rPr>
        <w:t>（4）报告提交（</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2022</w:t>
      </w:r>
      <w:r>
        <w:rPr>
          <w:rFonts w:hint="eastAsia"/>
          <w:lang w:val="en-US" w:eastAsia="zh-CN"/>
        </w:rPr>
        <w:t>年</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8</w:t>
      </w:r>
      <w:r>
        <w:rPr>
          <w:rFonts w:hint="eastAsia"/>
          <w:lang w:val="en-US" w:eastAsia="zh-CN"/>
        </w:rPr>
        <w:t>月</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31</w:t>
      </w:r>
      <w:r>
        <w:rPr>
          <w:rFonts w:hint="eastAsia"/>
          <w:lang w:val="en-US" w:eastAsia="zh-CN"/>
        </w:rPr>
        <w:t>日前）。撰写完成的绩效评价报告提交吐鲁番市财政局，并根据吐鲁番市财政局的安排与预算单位沟通确认。</w:t>
      </w:r>
    </w:p>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bookmarkStart w:id="83" w:name="_Toc11391"/>
      <w:bookmarkStart w:id="84" w:name="_Toc19355"/>
      <w:bookmarkStart w:id="85" w:name="_Toc14878"/>
      <w:r>
        <w:rPr>
          <w:rStyle w:val="23"/>
          <w:rFonts w:hint="eastAsia" w:ascii="黑体" w:hAnsi="黑体" w:eastAsia="黑体" w:cs="Times New Roman"/>
          <w:lang w:val="en-US" w:eastAsia="zh-CN"/>
        </w:rPr>
        <w:t>三、评价结论</w:t>
      </w:r>
      <w:bookmarkEnd w:id="83"/>
      <w:bookmarkEnd w:id="84"/>
      <w:bookmarkEnd w:id="85"/>
    </w:p>
    <w:p>
      <w:pPr>
        <w:spacing w:line="560" w:lineRule="exact"/>
        <w:rPr>
          <w:rFonts w:hint="eastAsia"/>
          <w:lang w:val="en-US" w:eastAsia="zh-CN"/>
        </w:rPr>
      </w:pPr>
      <w:r>
        <w:rPr>
          <w:rFonts w:hint="eastAsia"/>
          <w:lang w:val="en-US" w:eastAsia="zh-CN"/>
        </w:rPr>
        <w:t>运用由评价组研发并通过主管单位确认的评价指标体系及评分标准，通过基础数据填报、问卷调查和访谈获取的数据，评价组对吐鲁吐鲁番市权限内二类非金属矿产资源调查项目（高昌区Ⅳ区、Ⅵ区）行了独立客观的评价，最终评分结果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97.33</w:t>
      </w:r>
      <w:r>
        <w:rPr>
          <w:rFonts w:hint="eastAsia"/>
          <w:lang w:val="en-US" w:eastAsia="zh-CN"/>
        </w:rPr>
        <w:t>分，</w:t>
      </w:r>
      <w:r>
        <w:rPr>
          <w:rFonts w:hint="default" w:ascii="Times New Roman" w:hAnsi="Times New Roman" w:eastAsia="仿宋" w:cs="Times New Roman"/>
          <w:color w:val="000000"/>
          <w:kern w:val="0"/>
          <w:sz w:val="32"/>
          <w:szCs w:val="32"/>
          <w:lang w:val="en-US" w:eastAsia="zh-CN" w:bidi="ar"/>
        </w:rPr>
        <w:t>评价等级为“优”</w:t>
      </w:r>
      <w:r>
        <w:rPr>
          <w:rFonts w:hint="default" w:ascii="Times New Roman" w:hAnsi="Times New Roman" w:eastAsia="仿宋_GB2312" w:cs="Times New Roman"/>
          <w:color w:val="000000"/>
          <w:kern w:val="0"/>
          <w:sz w:val="32"/>
          <w:szCs w:val="32"/>
          <w:lang w:bidi="ar"/>
        </w:rPr>
        <w:t>。</w:t>
      </w:r>
      <w:r>
        <w:rPr>
          <w:rFonts w:hint="eastAsia"/>
          <w:lang w:val="en-US" w:eastAsia="zh-CN"/>
        </w:rPr>
        <w:t>各部分得分情况详见下表</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3-1</w:t>
      </w:r>
      <w:r>
        <w:rPr>
          <w:rFonts w:hint="eastAsia"/>
          <w:lang w:val="en-US" w:eastAsia="zh-CN"/>
        </w:rPr>
        <w:t>。评分过程详见附件</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1</w:t>
      </w:r>
      <w:r>
        <w:rPr>
          <w:rFonts w:hint="eastAsia"/>
          <w:lang w:val="en-US" w:eastAsia="zh-CN"/>
        </w:rPr>
        <w:t>。</w:t>
      </w:r>
    </w:p>
    <w:p>
      <w:pPr>
        <w:keepNext w:val="0"/>
        <w:keepLines w:val="0"/>
        <w:widowControl/>
        <w:suppressLineNumbers w:val="0"/>
        <w:spacing w:line="560" w:lineRule="exact"/>
        <w:ind w:firstLine="0" w:firstLineChars="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表3-1 项目指标得分情况汇总表</w:t>
      </w:r>
    </w:p>
    <w:tbl>
      <w:tblPr>
        <w:tblStyle w:val="17"/>
        <w:tblW w:w="8528" w:type="dxa"/>
        <w:jc w:val="center"/>
        <w:tblLayout w:type="fixed"/>
        <w:tblCellMar>
          <w:top w:w="0" w:type="dxa"/>
          <w:left w:w="108" w:type="dxa"/>
          <w:bottom w:w="0" w:type="dxa"/>
          <w:right w:w="108" w:type="dxa"/>
        </w:tblCellMar>
      </w:tblPr>
      <w:tblGrid>
        <w:gridCol w:w="2486"/>
        <w:gridCol w:w="2168"/>
        <w:gridCol w:w="1860"/>
        <w:gridCol w:w="2014"/>
      </w:tblGrid>
      <w:tr>
        <w:tblPrEx>
          <w:tblCellMar>
            <w:top w:w="0" w:type="dxa"/>
            <w:left w:w="108" w:type="dxa"/>
            <w:bottom w:w="0" w:type="dxa"/>
            <w:right w:w="108" w:type="dxa"/>
          </w:tblCellMar>
        </w:tblPrEx>
        <w:trPr>
          <w:trHeight w:val="397" w:hRule="atLeast"/>
          <w:tblHeader/>
          <w:jc w:val="center"/>
        </w:trPr>
        <w:tc>
          <w:tcPr>
            <w:tcW w:w="2486" w:type="dxa"/>
            <w:tcBorders>
              <w:top w:val="single" w:color="auto" w:sz="4" w:space="0"/>
              <w:left w:val="single" w:color="auto" w:sz="4" w:space="0"/>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一级指标</w:t>
            </w:r>
          </w:p>
        </w:tc>
        <w:tc>
          <w:tcPr>
            <w:tcW w:w="2168"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权重分</w:t>
            </w:r>
          </w:p>
        </w:tc>
        <w:tc>
          <w:tcPr>
            <w:tcW w:w="1860"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得分</w:t>
            </w:r>
          </w:p>
        </w:tc>
        <w:tc>
          <w:tcPr>
            <w:tcW w:w="2014"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得分率</w:t>
            </w:r>
          </w:p>
        </w:tc>
      </w:tr>
      <w:tr>
        <w:tblPrEx>
          <w:tblCellMar>
            <w:top w:w="0" w:type="dxa"/>
            <w:left w:w="108" w:type="dxa"/>
            <w:bottom w:w="0" w:type="dxa"/>
            <w:right w:w="108" w:type="dxa"/>
          </w:tblCellMar>
        </w:tblPrEx>
        <w:trPr>
          <w:trHeight w:val="397" w:hRule="atLeast"/>
          <w:jc w:val="center"/>
        </w:trPr>
        <w:tc>
          <w:tcPr>
            <w:tcW w:w="248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项目决策</w:t>
            </w:r>
          </w:p>
        </w:tc>
        <w:tc>
          <w:tcPr>
            <w:tcW w:w="2168"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w:t>
            </w:r>
          </w:p>
        </w:tc>
        <w:tc>
          <w:tcPr>
            <w:tcW w:w="1860"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8.33</w:t>
            </w:r>
          </w:p>
        </w:tc>
        <w:tc>
          <w:tcPr>
            <w:tcW w:w="2014"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83.30%</w:t>
            </w:r>
          </w:p>
        </w:tc>
      </w:tr>
      <w:tr>
        <w:tblPrEx>
          <w:tblCellMar>
            <w:top w:w="0" w:type="dxa"/>
            <w:left w:w="108" w:type="dxa"/>
            <w:bottom w:w="0" w:type="dxa"/>
            <w:right w:w="108" w:type="dxa"/>
          </w:tblCellMar>
        </w:tblPrEx>
        <w:trPr>
          <w:trHeight w:val="397" w:hRule="atLeast"/>
          <w:jc w:val="center"/>
        </w:trPr>
        <w:tc>
          <w:tcPr>
            <w:tcW w:w="248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项目管理</w:t>
            </w:r>
          </w:p>
        </w:tc>
        <w:tc>
          <w:tcPr>
            <w:tcW w:w="2168"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25</w:t>
            </w:r>
          </w:p>
        </w:tc>
        <w:tc>
          <w:tcPr>
            <w:tcW w:w="1860"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25</w:t>
            </w:r>
          </w:p>
        </w:tc>
        <w:tc>
          <w:tcPr>
            <w:tcW w:w="2014"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397" w:hRule="atLeast"/>
          <w:jc w:val="center"/>
        </w:trPr>
        <w:tc>
          <w:tcPr>
            <w:tcW w:w="248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项目</w:t>
            </w:r>
            <w:r>
              <w:rPr>
                <w:rFonts w:hint="eastAsia" w:ascii="Times New Roman" w:hAnsi="Times New Roman" w:cs="Times New Roman"/>
                <w:b/>
                <w:bCs/>
                <w:kern w:val="2"/>
                <w:sz w:val="22"/>
                <w:szCs w:val="22"/>
                <w:lang w:val="en-US" w:eastAsia="zh-CN" w:bidi="ar-SA"/>
              </w:rPr>
              <w:t>产出</w:t>
            </w:r>
          </w:p>
        </w:tc>
        <w:tc>
          <w:tcPr>
            <w:tcW w:w="2168"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40</w:t>
            </w:r>
          </w:p>
        </w:tc>
        <w:tc>
          <w:tcPr>
            <w:tcW w:w="1860"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40</w:t>
            </w:r>
          </w:p>
        </w:tc>
        <w:tc>
          <w:tcPr>
            <w:tcW w:w="2014"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397" w:hRule="atLeast"/>
          <w:jc w:val="center"/>
        </w:trPr>
        <w:tc>
          <w:tcPr>
            <w:tcW w:w="248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项目效益</w:t>
            </w:r>
          </w:p>
        </w:tc>
        <w:tc>
          <w:tcPr>
            <w:tcW w:w="2168"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25</w:t>
            </w:r>
          </w:p>
        </w:tc>
        <w:tc>
          <w:tcPr>
            <w:tcW w:w="1860"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24</w:t>
            </w:r>
          </w:p>
        </w:tc>
        <w:tc>
          <w:tcPr>
            <w:tcW w:w="2014"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90.00%</w:t>
            </w:r>
          </w:p>
        </w:tc>
      </w:tr>
      <w:tr>
        <w:tblPrEx>
          <w:tblCellMar>
            <w:top w:w="0" w:type="dxa"/>
            <w:left w:w="108" w:type="dxa"/>
            <w:bottom w:w="0" w:type="dxa"/>
            <w:right w:w="108" w:type="dxa"/>
          </w:tblCellMar>
        </w:tblPrEx>
        <w:trPr>
          <w:trHeight w:val="397" w:hRule="atLeast"/>
          <w:jc w:val="center"/>
        </w:trPr>
        <w:tc>
          <w:tcPr>
            <w:tcW w:w="248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合计</w:t>
            </w:r>
          </w:p>
        </w:tc>
        <w:tc>
          <w:tcPr>
            <w:tcW w:w="2168"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100</w:t>
            </w:r>
          </w:p>
        </w:tc>
        <w:tc>
          <w:tcPr>
            <w:tcW w:w="1860"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default"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97.33</w:t>
            </w:r>
          </w:p>
        </w:tc>
        <w:tc>
          <w:tcPr>
            <w:tcW w:w="2014" w:type="dxa"/>
            <w:tcBorders>
              <w:top w:val="nil"/>
              <w:left w:val="nil"/>
              <w:bottom w:val="single" w:color="auto" w:sz="4" w:space="0"/>
              <w:right w:val="single" w:color="auto" w:sz="4" w:space="0"/>
            </w:tcBorders>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97.33%</w:t>
            </w:r>
          </w:p>
        </w:tc>
      </w:tr>
    </w:tbl>
    <w:p>
      <w:pPr>
        <w:pStyle w:val="26"/>
        <w:spacing w:line="600" w:lineRule="exact"/>
        <w:ind w:firstLine="0" w:firstLineChars="0"/>
        <w:jc w:val="left"/>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p>
    <w:p>
      <w:pPr>
        <w:pStyle w:val="26"/>
        <w:spacing w:line="600" w:lineRule="exact"/>
        <w:ind w:firstLine="0" w:firstLineChars="0"/>
        <w:jc w:val="left"/>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各项指标得分情况见下表3-2：</w:t>
      </w:r>
    </w:p>
    <w:p>
      <w:pPr>
        <w:keepNext w:val="0"/>
        <w:keepLines w:val="0"/>
        <w:widowControl/>
        <w:suppressLineNumbers w:val="0"/>
        <w:spacing w:line="560" w:lineRule="exact"/>
        <w:ind w:firstLine="0" w:firstLineChars="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表3-2 项目指标得分表</w:t>
      </w:r>
    </w:p>
    <w:tbl>
      <w:tblPr>
        <w:tblStyle w:val="17"/>
        <w:tblW w:w="8520" w:type="dxa"/>
        <w:tblInd w:w="0" w:type="dxa"/>
        <w:tblLayout w:type="fixed"/>
        <w:tblCellMar>
          <w:top w:w="0" w:type="dxa"/>
          <w:left w:w="108" w:type="dxa"/>
          <w:bottom w:w="0" w:type="dxa"/>
          <w:right w:w="108" w:type="dxa"/>
        </w:tblCellMar>
      </w:tblPr>
      <w:tblGrid>
        <w:gridCol w:w="720"/>
        <w:gridCol w:w="1344"/>
        <w:gridCol w:w="1464"/>
        <w:gridCol w:w="864"/>
        <w:gridCol w:w="1164"/>
        <w:gridCol w:w="960"/>
        <w:gridCol w:w="708"/>
        <w:gridCol w:w="1296"/>
      </w:tblGrid>
      <w:tr>
        <w:tblPrEx>
          <w:tblCellMar>
            <w:top w:w="0" w:type="dxa"/>
            <w:left w:w="108" w:type="dxa"/>
            <w:bottom w:w="0" w:type="dxa"/>
            <w:right w:w="108" w:type="dxa"/>
          </w:tblCellMar>
        </w:tblPrEx>
        <w:trPr>
          <w:trHeight w:val="605" w:hRule="atLeast"/>
          <w:tblHeader/>
        </w:trPr>
        <w:tc>
          <w:tcPr>
            <w:tcW w:w="720" w:type="dxa"/>
            <w:tcBorders>
              <w:top w:val="single" w:color="auto" w:sz="4" w:space="0"/>
              <w:left w:val="single" w:color="auto" w:sz="4" w:space="0"/>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一级指标</w:t>
            </w:r>
          </w:p>
        </w:tc>
        <w:tc>
          <w:tcPr>
            <w:tcW w:w="1344"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二级指标</w:t>
            </w:r>
          </w:p>
        </w:tc>
        <w:tc>
          <w:tcPr>
            <w:tcW w:w="1464"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三级指标</w:t>
            </w:r>
          </w:p>
        </w:tc>
        <w:tc>
          <w:tcPr>
            <w:tcW w:w="864"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权重</w:t>
            </w:r>
          </w:p>
        </w:tc>
        <w:tc>
          <w:tcPr>
            <w:tcW w:w="1164"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标杆值</w:t>
            </w:r>
          </w:p>
        </w:tc>
        <w:tc>
          <w:tcPr>
            <w:tcW w:w="960"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业绩值</w:t>
            </w:r>
          </w:p>
        </w:tc>
        <w:tc>
          <w:tcPr>
            <w:tcW w:w="708" w:type="dxa"/>
            <w:tcBorders>
              <w:top w:val="single" w:color="auto" w:sz="4" w:space="0"/>
              <w:left w:val="nil"/>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实际得分</w:t>
            </w:r>
          </w:p>
        </w:tc>
        <w:tc>
          <w:tcPr>
            <w:tcW w:w="1296" w:type="dxa"/>
            <w:tcBorders>
              <w:top w:val="single" w:color="auto" w:sz="4" w:space="0"/>
              <w:left w:val="single" w:color="auto" w:sz="4" w:space="0"/>
              <w:bottom w:val="single" w:color="auto" w:sz="4" w:space="0"/>
              <w:right w:val="single" w:color="auto" w:sz="4" w:space="0"/>
            </w:tcBorders>
            <w:shd w:val="clear" w:color="000000" w:fill="BEBEBE"/>
            <w:vAlign w:val="center"/>
          </w:tcPr>
          <w:p>
            <w:pPr>
              <w:snapToGrid w:val="0"/>
              <w:spacing w:line="540" w:lineRule="exact"/>
              <w:ind w:firstLine="0" w:firstLineChars="0"/>
              <w:jc w:val="center"/>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得分率</w:t>
            </w:r>
          </w:p>
        </w:tc>
      </w:tr>
      <w:tr>
        <w:tblPrEx>
          <w:tblCellMar>
            <w:top w:w="0" w:type="dxa"/>
            <w:left w:w="108" w:type="dxa"/>
            <w:bottom w:w="0" w:type="dxa"/>
            <w:right w:w="108" w:type="dxa"/>
          </w:tblCellMar>
        </w:tblPrEx>
        <w:trPr>
          <w:trHeight w:val="964"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A项目决策（10）</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A1项目立项（5）</w:t>
            </w: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A101 立项依据充分性</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3</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充分</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充分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 xml:space="preserve">3.00 </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818"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A102 项目立项规范性</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规范</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规范</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 xml:space="preserve">2.00 </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902"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A2 项目目标（5）</w:t>
            </w: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A201 项目目标合理性</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合理</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一般</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3.33</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66.60%</w:t>
            </w:r>
          </w:p>
        </w:tc>
      </w:tr>
      <w:tr>
        <w:tblPrEx>
          <w:tblCellMar>
            <w:top w:w="0" w:type="dxa"/>
            <w:left w:w="108" w:type="dxa"/>
            <w:bottom w:w="0" w:type="dxa"/>
            <w:right w:w="108" w:type="dxa"/>
          </w:tblCellMar>
        </w:tblPrEx>
        <w:trPr>
          <w:trHeight w:val="1099"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 项目管理（25）</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B1 投入管理（5）</w:t>
            </w: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B101 预算编制合理性</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合理</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合理</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103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B102预算执行率</w:t>
            </w:r>
          </w:p>
        </w:tc>
        <w:tc>
          <w:tcPr>
            <w:tcW w:w="8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3</w:t>
            </w:r>
          </w:p>
        </w:tc>
        <w:tc>
          <w:tcPr>
            <w:tcW w:w="11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w:t>
            </w:r>
          </w:p>
        </w:tc>
        <w:tc>
          <w:tcPr>
            <w:tcW w:w="960"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3.00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1245" w:hRule="atLeast"/>
        </w:trPr>
        <w:tc>
          <w:tcPr>
            <w:tcW w:w="720"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restart"/>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B2 财务管理（10）</w:t>
            </w:r>
          </w:p>
        </w:tc>
        <w:tc>
          <w:tcPr>
            <w:tcW w:w="14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B201 财务管理制度健全性</w:t>
            </w:r>
          </w:p>
        </w:tc>
        <w:tc>
          <w:tcPr>
            <w:tcW w:w="8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1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健全</w:t>
            </w:r>
          </w:p>
        </w:tc>
        <w:tc>
          <w:tcPr>
            <w:tcW w:w="960"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健全</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1342" w:hRule="atLeast"/>
        </w:trPr>
        <w:tc>
          <w:tcPr>
            <w:tcW w:w="720"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B202 资金使用合规性</w:t>
            </w:r>
          </w:p>
        </w:tc>
        <w:tc>
          <w:tcPr>
            <w:tcW w:w="8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1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合规</w:t>
            </w:r>
          </w:p>
        </w:tc>
        <w:tc>
          <w:tcPr>
            <w:tcW w:w="960"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合规</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778" w:hRule="atLeast"/>
        </w:trPr>
        <w:tc>
          <w:tcPr>
            <w:tcW w:w="720"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restart"/>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B3 项目实施（10）</w:t>
            </w:r>
          </w:p>
        </w:tc>
        <w:tc>
          <w:tcPr>
            <w:tcW w:w="14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B301 管理制度健全性</w:t>
            </w:r>
          </w:p>
        </w:tc>
        <w:tc>
          <w:tcPr>
            <w:tcW w:w="8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1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健全</w:t>
            </w:r>
          </w:p>
        </w:tc>
        <w:tc>
          <w:tcPr>
            <w:tcW w:w="960"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健全</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20" w:hRule="atLeast"/>
        </w:trPr>
        <w:tc>
          <w:tcPr>
            <w:tcW w:w="720"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B302 管理制度执行有效性</w:t>
            </w:r>
          </w:p>
        </w:tc>
        <w:tc>
          <w:tcPr>
            <w:tcW w:w="8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w:t>
            </w:r>
          </w:p>
        </w:tc>
        <w:tc>
          <w:tcPr>
            <w:tcW w:w="11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有效</w:t>
            </w:r>
          </w:p>
        </w:tc>
        <w:tc>
          <w:tcPr>
            <w:tcW w:w="960"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有效</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5.00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764"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C项目绩效（40）</w:t>
            </w: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C1 项目产出（40）</w:t>
            </w: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C101 对筛选的工作靶区开展矿产资源调查（非金属矿）项目</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w:t>
            </w:r>
          </w:p>
        </w:tc>
        <w:tc>
          <w:tcPr>
            <w:tcW w:w="960"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71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C102 委托项目实施单位提交调查项目成果报告</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≧2.0个（非金属矿）</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649"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C103 按照项目任务书，提交项目设计书</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≧2.0个（非金属矿）</w:t>
            </w:r>
          </w:p>
        </w:tc>
        <w:tc>
          <w:tcPr>
            <w:tcW w:w="960"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2.0个</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.00</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85.00%</w:t>
            </w:r>
          </w:p>
        </w:tc>
      </w:tr>
      <w:tr>
        <w:tblPrEx>
          <w:tblCellMar>
            <w:top w:w="0" w:type="dxa"/>
            <w:left w:w="108" w:type="dxa"/>
            <w:bottom w:w="0" w:type="dxa"/>
            <w:right w:w="108" w:type="dxa"/>
          </w:tblCellMar>
        </w:tblPrEx>
        <w:trPr>
          <w:trHeight w:val="694"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C104 调查项目成果报告按期完成率</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780"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 项目效益（25）</w:t>
            </w:r>
          </w:p>
        </w:tc>
        <w:tc>
          <w:tcPr>
            <w:tcW w:w="1344" w:type="dxa"/>
            <w:vMerge w:val="restart"/>
            <w:tcBorders>
              <w:top w:val="single" w:color="auto" w:sz="4" w:space="0"/>
              <w:left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D1 项目效果（15）</w:t>
            </w: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D101 拓宽吐鲁番市矿产资源的发展空间</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7</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持续推进</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持续推进</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7.00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780" w:hRule="atLeast"/>
        </w:trPr>
        <w:tc>
          <w:tcPr>
            <w:tcW w:w="720" w:type="dxa"/>
            <w:vMerge w:val="continue"/>
            <w:tcBorders>
              <w:left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vMerge w:val="continue"/>
            <w:tcBorders>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4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D102 坚持资源开发可持续与生态保护可持续</w:t>
            </w:r>
          </w:p>
        </w:tc>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8</w:t>
            </w:r>
          </w:p>
        </w:tc>
        <w:tc>
          <w:tcPr>
            <w:tcW w:w="116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长期坚持</w:t>
            </w:r>
          </w:p>
        </w:tc>
        <w:tc>
          <w:tcPr>
            <w:tcW w:w="96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长期坚持</w:t>
            </w: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7.00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87.50%</w:t>
            </w:r>
          </w:p>
        </w:tc>
      </w:tr>
      <w:tr>
        <w:tblPrEx>
          <w:tblCellMar>
            <w:top w:w="0" w:type="dxa"/>
            <w:left w:w="108" w:type="dxa"/>
            <w:bottom w:w="0" w:type="dxa"/>
            <w:right w:w="108" w:type="dxa"/>
          </w:tblCellMar>
        </w:tblPrEx>
        <w:trPr>
          <w:trHeight w:val="886"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p>
        </w:tc>
        <w:tc>
          <w:tcPr>
            <w:tcW w:w="1344"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D2 满意度（10）</w:t>
            </w:r>
          </w:p>
        </w:tc>
        <w:tc>
          <w:tcPr>
            <w:tcW w:w="14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D201学员满意度</w:t>
            </w:r>
          </w:p>
        </w:tc>
        <w:tc>
          <w:tcPr>
            <w:tcW w:w="8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w:t>
            </w:r>
          </w:p>
        </w:tc>
        <w:tc>
          <w:tcPr>
            <w:tcW w:w="1164"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≥90%</w:t>
            </w:r>
          </w:p>
        </w:tc>
        <w:tc>
          <w:tcPr>
            <w:tcW w:w="960"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90%</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w:t>
            </w:r>
          </w:p>
        </w:tc>
        <w:tc>
          <w:tcPr>
            <w:tcW w:w="1296"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100.00%</w:t>
            </w:r>
          </w:p>
        </w:tc>
      </w:tr>
      <w:tr>
        <w:tblPrEx>
          <w:tblCellMar>
            <w:top w:w="0" w:type="dxa"/>
            <w:left w:w="108" w:type="dxa"/>
            <w:bottom w:w="0" w:type="dxa"/>
            <w:right w:w="108" w:type="dxa"/>
          </w:tblCellMar>
        </w:tblPrEx>
        <w:trPr>
          <w:trHeight w:val="489" w:hRule="atLeast"/>
        </w:trPr>
        <w:tc>
          <w:tcPr>
            <w:tcW w:w="3528" w:type="dxa"/>
            <w:gridSpan w:val="3"/>
            <w:tcBorders>
              <w:top w:val="single" w:color="auto" w:sz="4" w:space="0"/>
              <w:left w:val="single" w:color="auto" w:sz="4" w:space="0"/>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kern w:val="2"/>
                <w:sz w:val="22"/>
                <w:szCs w:val="22"/>
                <w:lang w:val="en-US" w:eastAsia="zh-CN" w:bidi="ar-SA"/>
              </w:rPr>
              <w:t>总分</w:t>
            </w:r>
          </w:p>
        </w:tc>
        <w:tc>
          <w:tcPr>
            <w:tcW w:w="8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100</w:t>
            </w:r>
          </w:p>
        </w:tc>
        <w:tc>
          <w:tcPr>
            <w:tcW w:w="1164"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w:t>
            </w:r>
          </w:p>
        </w:tc>
        <w:tc>
          <w:tcPr>
            <w:tcW w:w="960" w:type="dxa"/>
            <w:tcBorders>
              <w:top w:val="nil"/>
              <w:left w:val="nil"/>
              <w:bottom w:val="single" w:color="auto" w:sz="4" w:space="0"/>
              <w:right w:val="single" w:color="auto" w:sz="4" w:space="0"/>
            </w:tcBorders>
            <w:vAlign w:val="center"/>
          </w:tcPr>
          <w:p>
            <w:pPr>
              <w:snapToGrid w:val="0"/>
              <w:spacing w:line="540" w:lineRule="exact"/>
              <w:ind w:firstLine="0" w:firstLineChars="0"/>
              <w:rPr>
                <w:rFonts w:hint="eastAsia"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w:t>
            </w:r>
          </w:p>
        </w:tc>
        <w:tc>
          <w:tcPr>
            <w:tcW w:w="708" w:type="dxa"/>
            <w:tcBorders>
              <w:top w:val="single" w:color="auto" w:sz="4" w:space="0"/>
              <w:left w:val="nil"/>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97.33</w:t>
            </w:r>
          </w:p>
        </w:tc>
        <w:tc>
          <w:tcPr>
            <w:tcW w:w="1296" w:type="dxa"/>
            <w:tcBorders>
              <w:top w:val="nil"/>
              <w:left w:val="single" w:color="auto" w:sz="4" w:space="0"/>
              <w:bottom w:val="single" w:color="auto" w:sz="4" w:space="0"/>
              <w:right w:val="single" w:color="auto" w:sz="4" w:space="0"/>
            </w:tcBorders>
            <w:vAlign w:val="center"/>
          </w:tcPr>
          <w:p>
            <w:pPr>
              <w:snapToGrid w:val="0"/>
              <w:spacing w:line="540" w:lineRule="exact"/>
              <w:ind w:firstLine="0" w:firstLineChars="0"/>
              <w:rPr>
                <w:rFonts w:hint="default" w:ascii="Times New Roman" w:hAnsi="Times New Roman" w:eastAsia="仿宋_GB2312" w:cs="Times New Roman"/>
                <w:b/>
                <w:bCs/>
                <w:kern w:val="2"/>
                <w:sz w:val="22"/>
                <w:szCs w:val="22"/>
                <w:lang w:val="en-US" w:eastAsia="zh-CN" w:bidi="ar-SA"/>
              </w:rPr>
            </w:pPr>
            <w:r>
              <w:rPr>
                <w:rFonts w:hint="eastAsia" w:ascii="Times New Roman" w:hAnsi="Times New Roman" w:eastAsia="仿宋_GB2312" w:cs="Times New Roman"/>
                <w:b/>
                <w:bCs/>
                <w:kern w:val="2"/>
                <w:sz w:val="22"/>
                <w:szCs w:val="22"/>
                <w:lang w:val="en-US" w:eastAsia="zh-CN" w:bidi="ar-SA"/>
              </w:rPr>
              <w:t>97.33%</w:t>
            </w:r>
          </w:p>
        </w:tc>
      </w:tr>
    </w:tbl>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bookmarkStart w:id="86" w:name="_Toc77"/>
      <w:bookmarkStart w:id="87" w:name="_Toc28087"/>
      <w:bookmarkStart w:id="88" w:name="_Toc4462"/>
      <w:r>
        <w:rPr>
          <w:rStyle w:val="23"/>
          <w:rFonts w:hint="eastAsia" w:ascii="黑体" w:hAnsi="黑体" w:eastAsia="黑体" w:cs="Times New Roman"/>
          <w:lang w:val="en-US" w:eastAsia="zh-CN"/>
        </w:rPr>
        <w:t>四、绩效评价分析</w:t>
      </w:r>
      <w:bookmarkEnd w:id="86"/>
      <w:bookmarkEnd w:id="87"/>
      <w:bookmarkEnd w:id="88"/>
    </w:p>
    <w:p>
      <w:pPr>
        <w:widowControl/>
        <w:bidi w:val="0"/>
        <w:spacing w:line="540" w:lineRule="exact"/>
        <w:ind w:firstLine="643" w:firstLineChars="200"/>
        <w:textAlignment w:val="baseline"/>
        <w:outlineLvl w:val="1"/>
        <w:rPr>
          <w:rStyle w:val="23"/>
          <w:rFonts w:hint="eastAsia" w:ascii="楷体" w:hAnsi="楷体" w:eastAsia="楷体" w:cs="Times New Roman"/>
          <w:b/>
          <w:kern w:val="0"/>
          <w:szCs w:val="32"/>
          <w:lang w:val="en-US" w:eastAsia="zh-CN"/>
        </w:rPr>
      </w:pPr>
      <w:bookmarkStart w:id="89" w:name="_Toc24803"/>
      <w:bookmarkStart w:id="90" w:name="_Toc22192"/>
      <w:bookmarkStart w:id="91" w:name="_Toc20063"/>
      <w:r>
        <w:rPr>
          <w:rStyle w:val="23"/>
          <w:rFonts w:hint="eastAsia" w:ascii="楷体" w:hAnsi="楷体" w:eastAsia="楷体" w:cs="Times New Roman"/>
          <w:b/>
          <w:kern w:val="0"/>
          <w:szCs w:val="32"/>
          <w:lang w:val="en-US" w:eastAsia="zh-CN"/>
        </w:rPr>
        <w:t>（一）绩效目标分析</w:t>
      </w:r>
      <w:bookmarkEnd w:id="89"/>
      <w:bookmarkEnd w:id="90"/>
      <w:bookmarkEnd w:id="91"/>
    </w:p>
    <w:p>
      <w:pPr>
        <w:bidi w:val="0"/>
        <w:spacing w:line="560" w:lineRule="exact"/>
        <w:rPr>
          <w:rFonts w:hint="eastAsia"/>
          <w:lang w:val="en-US" w:eastAsia="zh-CN"/>
        </w:rPr>
      </w:pPr>
      <w:r>
        <w:rPr>
          <w:rFonts w:hint="eastAsia"/>
          <w:b/>
          <w:bCs/>
          <w:lang w:val="en-US" w:eastAsia="zh-CN"/>
        </w:rPr>
        <w:t>部分绩效目标设置缺乏合理性。</w:t>
      </w:r>
      <w:r>
        <w:rPr>
          <w:rFonts w:hint="eastAsia"/>
          <w:lang w:val="en-US" w:eastAsia="zh-CN"/>
        </w:rPr>
        <w:t>年度绩效目标总体完整、可实现，但存在以下不合理之处：部分指标设置不科学、不明确，如质量指标“按照项目任务书，提交项目设计书”</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w:t>
      </w:r>
      <w:r>
        <w:rPr>
          <w:rFonts w:hint="eastAsia"/>
          <w:lang w:val="en-US" w:eastAsia="zh-CN"/>
        </w:rPr>
        <w:t>个（非金属矿）</w:t>
      </w:r>
      <w:r>
        <w:rPr>
          <w:rFonts w:hint="eastAsia"/>
          <w:lang w:val="zh-CN" w:eastAsia="zh-CN"/>
        </w:rPr>
        <w:t>”</w:t>
      </w:r>
      <w:r>
        <w:rPr>
          <w:rFonts w:hint="eastAsia"/>
          <w:lang w:val="en-US" w:eastAsia="zh-CN"/>
        </w:rPr>
        <w:t>，应调整为数量指标；质量指标应按照数量指标设置相对应的指标，缺失“调查成果采用通过率”；部分指标设置不合理，如成本指标“项目预算控制数”</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w:t>
      </w:r>
      <w:r>
        <w:rPr>
          <w:rFonts w:hint="eastAsia"/>
          <w:lang w:val="zh-CN" w:eastAsia="zh-CN"/>
        </w:rPr>
        <w:t>”</w:t>
      </w:r>
      <w:r>
        <w:rPr>
          <w:rFonts w:hint="eastAsia"/>
          <w:lang w:val="en-US" w:eastAsia="zh-CN"/>
        </w:rPr>
        <w:t>，该项目已明确总资金数为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ascii="Times New Roman" w:hAnsi="Times New Roman" w:cs="Times New Roman"/>
          <w:b w:val="0"/>
          <w:bCs w:val="0"/>
          <w:i w:val="0"/>
          <w:caps w:val="0"/>
          <w:color w:val="000000"/>
          <w:spacing w:val="0"/>
          <w:w w:val="100"/>
          <w:kern w:val="0"/>
          <w:sz w:val="32"/>
          <w:szCs w:val="32"/>
          <w:lang w:val="en-US" w:eastAsia="zh-CN" w:bidi="ar"/>
        </w:rPr>
        <w:t>万元</w:t>
      </w:r>
      <w:r>
        <w:rPr>
          <w:rFonts w:hint="eastAsia"/>
          <w:lang w:val="en-US" w:eastAsia="zh-CN"/>
        </w:rPr>
        <w:t>，该指标设置无意义。</w:t>
      </w:r>
    </w:p>
    <w:p>
      <w:pPr>
        <w:keepNext w:val="0"/>
        <w:keepLines w:val="0"/>
        <w:widowControl/>
        <w:suppressLineNumbers w:val="0"/>
        <w:spacing w:line="560" w:lineRule="exact"/>
        <w:ind w:firstLine="0" w:firstLineChars="0"/>
        <w:jc w:val="center"/>
        <w:rPr>
          <w:rFonts w:hint="eastAsia" w:ascii="仿宋_GB2312" w:hAnsi="宋体" w:eastAsia="仿宋_GB2312" w:cs="仿宋_GB2312"/>
          <w:b/>
          <w:bCs/>
          <w:color w:val="000000"/>
          <w:kern w:val="0"/>
          <w:sz w:val="28"/>
          <w:szCs w:val="28"/>
          <w:lang w:val="en-US" w:eastAsia="zh-CN" w:bidi="ar"/>
        </w:rPr>
      </w:pPr>
      <w:r>
        <w:rPr>
          <w:rFonts w:hint="eastAsia" w:ascii="仿宋_GB2312" w:hAnsi="宋体" w:eastAsia="仿宋_GB2312" w:cs="仿宋_GB2312"/>
          <w:b/>
          <w:bCs/>
          <w:color w:val="000000"/>
          <w:kern w:val="0"/>
          <w:sz w:val="28"/>
          <w:szCs w:val="28"/>
          <w:lang w:val="en-US" w:eastAsia="zh-CN" w:bidi="ar"/>
        </w:rPr>
        <w:t>表4-1 吐鲁番市权限内二类非金属矿产资源调查（高昌区Ⅳ区、Ⅵ区）项目</w:t>
      </w:r>
      <w:r>
        <w:rPr>
          <w:rFonts w:hint="default" w:ascii="仿宋_GB2312" w:hAnsi="宋体" w:eastAsia="仿宋_GB2312" w:cs="仿宋_GB2312"/>
          <w:b/>
          <w:bCs/>
          <w:color w:val="000000"/>
          <w:kern w:val="0"/>
          <w:sz w:val="28"/>
          <w:szCs w:val="28"/>
          <w:lang w:val="en-US" w:eastAsia="zh-CN" w:bidi="ar"/>
        </w:rPr>
        <w:t>年度绩效目标表分析</w:t>
      </w:r>
    </w:p>
    <w:tbl>
      <w:tblPr>
        <w:tblStyle w:val="17"/>
        <w:tblpPr w:leftFromText="180" w:rightFromText="180" w:vertAnchor="text" w:horzAnchor="page" w:tblpX="1382" w:tblpY="283"/>
        <w:tblOverlap w:val="never"/>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1266"/>
        <w:gridCol w:w="2595"/>
        <w:gridCol w:w="153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64" w:type="pct"/>
            <w:shd w:val="clear" w:color="auto" w:fill="AEAAAA"/>
            <w:vAlign w:val="center"/>
          </w:tcPr>
          <w:p>
            <w:pPr>
              <w:widowControl/>
              <w:ind w:left="0" w:leftChars="0" w:firstLine="0" w:firstLineChars="0"/>
              <w:jc w:val="both"/>
              <w:textAlignment w:val="center"/>
              <w:rPr>
                <w:rFonts w:ascii="Times New Roman" w:hAnsi="Times New Roman" w:eastAsia="仿宋_GB2312" w:cs="仿宋"/>
                <w:color w:val="000000"/>
                <w:kern w:val="0"/>
                <w:sz w:val="22"/>
              </w:rPr>
            </w:pPr>
            <w:r>
              <w:rPr>
                <w:rFonts w:hint="eastAsia" w:ascii="Times New Roman" w:hAnsi="Times New Roman" w:eastAsia="仿宋_GB2312" w:cs="仿宋"/>
                <w:b/>
                <w:color w:val="000000"/>
                <w:kern w:val="0"/>
                <w:sz w:val="22"/>
              </w:rPr>
              <w:t>一级指标</w:t>
            </w:r>
          </w:p>
        </w:tc>
        <w:tc>
          <w:tcPr>
            <w:tcW w:w="738" w:type="pct"/>
            <w:shd w:val="clear" w:color="auto" w:fill="AEAAAA"/>
            <w:vAlign w:val="center"/>
          </w:tcPr>
          <w:p>
            <w:pPr>
              <w:widowControl/>
              <w:ind w:left="0" w:leftChars="0" w:firstLine="0" w:firstLineChars="0"/>
              <w:jc w:val="both"/>
              <w:textAlignment w:val="center"/>
              <w:rPr>
                <w:rFonts w:ascii="Times New Roman" w:hAnsi="Times New Roman" w:eastAsia="仿宋_GB2312" w:cs="仿宋"/>
                <w:color w:val="000000"/>
                <w:kern w:val="0"/>
                <w:sz w:val="22"/>
              </w:rPr>
            </w:pPr>
            <w:r>
              <w:rPr>
                <w:rFonts w:hint="eastAsia" w:ascii="Times New Roman" w:hAnsi="Times New Roman" w:eastAsia="仿宋_GB2312" w:cs="仿宋"/>
                <w:b/>
                <w:color w:val="000000"/>
                <w:kern w:val="0"/>
                <w:sz w:val="22"/>
              </w:rPr>
              <w:t>二级指标</w:t>
            </w:r>
          </w:p>
        </w:tc>
        <w:tc>
          <w:tcPr>
            <w:tcW w:w="1512" w:type="pct"/>
            <w:shd w:val="clear" w:color="auto" w:fill="AEAAAA"/>
            <w:vAlign w:val="center"/>
          </w:tcPr>
          <w:p>
            <w:pPr>
              <w:widowControl/>
              <w:jc w:val="both"/>
              <w:textAlignment w:val="center"/>
            </w:pPr>
            <w:r>
              <w:rPr>
                <w:rFonts w:hint="eastAsia" w:ascii="Times New Roman" w:hAnsi="Times New Roman" w:eastAsia="仿宋_GB2312" w:cs="仿宋"/>
                <w:b/>
                <w:color w:val="000000"/>
                <w:kern w:val="0"/>
                <w:sz w:val="22"/>
              </w:rPr>
              <w:t>三级指标</w:t>
            </w:r>
          </w:p>
        </w:tc>
        <w:tc>
          <w:tcPr>
            <w:tcW w:w="896" w:type="pct"/>
            <w:shd w:val="clear" w:color="auto" w:fill="AEAAAA"/>
            <w:vAlign w:val="center"/>
          </w:tcPr>
          <w:p>
            <w:pPr>
              <w:widowControl/>
              <w:ind w:left="0" w:leftChars="0" w:firstLine="0" w:firstLineChars="0"/>
              <w:jc w:val="both"/>
              <w:textAlignment w:val="center"/>
            </w:pPr>
            <w:r>
              <w:rPr>
                <w:rFonts w:hint="eastAsia" w:ascii="Times New Roman" w:hAnsi="Times New Roman" w:eastAsia="仿宋_GB2312" w:cs="仿宋"/>
                <w:b/>
                <w:color w:val="000000"/>
                <w:kern w:val="0"/>
                <w:sz w:val="22"/>
              </w:rPr>
              <w:t>预期指标值</w:t>
            </w:r>
          </w:p>
        </w:tc>
        <w:tc>
          <w:tcPr>
            <w:tcW w:w="1088" w:type="pct"/>
            <w:shd w:val="clear" w:color="auto" w:fill="AEAAAA"/>
            <w:vAlign w:val="center"/>
          </w:tcPr>
          <w:p>
            <w:pPr>
              <w:widowControl/>
              <w:jc w:val="both"/>
              <w:textAlignment w:val="center"/>
              <w:rPr>
                <w:rFonts w:hint="eastAsia" w:ascii="Times New Roman" w:hAnsi="Times New Roman" w:eastAsia="仿宋_GB2312" w:cs="仿宋"/>
                <w:b/>
                <w:color w:val="000000"/>
                <w:kern w:val="0"/>
                <w:sz w:val="22"/>
                <w:lang w:val="en-US" w:eastAsia="zh-CN"/>
              </w:rPr>
            </w:pPr>
            <w:r>
              <w:rPr>
                <w:rFonts w:hint="eastAsia" w:ascii="Times New Roman" w:hAnsi="Times New Roman" w:eastAsia="仿宋_GB2312" w:cs="仿宋"/>
                <w:b/>
                <w:color w:val="000000"/>
                <w:kern w:val="0"/>
                <w:sz w:val="22"/>
                <w:lang w:val="en-US" w:eastAsia="zh-CN"/>
              </w:rPr>
              <w:t>指标问题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4" w:type="pct"/>
            <w:vMerge w:val="restart"/>
          </w:tcPr>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产出指标</w:t>
            </w:r>
          </w:p>
        </w:tc>
        <w:tc>
          <w:tcPr>
            <w:tcW w:w="738" w:type="pct"/>
            <w:vMerge w:val="restar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数量指标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对筛选的工作靶区开展矿产资源调查工作</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≥2个（非金属矿）</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4" w:type="pct"/>
            <w:vMerge w:val="continue"/>
          </w:tcPr>
          <w:p>
            <w:pPr>
              <w:pStyle w:val="28"/>
              <w:snapToGrid w:val="0"/>
              <w:spacing w:line="540" w:lineRule="exact"/>
              <w:ind w:firstLine="0" w:firstLineChars="0"/>
              <w:rPr>
                <w:rFonts w:hint="eastAsia" w:ascii="Times New Roman" w:hAnsi="Times New Roman" w:eastAsia="仿宋_GB2312" w:cs="Times New Roman"/>
                <w:sz w:val="22"/>
              </w:rPr>
            </w:pPr>
          </w:p>
        </w:tc>
        <w:tc>
          <w:tcPr>
            <w:tcW w:w="738" w:type="pct"/>
            <w:vMerge w:val="continue"/>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委托实施单位提交调查项目成果报告</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≥2个（非金属矿）</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4" w:type="pct"/>
            <w:vMerge w:val="continue"/>
          </w:tcPr>
          <w:p>
            <w:pPr>
              <w:pStyle w:val="28"/>
              <w:snapToGrid w:val="0"/>
              <w:spacing w:line="540" w:lineRule="exact"/>
              <w:ind w:firstLine="0" w:firstLineChars="0"/>
              <w:rPr>
                <w:rFonts w:hint="eastAsia" w:ascii="Times New Roman" w:hAnsi="Times New Roman" w:eastAsia="仿宋_GB2312" w:cs="Times New Roman"/>
                <w:sz w:val="22"/>
              </w:rPr>
            </w:pPr>
          </w:p>
        </w:tc>
        <w:tc>
          <w:tcPr>
            <w:tcW w:w="738"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质量指标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按照项目任务书，提交项目设计书</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≥2个（非金属矿）</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应调整为数量指标；质量指标应按照数量指标设置相对应的指标，缺失“调查成果采用通过率”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64" w:type="pct"/>
            <w:vMerge w:val="continue"/>
          </w:tcPr>
          <w:p>
            <w:pPr>
              <w:pStyle w:val="28"/>
              <w:snapToGrid w:val="0"/>
              <w:spacing w:line="540" w:lineRule="exact"/>
              <w:ind w:firstLine="0" w:firstLineChars="0"/>
              <w:rPr>
                <w:rFonts w:hint="eastAsia" w:ascii="Times New Roman" w:hAnsi="Times New Roman" w:eastAsia="仿宋_GB2312" w:cs="Times New Roman"/>
                <w:sz w:val="22"/>
              </w:rPr>
            </w:pPr>
          </w:p>
        </w:tc>
        <w:tc>
          <w:tcPr>
            <w:tcW w:w="738"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时效指标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调查项目成果报告按期完成率</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100%</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64" w:type="pct"/>
            <w:vMerge w:val="continue"/>
          </w:tcPr>
          <w:p>
            <w:pPr>
              <w:pStyle w:val="28"/>
              <w:snapToGrid w:val="0"/>
              <w:spacing w:line="540" w:lineRule="exact"/>
              <w:ind w:firstLine="0" w:firstLineChars="0"/>
              <w:rPr>
                <w:rFonts w:hint="eastAsia" w:ascii="Times New Roman" w:hAnsi="Times New Roman" w:eastAsia="仿宋_GB2312" w:cs="Times New Roman"/>
                <w:sz w:val="22"/>
              </w:rPr>
            </w:pPr>
          </w:p>
        </w:tc>
        <w:tc>
          <w:tcPr>
            <w:tcW w:w="738"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成本指标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预算控制数</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≤471.56万元</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该项目已明确总资金数为471.56，该指标设置无意义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4" w:type="pct"/>
            <w:vMerge w:val="restar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效益指标</w:t>
            </w:r>
          </w:p>
        </w:tc>
        <w:tc>
          <w:tcPr>
            <w:tcW w:w="738" w:type="pct"/>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社会效益指标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拓宽吐鲁番市矿产资源的发展空间</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持续推进</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64" w:type="pct"/>
            <w:vMerge w:val="continue"/>
          </w:tcPr>
          <w:p>
            <w:pPr>
              <w:pStyle w:val="28"/>
              <w:snapToGrid w:val="0"/>
              <w:spacing w:line="540" w:lineRule="exact"/>
              <w:ind w:firstLine="0" w:firstLineChars="0"/>
              <w:rPr>
                <w:rFonts w:hint="eastAsia" w:ascii="Times New Roman" w:hAnsi="Times New Roman" w:eastAsia="仿宋_GB2312" w:cs="Times New Roman"/>
                <w:sz w:val="22"/>
              </w:rPr>
            </w:pPr>
          </w:p>
        </w:tc>
        <w:tc>
          <w:tcPr>
            <w:tcW w:w="738"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生态效益</w:t>
            </w:r>
            <w:r>
              <w:rPr>
                <w:rFonts w:hint="eastAsia" w:ascii="Times New Roman" w:hAnsi="Times New Roman" w:eastAsia="仿宋_GB2312" w:cs="Times New Roman"/>
                <w:sz w:val="22"/>
              </w:rPr>
              <w:t>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坚持资源开发可持续与生态保护可持续，积极倡导绿色发展理念</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长期坚持</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64" w:type="pct"/>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满意度指标</w:t>
            </w:r>
          </w:p>
        </w:tc>
        <w:tc>
          <w:tcPr>
            <w:tcW w:w="73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满意度指标</w:t>
            </w:r>
          </w:p>
        </w:tc>
        <w:tc>
          <w:tcPr>
            <w:tcW w:w="1512" w:type="pct"/>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调查成果使用者满意度</w:t>
            </w:r>
          </w:p>
        </w:tc>
        <w:tc>
          <w:tcPr>
            <w:tcW w:w="896"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≥90%</w:t>
            </w:r>
          </w:p>
        </w:tc>
        <w:tc>
          <w:tcPr>
            <w:tcW w:w="1088" w:type="pct"/>
            <w:vAlign w:val="center"/>
          </w:tcPr>
          <w:p>
            <w:pPr>
              <w:pStyle w:val="28"/>
              <w:snapToGrid w:val="0"/>
              <w:spacing w:line="540" w:lineRule="exact"/>
              <w:ind w:firstLine="0" w:firstLineChars="0"/>
              <w:rPr>
                <w:rFonts w:hint="eastAsia" w:ascii="Times New Roman" w:hAnsi="Times New Roman" w:eastAsia="仿宋_GB2312" w:cs="Times New Roman"/>
                <w:sz w:val="22"/>
                <w:lang w:val="en-US" w:eastAsia="zh-CN"/>
              </w:rPr>
            </w:pPr>
          </w:p>
        </w:tc>
      </w:tr>
    </w:tbl>
    <w:p>
      <w:pPr>
        <w:pStyle w:val="28"/>
        <w:snapToGrid w:val="0"/>
        <w:spacing w:line="540" w:lineRule="exact"/>
        <w:ind w:firstLine="0" w:firstLineChars="0"/>
        <w:rPr>
          <w:rFonts w:hint="eastAsia" w:ascii="Times New Roman" w:hAnsi="Times New Roman" w:eastAsia="仿宋_GB2312" w:cs="Times New Roman"/>
          <w:sz w:val="22"/>
        </w:rPr>
      </w:pPr>
    </w:p>
    <w:p>
      <w:pPr>
        <w:widowControl/>
        <w:spacing w:line="540" w:lineRule="exact"/>
        <w:ind w:firstLine="643" w:firstLineChars="200"/>
        <w:textAlignment w:val="baseline"/>
        <w:rPr>
          <w:rStyle w:val="23"/>
          <w:rFonts w:hint="eastAsia" w:ascii="楷体" w:hAnsi="楷体" w:eastAsia="楷体" w:cs="Times New Roman"/>
          <w:b/>
          <w:kern w:val="0"/>
          <w:szCs w:val="32"/>
          <w:lang w:val="en-US" w:eastAsia="zh-CN"/>
        </w:rPr>
      </w:pPr>
      <w:bookmarkStart w:id="92" w:name="_Toc22875"/>
      <w:bookmarkStart w:id="93" w:name="_Toc30251"/>
      <w:bookmarkStart w:id="94" w:name="_Toc15289"/>
      <w:bookmarkStart w:id="95" w:name="_Toc16302"/>
      <w:bookmarkStart w:id="96" w:name="_Toc18984"/>
      <w:r>
        <w:rPr>
          <w:rStyle w:val="23"/>
          <w:rFonts w:hint="eastAsia" w:ascii="楷体" w:hAnsi="楷体" w:eastAsia="楷体" w:cs="Times New Roman"/>
          <w:b/>
          <w:kern w:val="0"/>
          <w:szCs w:val="32"/>
          <w:lang w:val="en-US" w:eastAsia="zh-CN"/>
        </w:rPr>
        <w:t>（二）项目管理分析</w:t>
      </w:r>
      <w:bookmarkEnd w:id="92"/>
      <w:bookmarkEnd w:id="93"/>
      <w:bookmarkEnd w:id="94"/>
      <w:bookmarkEnd w:id="95"/>
      <w:bookmarkEnd w:id="96"/>
    </w:p>
    <w:p>
      <w:pPr>
        <w:bidi w:val="0"/>
        <w:spacing w:line="560" w:lineRule="exact"/>
        <w:rPr>
          <w:rFonts w:hint="eastAsia"/>
          <w:lang w:val="en-US" w:eastAsia="zh-CN"/>
        </w:rPr>
      </w:pPr>
      <w:bookmarkStart w:id="97" w:name="_Toc19644"/>
      <w:r>
        <w:rPr>
          <w:rFonts w:hint="eastAsia"/>
          <w:lang w:val="en-US" w:eastAsia="zh-CN"/>
        </w:rPr>
        <w:t>资金管理办法健全，资金支出规范。吐鲁番市自然资源局根据单位财务管理制度，对资金支付程序等予以规范。通过对预算编制、审批、调整、执行决算与评价等业务全过程进行控制，控制实际收支偏离计划的幅度。支出按照吐鲁番市自然资源局财务管理制度的开支范围及标准，按规定的程序和权限进行审核、审批，确保专项资金使用合理合规、安全有效。</w:t>
      </w:r>
    </w:p>
    <w:p>
      <w:pPr>
        <w:bidi w:val="0"/>
        <w:spacing w:line="560" w:lineRule="exact"/>
        <w:rPr>
          <w:rFonts w:hint="eastAsia"/>
          <w:lang w:val="en-US" w:eastAsia="zh-CN"/>
        </w:rPr>
      </w:pPr>
      <w:r>
        <w:rPr>
          <w:rFonts w:hint="eastAsia"/>
          <w:lang w:val="en-US" w:eastAsia="zh-CN"/>
        </w:rPr>
        <w:t>项目管理制度建设，制度执行到位。吐鲁番市自然资源局制定了单位财务制度等相关规定，并严格按照此办法合理、有效、规范的使用专项资金，提高了资金的使用效益。</w:t>
      </w:r>
    </w:p>
    <w:p>
      <w:pPr>
        <w:widowControl/>
        <w:spacing w:line="540" w:lineRule="exact"/>
        <w:ind w:firstLine="643" w:firstLineChars="200"/>
        <w:textAlignment w:val="baseline"/>
        <w:rPr>
          <w:rStyle w:val="23"/>
          <w:rFonts w:hint="eastAsia" w:ascii="楷体" w:hAnsi="楷体" w:eastAsia="楷体" w:cs="Times New Roman"/>
          <w:b/>
          <w:kern w:val="0"/>
          <w:szCs w:val="32"/>
          <w:lang w:val="en-US" w:eastAsia="zh-CN"/>
        </w:rPr>
      </w:pPr>
      <w:bookmarkStart w:id="98" w:name="_Toc20406"/>
      <w:bookmarkStart w:id="99" w:name="_Toc168"/>
      <w:r>
        <w:rPr>
          <w:rStyle w:val="23"/>
          <w:rFonts w:hint="eastAsia" w:ascii="楷体" w:hAnsi="楷体" w:eastAsia="楷体" w:cs="Times New Roman"/>
          <w:b/>
          <w:kern w:val="0"/>
          <w:szCs w:val="32"/>
          <w:lang w:val="en-US" w:eastAsia="zh-CN"/>
        </w:rPr>
        <w:t>（三）项目绩效分析</w:t>
      </w:r>
      <w:bookmarkEnd w:id="97"/>
      <w:bookmarkEnd w:id="98"/>
      <w:bookmarkEnd w:id="99"/>
    </w:p>
    <w:p>
      <w:pPr>
        <w:bidi w:val="0"/>
        <w:spacing w:line="560" w:lineRule="exact"/>
        <w:rPr>
          <w:rFonts w:hint="eastAsia"/>
          <w:lang w:val="en-US" w:eastAsia="zh-CN"/>
        </w:rPr>
      </w:pPr>
      <w:r>
        <w:rPr>
          <w:rFonts w:hint="eastAsia"/>
          <w:b/>
          <w:bCs/>
          <w:lang w:val="zh-CN" w:eastAsia="zh-CN"/>
        </w:rPr>
        <w:t>较好完成了</w:t>
      </w:r>
      <w:r>
        <w:rPr>
          <w:rFonts w:hint="eastAsia"/>
          <w:b/>
          <w:bCs/>
          <w:lang w:val="en-US" w:eastAsia="zh-CN"/>
        </w:rPr>
        <w:t>吐鲁番市权限内二类非金属矿产资源调查项目（高昌区Ⅳ区、Ⅵ区）</w:t>
      </w:r>
      <w:r>
        <w:rPr>
          <w:rFonts w:hint="eastAsia"/>
          <w:b/>
          <w:bCs/>
          <w:lang w:val="zh-CN" w:eastAsia="zh-CN"/>
        </w:rPr>
        <w:t>年度规划目标，确保</w:t>
      </w:r>
      <w:r>
        <w:rPr>
          <w:rFonts w:hint="eastAsia"/>
          <w:b/>
          <w:bCs/>
          <w:lang w:val="en-US" w:eastAsia="zh-CN"/>
        </w:rPr>
        <w:t>培训</w:t>
      </w:r>
      <w:r>
        <w:rPr>
          <w:rFonts w:hint="eastAsia"/>
          <w:b/>
          <w:bCs/>
          <w:lang w:val="zh-CN" w:eastAsia="zh-CN"/>
        </w:rPr>
        <w:t>工作有序开展。</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2021</w:t>
      </w:r>
      <w:r>
        <w:rPr>
          <w:rFonts w:hint="eastAsia"/>
          <w:lang w:val="en-US" w:eastAsia="zh-CN"/>
        </w:rPr>
        <w:t>年度，吐鲁番市权限内二类非金属矿产资源调查项目（高昌区Ⅳ区、Ⅵ区）项目已完成，满足了吐鲁番市现有产业对原材料的需求，保障地方经济可持续发展有后续接替资源，培育财政新的经济增长点。</w:t>
      </w:r>
    </w:p>
    <w:p>
      <w:pPr>
        <w:pStyle w:val="42"/>
        <w:widowControl/>
        <w:bidi w:val="0"/>
        <w:spacing w:line="540" w:lineRule="exact"/>
        <w:ind w:firstLine="799" w:firstLineChars="0"/>
        <w:textAlignment w:val="baseline"/>
        <w:outlineLvl w:val="0"/>
        <w:rPr>
          <w:rStyle w:val="23"/>
          <w:rFonts w:hint="eastAsia" w:ascii="黑体" w:hAnsi="黑体" w:eastAsia="黑体" w:cs="Times New Roman"/>
          <w:lang w:val="en-US" w:eastAsia="zh-CN"/>
        </w:rPr>
      </w:pPr>
      <w:bookmarkStart w:id="100" w:name="_Toc19892"/>
      <w:bookmarkStart w:id="101" w:name="_Toc25118"/>
      <w:bookmarkStart w:id="102" w:name="_Toc4053"/>
      <w:r>
        <w:rPr>
          <w:rStyle w:val="23"/>
          <w:rFonts w:hint="eastAsia" w:ascii="黑体" w:hAnsi="黑体" w:eastAsia="黑体" w:cs="Times New Roman"/>
          <w:lang w:val="en-US" w:eastAsia="zh-CN"/>
        </w:rPr>
        <w:t>五、存在的问题</w:t>
      </w:r>
      <w:bookmarkEnd w:id="100"/>
      <w:bookmarkEnd w:id="101"/>
      <w:bookmarkEnd w:id="102"/>
    </w:p>
    <w:p>
      <w:pPr>
        <w:widowControl/>
        <w:spacing w:line="540" w:lineRule="exact"/>
        <w:ind w:firstLine="643" w:firstLineChars="200"/>
        <w:textAlignment w:val="baseline"/>
        <w:rPr>
          <w:rStyle w:val="23"/>
          <w:rFonts w:hint="eastAsia" w:ascii="楷体" w:hAnsi="楷体" w:eastAsia="楷体" w:cs="Times New Roman"/>
          <w:b/>
          <w:kern w:val="0"/>
          <w:szCs w:val="32"/>
          <w:lang w:val="en-US" w:eastAsia="zh-CN"/>
        </w:rPr>
      </w:pPr>
      <w:bookmarkStart w:id="103" w:name="_Toc31119"/>
      <w:bookmarkStart w:id="104" w:name="_Toc11642"/>
      <w:bookmarkStart w:id="105" w:name="_Toc81410565"/>
      <w:r>
        <w:rPr>
          <w:rStyle w:val="23"/>
          <w:rFonts w:hint="eastAsia" w:ascii="楷体" w:hAnsi="楷体" w:eastAsia="楷体" w:cs="Times New Roman"/>
          <w:b/>
          <w:kern w:val="0"/>
          <w:szCs w:val="32"/>
          <w:lang w:val="en-US" w:eastAsia="zh-CN"/>
        </w:rPr>
        <w:t>（一）绩效目标合理性有待提升</w:t>
      </w:r>
      <w:bookmarkEnd w:id="103"/>
      <w:bookmarkEnd w:id="104"/>
      <w:bookmarkEnd w:id="105"/>
    </w:p>
    <w:p>
      <w:pPr>
        <w:bidi w:val="0"/>
        <w:spacing w:line="560" w:lineRule="exact"/>
        <w:rPr>
          <w:rFonts w:hint="eastAsia"/>
          <w:lang w:val="en-US" w:eastAsia="zh-CN"/>
        </w:rPr>
      </w:pPr>
      <w:bookmarkStart w:id="106" w:name="_Toc27945"/>
      <w:r>
        <w:rPr>
          <w:rFonts w:hint="eastAsia"/>
          <w:lang w:val="en-US" w:eastAsia="zh-CN"/>
        </w:rPr>
        <w:t>部分绩效目标设置缺乏合理性。年度绩效目标总体完整、可实现，但存在以下不合理之处：部分指标设置不科学、不明确，如质量指标“按照项目任务书，提交项目设计书”</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2.0</w:t>
      </w:r>
      <w:r>
        <w:rPr>
          <w:rFonts w:hint="eastAsia"/>
          <w:lang w:val="en-US" w:eastAsia="zh-CN"/>
        </w:rPr>
        <w:t>个（非金属矿）</w:t>
      </w:r>
      <w:r>
        <w:rPr>
          <w:rFonts w:hint="eastAsia"/>
          <w:lang w:val="zh-CN" w:eastAsia="zh-CN"/>
        </w:rPr>
        <w:t>”</w:t>
      </w:r>
      <w:r>
        <w:rPr>
          <w:rFonts w:hint="eastAsia"/>
          <w:lang w:val="en-US" w:eastAsia="zh-CN"/>
        </w:rPr>
        <w:t>，应调整为数量指标；质量指标应按照数量指标设置相对应的指标，缺失“调查成果采用通过率”；部分指标设置不合理，如成本指标“项目预算控制数”</w:t>
      </w:r>
      <w:r>
        <w:rPr>
          <w:rFonts w:hint="eastAsia"/>
          <w:lang w:val="zh-CN" w:eastAsia="zh-CN"/>
        </w:rPr>
        <w:t>指标值设置为“</w:t>
      </w:r>
      <w:r>
        <w:rPr>
          <w:rFonts w:hint="eastAsia"/>
          <w:lang w:val="en-US" w:eastAsia="zh-CN"/>
        </w:rPr>
        <w:t>≦</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w:t>
      </w:r>
      <w:r>
        <w:rPr>
          <w:rFonts w:hint="eastAsia"/>
          <w:lang w:val="zh-CN" w:eastAsia="zh-CN"/>
        </w:rPr>
        <w:t>”</w:t>
      </w:r>
      <w:r>
        <w:rPr>
          <w:rFonts w:hint="eastAsia"/>
          <w:lang w:val="en-US" w:eastAsia="zh-CN"/>
        </w:rPr>
        <w:t>，该项目已明确总资金数为</w:t>
      </w:r>
      <w:r>
        <w:rPr>
          <w:rFonts w:hint="eastAsia" w:ascii="Times New Roman" w:hAnsi="Times New Roman" w:eastAsia="仿宋_GB2312" w:cs="Times New Roman"/>
          <w:b w:val="0"/>
          <w:bCs w:val="0"/>
          <w:i w:val="0"/>
          <w:caps w:val="0"/>
          <w:color w:val="000000"/>
          <w:spacing w:val="0"/>
          <w:w w:val="100"/>
          <w:kern w:val="0"/>
          <w:sz w:val="32"/>
          <w:szCs w:val="32"/>
          <w:lang w:val="en-US" w:eastAsia="zh-CN" w:bidi="ar"/>
        </w:rPr>
        <w:t>471.56</w:t>
      </w:r>
      <w:r>
        <w:rPr>
          <w:rFonts w:hint="eastAsia"/>
          <w:lang w:val="en-US" w:eastAsia="zh-CN"/>
        </w:rPr>
        <w:t>万元，该指标设置无意义。</w:t>
      </w:r>
    </w:p>
    <w:p>
      <w:pPr>
        <w:widowControl/>
        <w:spacing w:line="540" w:lineRule="exact"/>
        <w:ind w:firstLine="643" w:firstLineChars="200"/>
        <w:textAlignment w:val="baseline"/>
        <w:rPr>
          <w:rStyle w:val="23"/>
          <w:rFonts w:hint="default" w:ascii="楷体" w:hAnsi="楷体" w:eastAsia="楷体" w:cs="Times New Roman"/>
          <w:b/>
          <w:kern w:val="0"/>
          <w:szCs w:val="32"/>
          <w:lang w:val="en-US" w:eastAsia="zh-CN"/>
        </w:rPr>
      </w:pPr>
      <w:bookmarkStart w:id="107" w:name="_Toc8976"/>
      <w:r>
        <w:rPr>
          <w:rStyle w:val="23"/>
          <w:rFonts w:hint="eastAsia" w:ascii="楷体" w:hAnsi="楷体" w:eastAsia="楷体" w:cs="Times New Roman"/>
          <w:b/>
          <w:kern w:val="0"/>
          <w:szCs w:val="32"/>
          <w:lang w:val="en-US" w:eastAsia="zh-CN"/>
        </w:rPr>
        <w:t>（二）</w:t>
      </w:r>
      <w:bookmarkEnd w:id="106"/>
      <w:bookmarkEnd w:id="107"/>
      <w:r>
        <w:rPr>
          <w:rStyle w:val="23"/>
          <w:rFonts w:hint="eastAsia" w:ascii="楷体" w:hAnsi="楷体" w:eastAsia="楷体" w:cs="Times New Roman"/>
          <w:b/>
          <w:kern w:val="0"/>
          <w:szCs w:val="32"/>
          <w:lang w:val="en-US" w:eastAsia="zh-CN"/>
        </w:rPr>
        <w:t>项目相关资料管理工作不足</w:t>
      </w:r>
    </w:p>
    <w:p>
      <w:pPr>
        <w:pStyle w:val="42"/>
        <w:widowControl/>
        <w:spacing w:line="540" w:lineRule="exact"/>
        <w:ind w:firstLine="799" w:firstLineChars="0"/>
        <w:textAlignment w:val="baseline"/>
        <w:rPr>
          <w:rFonts w:hint="eastAsia" w:ascii="Calibri" w:hAnsi="Calibri" w:eastAsia="仿宋_GB2312" w:cs="Times New Roman"/>
          <w:kern w:val="2"/>
          <w:sz w:val="32"/>
          <w:szCs w:val="22"/>
          <w:lang w:val="en-US" w:eastAsia="zh-CN" w:bidi="ar-SA"/>
        </w:rPr>
      </w:pPr>
      <w:bookmarkStart w:id="108" w:name="_Toc14554"/>
      <w:bookmarkStart w:id="109" w:name="_Toc9165"/>
      <w:bookmarkStart w:id="110" w:name="_Toc11569"/>
      <w:r>
        <w:rPr>
          <w:rFonts w:hint="eastAsia" w:ascii="Calibri" w:hAnsi="Calibri" w:eastAsia="仿宋_GB2312" w:cs="Times New Roman"/>
          <w:kern w:val="2"/>
          <w:sz w:val="32"/>
          <w:szCs w:val="22"/>
          <w:lang w:val="en-US" w:eastAsia="zh-CN" w:bidi="ar-SA"/>
        </w:rPr>
        <w:t>根据提供资料，项目中的资料管理必须是完整的、全面的，只有完整、全面的资料才能够确保对项目资料全面记录、全面分析以及全面评价的顺利展开，且没有严格地制定出科学的、合理的以及具有前瞻性的管理方法、管理手段，进而直接地影响到、制约到后续展开的项目资料管理工作。</w:t>
      </w:r>
    </w:p>
    <w:p>
      <w:pPr>
        <w:pStyle w:val="42"/>
        <w:widowControl/>
        <w:spacing w:line="540" w:lineRule="exact"/>
        <w:ind w:firstLine="799" w:firstLineChars="0"/>
        <w:textAlignment w:val="baseline"/>
        <w:rPr>
          <w:rStyle w:val="23"/>
          <w:rFonts w:hint="eastAsia" w:ascii="黑体" w:hAnsi="黑体" w:eastAsia="黑体" w:cs="Times New Roman"/>
          <w:lang w:val="en-US" w:eastAsia="zh-CN"/>
        </w:rPr>
      </w:pPr>
      <w:r>
        <w:rPr>
          <w:rStyle w:val="23"/>
          <w:rFonts w:hint="eastAsia" w:ascii="黑体" w:hAnsi="黑体" w:eastAsia="黑体" w:cs="Times New Roman"/>
          <w:lang w:val="en-US" w:eastAsia="zh-CN"/>
        </w:rPr>
        <w:t>六、相关建议</w:t>
      </w:r>
      <w:bookmarkEnd w:id="108"/>
      <w:bookmarkEnd w:id="109"/>
      <w:bookmarkEnd w:id="110"/>
    </w:p>
    <w:p>
      <w:pPr>
        <w:widowControl/>
        <w:spacing w:line="540" w:lineRule="exact"/>
        <w:ind w:firstLine="643" w:firstLineChars="200"/>
        <w:textAlignment w:val="baseline"/>
        <w:rPr>
          <w:rStyle w:val="23"/>
          <w:rFonts w:hint="eastAsia" w:ascii="楷体" w:hAnsi="楷体" w:eastAsia="楷体" w:cs="Times New Roman"/>
          <w:b/>
          <w:kern w:val="0"/>
          <w:szCs w:val="32"/>
          <w:lang w:val="en-US" w:eastAsia="zh-CN"/>
        </w:rPr>
      </w:pPr>
      <w:bookmarkStart w:id="111" w:name="_Toc19522"/>
      <w:bookmarkStart w:id="112" w:name="_Toc25914"/>
      <w:bookmarkStart w:id="113" w:name="_Toc27909"/>
      <w:bookmarkStart w:id="114" w:name="_Toc2770"/>
      <w:r>
        <w:rPr>
          <w:rStyle w:val="23"/>
          <w:rFonts w:hint="eastAsia" w:ascii="楷体" w:hAnsi="楷体" w:eastAsia="楷体" w:cs="Times New Roman"/>
          <w:b/>
          <w:kern w:val="0"/>
          <w:szCs w:val="32"/>
          <w:lang w:val="en-US" w:eastAsia="zh-CN"/>
        </w:rPr>
        <w:t>（一）</w:t>
      </w:r>
      <w:bookmarkEnd w:id="111"/>
      <w:r>
        <w:rPr>
          <w:rStyle w:val="23"/>
          <w:rFonts w:hint="eastAsia" w:ascii="楷体" w:hAnsi="楷体" w:eastAsia="楷体" w:cs="Times New Roman"/>
          <w:b/>
          <w:kern w:val="0"/>
          <w:szCs w:val="32"/>
          <w:lang w:val="en-US" w:eastAsia="zh-CN"/>
        </w:rPr>
        <w:t>深入研究项目特点，强化绩效管理责任意识</w:t>
      </w:r>
      <w:bookmarkEnd w:id="112"/>
      <w:bookmarkEnd w:id="113"/>
      <w:bookmarkEnd w:id="114"/>
    </w:p>
    <w:p>
      <w:pPr>
        <w:bidi w:val="0"/>
        <w:spacing w:line="560" w:lineRule="exact"/>
        <w:rPr>
          <w:rFonts w:hint="eastAsia"/>
          <w:lang w:val="zh-CN" w:eastAsia="zh-CN"/>
        </w:rPr>
      </w:pPr>
      <w:bookmarkStart w:id="115" w:name="_Toc32527"/>
      <w:bookmarkStart w:id="116" w:name="_Toc20325"/>
      <w:r>
        <w:rPr>
          <w:rFonts w:hint="eastAsia"/>
          <w:lang w:val="zh-CN" w:eastAsia="zh-CN"/>
        </w:rPr>
        <w:t>建议吐鲁番市自然资源局加强对项目目标设置的研究，提升预算绩效管理水平。首先，在项目绩效目标申报阶段，应认真研究项目特点，从明确性、可衡量性、可实现性、相关性和时限性等方面着手，设置与项目匹配的指标，更好地凸显项目绩效。加大绩效管理知识的学习培训力度，提升对绩效理念重要性的认知，加强绩效目标审核，对绩效目标编制质量进行严格把关，对设置不合理、不完善的绩效目标应退回预算单位，进行规范设置，以确保绩效目标编制的完整性、科学性和可衡量性。</w:t>
      </w:r>
    </w:p>
    <w:p>
      <w:pPr>
        <w:widowControl/>
        <w:spacing w:line="540" w:lineRule="exact"/>
        <w:ind w:firstLine="643" w:firstLineChars="200"/>
        <w:textAlignment w:val="baseline"/>
        <w:rPr>
          <w:rStyle w:val="23"/>
          <w:rFonts w:hint="default" w:ascii="楷体" w:hAnsi="楷体" w:eastAsia="楷体" w:cs="Times New Roman"/>
          <w:b/>
          <w:kern w:val="0"/>
          <w:szCs w:val="32"/>
          <w:lang w:val="en-US" w:eastAsia="zh-CN"/>
        </w:rPr>
      </w:pPr>
      <w:bookmarkStart w:id="117" w:name="_Toc3597"/>
      <w:r>
        <w:rPr>
          <w:rStyle w:val="23"/>
          <w:rFonts w:hint="eastAsia" w:ascii="楷体" w:hAnsi="楷体" w:eastAsia="楷体" w:cs="Times New Roman"/>
          <w:b/>
          <w:kern w:val="0"/>
          <w:szCs w:val="32"/>
          <w:lang w:val="en-US" w:eastAsia="zh-CN"/>
        </w:rPr>
        <w:t>（二）</w:t>
      </w:r>
      <w:bookmarkEnd w:id="115"/>
      <w:bookmarkEnd w:id="116"/>
      <w:bookmarkEnd w:id="117"/>
      <w:r>
        <w:rPr>
          <w:rStyle w:val="23"/>
          <w:rFonts w:hint="eastAsia" w:ascii="楷体" w:hAnsi="楷体" w:eastAsia="楷体" w:cs="Times New Roman"/>
          <w:b/>
          <w:kern w:val="0"/>
          <w:szCs w:val="32"/>
          <w:lang w:val="en-US" w:eastAsia="zh-CN"/>
        </w:rPr>
        <w:t>加强项目资料的收集和管理工作</w:t>
      </w:r>
    </w:p>
    <w:p>
      <w:pPr>
        <w:bidi w:val="0"/>
        <w:spacing w:line="560" w:lineRule="exact"/>
        <w:rPr>
          <w:rFonts w:hint="eastAsia"/>
          <w:lang w:val="zh-CN" w:eastAsia="zh-CN"/>
        </w:rPr>
      </w:pPr>
      <w:bookmarkStart w:id="118" w:name="_Toc19724"/>
      <w:bookmarkStart w:id="119" w:name="_Toc680"/>
      <w:r>
        <w:rPr>
          <w:rFonts w:hint="eastAsia"/>
          <w:lang w:val="en-US" w:eastAsia="zh-CN"/>
        </w:rPr>
        <w:t>建议</w:t>
      </w:r>
      <w:r>
        <w:rPr>
          <w:rFonts w:hint="eastAsia"/>
          <w:lang w:val="zh-CN" w:eastAsia="zh-CN"/>
        </w:rPr>
        <w:t>重视项目资料的管理，提高项目资料的管理意识，提高相关资料收集与整理</w:t>
      </w:r>
      <w:r>
        <w:rPr>
          <w:rFonts w:hint="eastAsia"/>
          <w:lang w:val="en-US" w:eastAsia="zh-CN"/>
        </w:rPr>
        <w:t>工作；</w:t>
      </w:r>
      <w:r>
        <w:rPr>
          <w:rFonts w:hint="eastAsia"/>
          <w:lang w:val="zh-CN" w:eastAsia="zh-CN"/>
        </w:rPr>
        <w:t>完善工程项目资料保存工作，</w:t>
      </w:r>
      <w:r>
        <w:rPr>
          <w:rFonts w:hint="eastAsia"/>
          <w:lang w:val="en-US" w:eastAsia="zh-CN"/>
        </w:rPr>
        <w:t>在</w:t>
      </w:r>
      <w:r>
        <w:rPr>
          <w:rFonts w:hint="eastAsia"/>
          <w:lang w:val="zh-CN" w:eastAsia="zh-CN"/>
        </w:rPr>
        <w:t>资料管理中对其进行分门别类，有利于资料的收件和管理，也便于日后查看，也能避免资料的缺漏问题；提高项目资料的完整性，</w:t>
      </w:r>
      <w:r>
        <w:rPr>
          <w:rFonts w:hint="eastAsia"/>
          <w:lang w:val="en-US" w:eastAsia="zh-CN"/>
        </w:rPr>
        <w:t>安排工作人员</w:t>
      </w:r>
      <w:r>
        <w:rPr>
          <w:rFonts w:hint="eastAsia"/>
          <w:lang w:val="zh-CN" w:eastAsia="zh-CN"/>
        </w:rPr>
        <w:t>进行项目资料的跟踪收集和整理管理，当资料管理人员有变动时，要彻底完成资料交接。在</w:t>
      </w:r>
      <w:r>
        <w:rPr>
          <w:rFonts w:hint="eastAsia"/>
          <w:lang w:val="en-US" w:eastAsia="zh-CN"/>
        </w:rPr>
        <w:t>项目实施</w:t>
      </w:r>
      <w:r>
        <w:rPr>
          <w:rFonts w:hint="eastAsia"/>
          <w:lang w:val="zh-CN" w:eastAsia="zh-CN"/>
        </w:rPr>
        <w:t>的同时进行资料的收集，如有发现错误或者遗漏要及时进行补救，确保资料的完整性。</w:t>
      </w:r>
    </w:p>
    <w:p>
      <w:pPr>
        <w:pStyle w:val="42"/>
        <w:widowControl/>
        <w:spacing w:line="540" w:lineRule="exact"/>
        <w:ind w:firstLine="799" w:firstLineChars="0"/>
        <w:textAlignment w:val="baseline"/>
        <w:rPr>
          <w:rStyle w:val="23"/>
          <w:rFonts w:hint="eastAsia" w:ascii="黑体" w:hAnsi="黑体" w:eastAsia="黑体" w:cs="Times New Roman"/>
          <w:lang w:val="en-US" w:eastAsia="zh-CN"/>
        </w:rPr>
      </w:pPr>
      <w:bookmarkStart w:id="120" w:name="_Toc16245"/>
      <w:r>
        <w:rPr>
          <w:rStyle w:val="23"/>
          <w:rFonts w:hint="eastAsia" w:ascii="黑体" w:hAnsi="黑体" w:eastAsia="黑体" w:cs="Times New Roman"/>
          <w:lang w:val="en-US" w:eastAsia="zh-CN"/>
        </w:rPr>
        <w:t>七、其他需要说明的问题</w:t>
      </w:r>
      <w:bookmarkEnd w:id="118"/>
      <w:bookmarkEnd w:id="119"/>
      <w:bookmarkEnd w:id="120"/>
    </w:p>
    <w:p>
      <w:pPr>
        <w:bidi w:val="0"/>
        <w:spacing w:line="560" w:lineRule="exact"/>
        <w:rPr>
          <w:rFonts w:hint="eastAsia"/>
          <w:lang w:val="en-US" w:eastAsia="zh-CN"/>
        </w:rPr>
      </w:pPr>
      <w:r>
        <w:rPr>
          <w:rFonts w:hint="eastAsia"/>
          <w:lang w:val="en-US" w:eastAsia="zh-CN"/>
        </w:rPr>
        <w:t>本次评价涉及的相关数据由吐鲁番市自然资源局提供的资料中提取。评价组在对本次评价中发现的问题存在局限性，可能影响本次评价结果。</w:t>
      </w:r>
    </w:p>
    <w:p>
      <w:pPr>
        <w:bidi w:val="0"/>
        <w:spacing w:line="560" w:lineRule="exact"/>
        <w:rPr>
          <w:rFonts w:hint="eastAsia"/>
          <w:lang w:val="en-US" w:eastAsia="zh-CN"/>
        </w:rPr>
        <w:sectPr>
          <w:footerReference r:id="rId7" w:type="default"/>
          <w:pgSz w:w="11906" w:h="16838"/>
          <w:pgMar w:top="1440" w:right="1800" w:bottom="1440" w:left="1800" w:header="851" w:footer="992" w:gutter="0"/>
          <w:pgNumType w:start="1"/>
          <w:cols w:space="425" w:num="1"/>
          <w:docGrid w:type="lines" w:linePitch="312" w:charSpace="0"/>
        </w:sectPr>
      </w:pPr>
    </w:p>
    <w:p>
      <w:pPr>
        <w:pStyle w:val="3"/>
        <w:bidi w:val="0"/>
        <w:rPr>
          <w:rFonts w:hint="default"/>
        </w:rPr>
      </w:pPr>
      <w:bookmarkStart w:id="121" w:name="_Toc15045"/>
      <w:bookmarkStart w:id="122" w:name="_Toc2978"/>
      <w:bookmarkStart w:id="123" w:name="_Toc57400194"/>
      <w:r>
        <w:t>附件</w:t>
      </w:r>
      <w:r>
        <w:rPr>
          <w:rFonts w:hint="eastAsia"/>
          <w:lang w:val="en-US" w:eastAsia="zh-CN"/>
        </w:rPr>
        <w:t>1</w:t>
      </w:r>
      <w:r>
        <w:rPr>
          <w:rFonts w:hint="default"/>
        </w:rPr>
        <w:t xml:space="preserve"> </w:t>
      </w:r>
      <w:r>
        <w:t>综合评分表</w:t>
      </w:r>
      <w:bookmarkEnd w:id="121"/>
      <w:bookmarkEnd w:id="122"/>
      <w:bookmarkEnd w:id="123"/>
    </w:p>
    <w:tbl>
      <w:tblPr>
        <w:tblStyle w:val="17"/>
        <w:tblW w:w="14091" w:type="dxa"/>
        <w:jc w:val="center"/>
        <w:tblLayout w:type="fixed"/>
        <w:tblCellMar>
          <w:top w:w="0" w:type="dxa"/>
          <w:left w:w="0" w:type="dxa"/>
          <w:bottom w:w="0" w:type="dxa"/>
          <w:right w:w="0" w:type="dxa"/>
        </w:tblCellMar>
      </w:tblPr>
      <w:tblGrid>
        <w:gridCol w:w="609"/>
        <w:gridCol w:w="1056"/>
        <w:gridCol w:w="876"/>
        <w:gridCol w:w="588"/>
        <w:gridCol w:w="1655"/>
        <w:gridCol w:w="712"/>
        <w:gridCol w:w="957"/>
        <w:gridCol w:w="2675"/>
        <w:gridCol w:w="3368"/>
        <w:gridCol w:w="685"/>
        <w:gridCol w:w="910"/>
      </w:tblGrid>
      <w:tr>
        <w:tblPrEx>
          <w:tblCellMar>
            <w:top w:w="0" w:type="dxa"/>
            <w:left w:w="0" w:type="dxa"/>
            <w:bottom w:w="0" w:type="dxa"/>
            <w:right w:w="0" w:type="dxa"/>
          </w:tblCellMar>
        </w:tblPrEx>
        <w:trPr>
          <w:trHeight w:val="90" w:hRule="atLeast"/>
          <w:tblHeader/>
          <w:jc w:val="center"/>
        </w:trPr>
        <w:tc>
          <w:tcPr>
            <w:tcW w:w="609" w:type="dxa"/>
            <w:tcBorders>
              <w:top w:val="single" w:color="000000" w:sz="4" w:space="0"/>
              <w:left w:val="single" w:color="000000" w:sz="4" w:space="0"/>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一级指标</w:t>
            </w:r>
          </w:p>
        </w:tc>
        <w:tc>
          <w:tcPr>
            <w:tcW w:w="1056"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二级指标</w:t>
            </w:r>
          </w:p>
        </w:tc>
        <w:tc>
          <w:tcPr>
            <w:tcW w:w="876"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三级指标</w:t>
            </w:r>
          </w:p>
        </w:tc>
        <w:tc>
          <w:tcPr>
            <w:tcW w:w="588"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权重</w:t>
            </w:r>
          </w:p>
        </w:tc>
        <w:tc>
          <w:tcPr>
            <w:tcW w:w="1655"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指标解释</w:t>
            </w:r>
          </w:p>
        </w:tc>
        <w:tc>
          <w:tcPr>
            <w:tcW w:w="712"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标杆值</w:t>
            </w:r>
          </w:p>
        </w:tc>
        <w:tc>
          <w:tcPr>
            <w:tcW w:w="957"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评分依据</w:t>
            </w:r>
          </w:p>
        </w:tc>
        <w:tc>
          <w:tcPr>
            <w:tcW w:w="2675"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评价标准</w:t>
            </w:r>
          </w:p>
        </w:tc>
        <w:tc>
          <w:tcPr>
            <w:tcW w:w="3368"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评分过程</w:t>
            </w:r>
          </w:p>
        </w:tc>
        <w:tc>
          <w:tcPr>
            <w:tcW w:w="685"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得分</w:t>
            </w:r>
          </w:p>
        </w:tc>
        <w:tc>
          <w:tcPr>
            <w:tcW w:w="910" w:type="dxa"/>
            <w:tcBorders>
              <w:top w:val="single" w:color="000000" w:sz="4" w:space="0"/>
              <w:left w:val="nil"/>
              <w:bottom w:val="single" w:color="000000" w:sz="4" w:space="0"/>
              <w:right w:val="single" w:color="000000" w:sz="4" w:space="0"/>
            </w:tcBorders>
            <w:shd w:val="clear" w:color="auto" w:fill="BEBEBE"/>
            <w:tcMar>
              <w:top w:w="15" w:type="dxa"/>
              <w:left w:w="15" w:type="dxa"/>
              <w:right w:w="15" w:type="dxa"/>
            </w:tcMar>
            <w:vAlign w:val="center"/>
          </w:tcPr>
          <w:p>
            <w:pPr>
              <w:pStyle w:val="28"/>
              <w:snapToGrid w:val="0"/>
              <w:spacing w:line="540" w:lineRule="exact"/>
              <w:ind w:firstLine="0" w:firstLineChars="0"/>
              <w:jc w:val="center"/>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得分率</w:t>
            </w:r>
          </w:p>
        </w:tc>
      </w:tr>
      <w:tr>
        <w:tblPrEx>
          <w:tblCellMar>
            <w:top w:w="0" w:type="dxa"/>
            <w:left w:w="0" w:type="dxa"/>
            <w:bottom w:w="0" w:type="dxa"/>
            <w:right w:w="0" w:type="dxa"/>
          </w:tblCellMar>
        </w:tblPrEx>
        <w:trPr>
          <w:trHeight w:val="340" w:hRule="atLeast"/>
          <w:jc w:val="center"/>
        </w:trPr>
        <w:tc>
          <w:tcPr>
            <w:tcW w:w="60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A项目决策（10）</w:t>
            </w:r>
          </w:p>
        </w:tc>
        <w:tc>
          <w:tcPr>
            <w:tcW w:w="1056" w:type="dxa"/>
            <w:vMerge w:val="restart"/>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A1项目立项（5）</w:t>
            </w: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A101 立项依据充分性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3</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考察项目立项的依据文件是否充分，是否与国家和地区的战略目标、发展计划以及部门的基本职能和工作计划相适应。</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充分</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①有相关政策依据（国家、省部级或市级政策依据）；②项目与国家和地区的战略目标、发展规划、工作计划相匹配；③项目与项目单位职责密切相关。以上三项各占1/3权重分，符合得该项权重分，不符合不得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本项目依据《新疆维吾尔自治区探矿权采矿权出让制度改革试点工作实施方案》(新党厅字〔2018〕57号)和《关于贯彻落实〈新疆维吾尔自治区探矿权采矿权出让制度改革试点工作实施方案〉的通知》(新国土资办发〔2018〕35号)等相关文件设立；② 本项目与工作计划相匹配；③本项目与吐鲁番市自然资源局职责密切相关，综上，项目立项依据充分，故该指标得3分。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3.00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w:t>
            </w:r>
          </w:p>
        </w:tc>
      </w:tr>
      <w:tr>
        <w:tblPrEx>
          <w:tblCellMar>
            <w:top w:w="0" w:type="dxa"/>
            <w:left w:w="0" w:type="dxa"/>
            <w:bottom w:w="0" w:type="dxa"/>
            <w:right w:w="0" w:type="dxa"/>
          </w:tblCellMar>
        </w:tblPrEx>
        <w:trPr>
          <w:trHeight w:val="3348"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A102 项目立项规范性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2</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项目的申请、设立过程是否符合相关要求，用以反映和考核项目立项的规范情况。</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规范</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三点：①立项前是否已经过必要的可行性研究、专家论证、风险评估、集体决策等；②项目立项是否符合规定程序；③审批文件和材料是否合规完整。①②③齐全得权重分的100%，缺①扣权重分的40%，缺②扣权重分的30%，缺③扣权重分的30%。</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本项目按照规定程序设立，立项程序合规。事前经过对国家、新疆维吾尔自治区相关政策进行研究、集体决策等，项目立项符合规定程序，审批文件和材料完整。综上，该项得满分2分。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2.00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w:t>
            </w:r>
          </w:p>
        </w:tc>
      </w:tr>
      <w:tr>
        <w:tblPrEx>
          <w:tblCellMar>
            <w:top w:w="0" w:type="dxa"/>
            <w:left w:w="0" w:type="dxa"/>
            <w:bottom w:w="0" w:type="dxa"/>
            <w:right w:w="0" w:type="dxa"/>
          </w:tblCellMar>
        </w:tblPrEx>
        <w:trPr>
          <w:trHeight w:val="340"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A2 项目目标（5）</w:t>
            </w: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A201 项目目标合理性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考察是否设立了项目总目标及年度目标，以及项目年度目标的完整性、明确性、可衡量性、可实现性、相关性和时限性。</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合理</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①设立了总目标和年度目标先得20%的权重分（两项各占10%的权重分）；②再根据项目年度目标是否完整、明确、可衡量、可实现、与战略目标和总目标相关、是否有时间限制，每符合一项，再得1/6的剩余权重分。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根据《新疆维吾尔自治区探矿权采矿权出让制度改革试点工作实施方案》(新党厅字〔2018〕57号)和《关于贯彻落实〈新疆维吾尔自治区探矿权采矿权出让制度改革试点工作实施方案〉的通知》(新国土资办发〔2018〕35号)等相关材料，本项目设立了总目标和年度目标，先得20%权重分；②年度绩效目标总体设置可实现、有时间限制，但存在以下不合理之处：</w:t>
            </w:r>
            <w:r>
              <w:rPr>
                <w:rFonts w:hint="eastAsia" w:ascii="Times New Roman" w:hAnsi="Times New Roman" w:eastAsia="仿宋_GB2312" w:cs="Times New Roman"/>
                <w:sz w:val="22"/>
                <w:lang w:val="en-US" w:eastAsia="zh-CN"/>
              </w:rPr>
              <w:t>部分指标设置不科学、不明确，如质量指标“按照项目任务书，提交项目设计书”</w:t>
            </w:r>
            <w:r>
              <w:rPr>
                <w:rFonts w:hint="eastAsia" w:ascii="Times New Roman" w:hAnsi="Times New Roman" w:eastAsia="仿宋_GB2312" w:cs="Times New Roman"/>
                <w:sz w:val="22"/>
                <w:lang w:val="zh-CN" w:eastAsia="zh-CN"/>
              </w:rPr>
              <w:t>指标值设置为“</w:t>
            </w:r>
            <w:r>
              <w:rPr>
                <w:rFonts w:hint="eastAsia" w:ascii="Times New Roman" w:hAnsi="Times New Roman" w:eastAsia="仿宋_GB2312" w:cs="Times New Roman"/>
                <w:sz w:val="22"/>
                <w:lang w:val="en-US" w:eastAsia="zh-CN"/>
              </w:rPr>
              <w:t>≧2.0个（非金属矿）</w:t>
            </w:r>
            <w:r>
              <w:rPr>
                <w:rFonts w:hint="eastAsia" w:ascii="Times New Roman" w:hAnsi="Times New Roman" w:eastAsia="仿宋_GB2312" w:cs="Times New Roman"/>
                <w:sz w:val="22"/>
                <w:lang w:val="zh-CN" w:eastAsia="zh-CN"/>
              </w:rPr>
              <w:t>”</w:t>
            </w:r>
            <w:r>
              <w:rPr>
                <w:rFonts w:hint="eastAsia" w:ascii="Times New Roman" w:hAnsi="Times New Roman" w:eastAsia="仿宋_GB2312" w:cs="Times New Roman"/>
                <w:sz w:val="22"/>
                <w:lang w:val="en-US" w:eastAsia="zh-CN"/>
              </w:rPr>
              <w:t>，应调整为数量指标；质量指标应按照数量指标设置相对应的指标，缺失“调查成果采用通过率”；部分指标设置不合理，如成本指标“项目预算控制数”</w:t>
            </w:r>
            <w:r>
              <w:rPr>
                <w:rFonts w:hint="eastAsia" w:ascii="Times New Roman" w:hAnsi="Times New Roman" w:eastAsia="仿宋_GB2312" w:cs="Times New Roman"/>
                <w:sz w:val="22"/>
                <w:lang w:val="zh-CN" w:eastAsia="zh-CN"/>
              </w:rPr>
              <w:t>指标值设置为“</w:t>
            </w:r>
            <w:r>
              <w:rPr>
                <w:rFonts w:hint="eastAsia" w:ascii="Times New Roman" w:hAnsi="Times New Roman" w:eastAsia="仿宋_GB2312" w:cs="Times New Roman"/>
                <w:sz w:val="22"/>
                <w:lang w:val="en-US" w:eastAsia="zh-CN"/>
              </w:rPr>
              <w:t>≦471.56万元</w:t>
            </w:r>
            <w:r>
              <w:rPr>
                <w:rFonts w:hint="eastAsia" w:ascii="Times New Roman" w:hAnsi="Times New Roman" w:eastAsia="仿宋_GB2312" w:cs="Times New Roman"/>
                <w:sz w:val="22"/>
                <w:lang w:val="zh-CN" w:eastAsia="zh-CN"/>
              </w:rPr>
              <w:t>”</w:t>
            </w:r>
            <w:r>
              <w:rPr>
                <w:rFonts w:hint="eastAsia" w:ascii="Times New Roman" w:hAnsi="Times New Roman" w:eastAsia="仿宋_GB2312" w:cs="Times New Roman"/>
                <w:sz w:val="22"/>
                <w:lang w:val="en-US" w:eastAsia="zh-CN"/>
              </w:rPr>
              <w:t>，该项目已明确总资金数为471.56，该指标设置无意义。</w:t>
            </w:r>
            <w:r>
              <w:rPr>
                <w:rFonts w:hint="eastAsia" w:ascii="Times New Roman" w:hAnsi="Times New Roman" w:eastAsia="仿宋_GB2312" w:cs="Times New Roman"/>
                <w:sz w:val="22"/>
              </w:rPr>
              <w:t>综上，扣除</w:t>
            </w:r>
            <w:r>
              <w:rPr>
                <w:rFonts w:hint="eastAsia" w:ascii="Times New Roman" w:hAnsi="Times New Roman" w:eastAsia="仿宋_GB2312" w:cs="Times New Roman"/>
                <w:sz w:val="22"/>
                <w:lang w:val="en-US" w:eastAsia="zh-CN"/>
              </w:rPr>
              <w:t>33.4%权重</w:t>
            </w:r>
            <w:r>
              <w:rPr>
                <w:rFonts w:hint="eastAsia" w:ascii="Times New Roman" w:hAnsi="Times New Roman" w:eastAsia="仿宋_GB2312" w:cs="Times New Roman"/>
                <w:sz w:val="22"/>
              </w:rPr>
              <w:t>，该指标得</w:t>
            </w:r>
            <w:r>
              <w:rPr>
                <w:rFonts w:hint="eastAsia" w:ascii="Times New Roman" w:hAnsi="Times New Roman" w:eastAsia="仿宋_GB2312" w:cs="Times New Roman"/>
                <w:sz w:val="22"/>
                <w:lang w:val="en-US" w:eastAsia="zh-CN"/>
              </w:rPr>
              <w:t>3.33</w:t>
            </w:r>
            <w:r>
              <w:rPr>
                <w:rFonts w:hint="eastAsia" w:ascii="Times New Roman" w:hAnsi="Times New Roman" w:eastAsia="仿宋_GB2312" w:cs="Times New Roman"/>
                <w:sz w:val="22"/>
              </w:rPr>
              <w:t>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3</w:t>
            </w:r>
            <w:r>
              <w:rPr>
                <w:rFonts w:hint="eastAsia" w:ascii="Times New Roman" w:hAnsi="Times New Roman" w:eastAsia="仿宋_GB2312" w:cs="Times New Roman"/>
                <w:sz w:val="22"/>
              </w:rPr>
              <w:t>.33</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66.60</w:t>
            </w:r>
            <w:r>
              <w:rPr>
                <w:rFonts w:hint="eastAsia" w:ascii="Times New Roman" w:hAnsi="Times New Roman" w:eastAsia="仿宋_GB2312" w:cs="Times New Roman"/>
                <w:sz w:val="22"/>
              </w:rPr>
              <w:t>%</w:t>
            </w:r>
          </w:p>
        </w:tc>
      </w:tr>
      <w:tr>
        <w:tblPrEx>
          <w:tblCellMar>
            <w:top w:w="0" w:type="dxa"/>
            <w:left w:w="0" w:type="dxa"/>
            <w:bottom w:w="0" w:type="dxa"/>
            <w:right w:w="0" w:type="dxa"/>
          </w:tblCellMar>
        </w:tblPrEx>
        <w:trPr>
          <w:trHeight w:val="1098" w:hRule="atLeast"/>
          <w:jc w:val="center"/>
        </w:trPr>
        <w:tc>
          <w:tcPr>
            <w:tcW w:w="609"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 项目管理（25）</w:t>
            </w:r>
          </w:p>
        </w:tc>
        <w:tc>
          <w:tcPr>
            <w:tcW w:w="1056" w:type="dxa"/>
            <w:vMerge w:val="restart"/>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B1 投入管理（5）</w:t>
            </w: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B101 预算编制合理性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2</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考察预算编制是否科学、合理，是否存在明显不合理之处。</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合理</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考察①预算编制依据充分、合理；②预算编制细化；以上两项各占50%的权重分，满足则得分，否则扣除对应权重分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①经调研，本项目预算编制依据充分、合理；②预算编制细化。根据评分标准，该指标得满分2分。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2.00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1935"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B102 预算执行率</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3</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反映项目预算资金的实际执行情况；预算执行率=实际支出金额/预算批复金额×100%。</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预算执行率达100%则得满分，低于则每降低1%扣相应权重的5%，扣完为止。</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该项目202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年预算执行率为100%</w:t>
            </w:r>
            <w:r>
              <w:rPr>
                <w:rFonts w:hint="eastAsia" w:ascii="Times New Roman" w:hAnsi="Times New Roman" w:eastAsia="仿宋_GB2312" w:cs="Times New Roman"/>
                <w:sz w:val="22"/>
                <w:lang w:eastAsia="zh-CN"/>
              </w:rPr>
              <w:t>，</w:t>
            </w:r>
            <w:r>
              <w:rPr>
                <w:rFonts w:hint="eastAsia" w:ascii="Times New Roman" w:hAnsi="Times New Roman" w:eastAsia="仿宋_GB2312" w:cs="Times New Roman"/>
                <w:sz w:val="22"/>
                <w:lang w:val="en-US" w:eastAsia="zh-CN"/>
              </w:rPr>
              <w:t>此项得满分。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3.00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restart"/>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B2 财务管理（10）</w:t>
            </w: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B201 财务管理制度健全性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项目实施单位的财务制度是否健全，用以反映和考核财务管理制度对资金规范、安全运行的保障情况。</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健全</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①是否已制定或具有相应的项目资金管理办法；②项目资金管理办法是否完整（包括扶持条件、标准、资金拨付等内容）；③项目资金管理办法是否明确且具有可操作性；三项各占20%、40%、40%的权重分，满足一项得对应的权重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本项目已制定《吐鲁番市自然资源局财务管理办法》等相关文件；②相关办法中明确了资金支出范围、标准、资金下拨审核、监督管理等内容；③项目资金管理办法明确且具有可操作性。综上，该项得满分5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B202 资金使用合规性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项目资金使用是否符合相关的财务管理制度规定，用以反映和考核项目资金的规范运行情况。</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合规</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主管部门：①资金使用是否符合国家财经法规和财务管理制度以及有关专项资金管理办法的规定；②资金的拨付是否有完整的审批程序和手续；③项目的重大开支是否经过评估认证；④是否符合项目预算批复或合同规定的用途；⑤是否存在截留、挤占、挪用、虚列支出等情况。①②③④⑤全部符合视为使用合规，得满分；在①④⑤同时满足时得60%的权重分，②③中每满足一项再得20%权重分；存在①、④或⑤不满足时属于严重违规事项，本项指标不得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本项目专项资金的使用符合国家财经法规和财务管理制度以及有关专项资金管理办法的规定；②本项目资金的拨付和支付的审批手续完整；③项目的重大开支经过评估认证；④项目支出符合项目预算批复或合同规定的用途；⑤不存在截留、挤占、挪用、虚列支出等情况。综上，该项得满分5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restart"/>
            <w:tcBorders>
              <w:top w:val="nil"/>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B3 项目实施（10）</w:t>
            </w:r>
          </w:p>
        </w:tc>
        <w:tc>
          <w:tcPr>
            <w:tcW w:w="876"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B301 管理制度健全性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项目实施单位的业务管理制度是否健全，用以反映和考核业务管理制度对项目顺利实施的保障情况。</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健全</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①是否已制定或具有项目申报、审核、监督等业务管理制度；②业务管理制度是合法、合规、完整；③业务管理制度明确且具有可操作性。三项分别占30%、30%、40%的权重分。①中各环节占1/3的权重分，②中业务管理制度的合法、合规、完整各占1/3权重分，符合则得对应权重分，否则扣除对应权重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①项目实施按照《中华人民共和国招标投标法实施条例》的要求开展；②业务管理制度合法、合规、完整。③项目实施方案完整可操作，综上，该项得满分5分。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continue"/>
            <w:tcBorders>
              <w:top w:val="nil"/>
              <w:left w:val="single" w:color="000000" w:sz="4" w:space="0"/>
              <w:bottom w:val="single" w:color="auto"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nil"/>
              <w:left w:val="nil"/>
              <w:bottom w:val="single" w:color="auto"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000000" w:sz="4" w:space="0"/>
              <w:left w:val="nil"/>
              <w:bottom w:val="single" w:color="auto"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B302 管理制度执行有效性</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项目实施是否符合相关业务管理规定，用以反映和考核业务管理制度的有效执行情况。</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有效</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通用标准</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项目申报、审核、跟踪等业务管理制度的执行情况，上述3个环节分别占20%权重分，各环节均①遵守相关法律法规和业务管理规定；②保存了完整的过程资料；③落实了工作开展的人员条件、场地设备、信息支撑等，三项分别占剩余权重分的1/3，各环节满足一项得对应的权重分，否则扣除对应权重分。</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本项目申报、审核、跟踪资料完整；遵守相关法律法规和业务管理规定；人员安排、场地设备、信息支撑等严格按照项目实施方案执行，故该指标得满分5分。</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5.00</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C 项目绩效（40）</w:t>
            </w:r>
          </w:p>
        </w:tc>
        <w:tc>
          <w:tcPr>
            <w:tcW w:w="10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C1 项目产出（40）</w:t>
            </w: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C101</w:t>
            </w:r>
            <w:r>
              <w:rPr>
                <w:rFonts w:hint="eastAsia" w:ascii="Times New Roman" w:hAnsi="Times New Roman" w:eastAsia="仿宋_GB2312" w:cs="Times New Roman"/>
                <w:sz w:val="22"/>
                <w:lang w:val="en-US" w:eastAsia="zh-CN"/>
              </w:rPr>
              <w:t xml:space="preserve"> 对筛选的工作靶区开展矿产资源调查（非金属矿）项目</w:t>
            </w:r>
          </w:p>
        </w:tc>
        <w:tc>
          <w:tcPr>
            <w:tcW w:w="58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10</w:t>
            </w:r>
          </w:p>
        </w:tc>
        <w:tc>
          <w:tcPr>
            <w:tcW w:w="165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该项目对筛选的工作靶区开展矿产资源调查（非金属矿）项目</w:t>
            </w:r>
            <w:r>
              <w:rPr>
                <w:rFonts w:hint="eastAsia" w:ascii="Times New Roman" w:hAnsi="Times New Roman" w:eastAsia="仿宋_GB2312" w:cs="Times New Roman"/>
                <w:sz w:val="22"/>
              </w:rPr>
              <w:t>情况</w:t>
            </w:r>
          </w:p>
        </w:tc>
        <w:tc>
          <w:tcPr>
            <w:tcW w:w="712"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≧2.0个</w:t>
            </w:r>
          </w:p>
        </w:tc>
        <w:tc>
          <w:tcPr>
            <w:tcW w:w="957"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达到目标值得满分，低于则每降低1%扣除5%的权重分，扣完为止。</w:t>
            </w:r>
          </w:p>
        </w:tc>
        <w:tc>
          <w:tcPr>
            <w:tcW w:w="336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2021年对筛选的工作</w:t>
            </w:r>
            <w:r>
              <w:rPr>
                <w:rFonts w:hint="eastAsia" w:ascii="Times New Roman" w:hAnsi="Times New Roman" w:eastAsia="仿宋_GB2312" w:cs="Times New Roman"/>
                <w:sz w:val="22"/>
                <w:lang w:val="en-US" w:eastAsia="zh-CN"/>
              </w:rPr>
              <w:t>靶区开展矿产资源调查（非金属矿）项目</w:t>
            </w:r>
            <w:r>
              <w:rPr>
                <w:rFonts w:hint="eastAsia" w:ascii="Times New Roman" w:hAnsi="Times New Roman" w:cs="Times New Roman"/>
                <w:sz w:val="22"/>
                <w:lang w:val="en-US" w:eastAsia="zh-CN"/>
              </w:rPr>
              <w:t>为2个</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分。</w:t>
            </w:r>
          </w:p>
        </w:tc>
        <w:tc>
          <w:tcPr>
            <w:tcW w:w="68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cs="Times New Roman"/>
                <w:sz w:val="22"/>
                <w:lang w:val="en-US" w:eastAsia="zh-CN"/>
              </w:rPr>
              <w:t>10</w:t>
            </w:r>
            <w:r>
              <w:rPr>
                <w:rFonts w:hint="eastAsia" w:ascii="Times New Roman" w:hAnsi="Times New Roman" w:eastAsia="仿宋_GB2312" w:cs="Times New Roman"/>
                <w:sz w:val="22"/>
              </w:rPr>
              <w:t>.00</w:t>
            </w:r>
          </w:p>
        </w:tc>
        <w:tc>
          <w:tcPr>
            <w:tcW w:w="910"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10</w:t>
            </w:r>
            <w:r>
              <w:rPr>
                <w:rFonts w:hint="eastAsia" w:ascii="Times New Roman" w:hAnsi="Times New Roman" w:eastAsia="仿宋_GB2312" w:cs="Times New Roman"/>
                <w:sz w:val="22"/>
              </w:rPr>
              <w:t>0.00%</w:t>
            </w:r>
          </w:p>
        </w:tc>
      </w:tr>
      <w:tr>
        <w:tblPrEx>
          <w:tblCellMar>
            <w:top w:w="0" w:type="dxa"/>
            <w:left w:w="0" w:type="dxa"/>
            <w:bottom w:w="0" w:type="dxa"/>
            <w:right w:w="0" w:type="dxa"/>
          </w:tblCellMar>
        </w:tblPrEx>
        <w:trPr>
          <w:trHeight w:val="340" w:hRule="atLeast"/>
          <w:jc w:val="center"/>
        </w:trPr>
        <w:tc>
          <w:tcPr>
            <w:tcW w:w="6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 xml:space="preserve">C102 </w:t>
            </w:r>
            <w:r>
              <w:rPr>
                <w:rFonts w:hint="eastAsia" w:ascii="Times New Roman" w:hAnsi="Times New Roman" w:eastAsia="仿宋_GB2312" w:cs="Times New Roman"/>
                <w:sz w:val="22"/>
                <w:lang w:val="en-US" w:eastAsia="zh-CN"/>
              </w:rPr>
              <w:t>委托项目实施单位提交调查项目成果报告</w:t>
            </w:r>
          </w:p>
        </w:tc>
        <w:tc>
          <w:tcPr>
            <w:tcW w:w="58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10</w:t>
            </w:r>
          </w:p>
        </w:tc>
        <w:tc>
          <w:tcPr>
            <w:tcW w:w="165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该项目委托项目实施单位提交调查项目成果报告</w:t>
            </w:r>
            <w:r>
              <w:rPr>
                <w:rFonts w:hint="eastAsia" w:ascii="Times New Roman" w:hAnsi="Times New Roman" w:eastAsia="仿宋_GB2312" w:cs="Times New Roman"/>
                <w:sz w:val="22"/>
              </w:rPr>
              <w:t>情况</w:t>
            </w:r>
          </w:p>
        </w:tc>
        <w:tc>
          <w:tcPr>
            <w:tcW w:w="712"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≧2.0个（非金属矿）</w:t>
            </w:r>
          </w:p>
        </w:tc>
        <w:tc>
          <w:tcPr>
            <w:tcW w:w="957"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达到目标值得满分，低于则每降低1%扣除5%的权重分，扣完为止。</w:t>
            </w:r>
          </w:p>
        </w:tc>
        <w:tc>
          <w:tcPr>
            <w:tcW w:w="336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w:t>
            </w:r>
            <w:r>
              <w:rPr>
                <w:rFonts w:hint="eastAsia" w:ascii="Times New Roman" w:hAnsi="Times New Roman" w:eastAsia="仿宋_GB2312" w:cs="Times New Roman"/>
                <w:sz w:val="22"/>
                <w:lang w:val="en-US" w:eastAsia="zh-CN"/>
              </w:rPr>
              <w:t>委托项目实施单位提交调查项目成果报告</w:t>
            </w:r>
            <w:r>
              <w:rPr>
                <w:rFonts w:hint="eastAsia" w:ascii="Times New Roman" w:hAnsi="Times New Roman" w:cs="Times New Roman"/>
                <w:sz w:val="22"/>
                <w:lang w:val="en-US" w:eastAsia="zh-CN"/>
              </w:rPr>
              <w:t>为2个</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分。</w:t>
            </w:r>
          </w:p>
        </w:tc>
        <w:tc>
          <w:tcPr>
            <w:tcW w:w="68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rPr>
            </w:pPr>
            <w:r>
              <w:rPr>
                <w:rFonts w:hint="eastAsia" w:ascii="Times New Roman" w:hAnsi="Times New Roman" w:cs="Times New Roman"/>
                <w:sz w:val="22"/>
                <w:lang w:val="en-US" w:eastAsia="zh-CN"/>
              </w:rPr>
              <w:t>10</w:t>
            </w:r>
            <w:r>
              <w:rPr>
                <w:rFonts w:hint="eastAsia" w:ascii="Times New Roman" w:hAnsi="Times New Roman" w:eastAsia="仿宋_GB2312" w:cs="Times New Roman"/>
                <w:sz w:val="22"/>
                <w:lang w:val="en-US" w:eastAsia="zh-CN"/>
              </w:rPr>
              <w:t>.00</w:t>
            </w:r>
          </w:p>
        </w:tc>
        <w:tc>
          <w:tcPr>
            <w:tcW w:w="910"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340" w:hRule="atLeast"/>
          <w:jc w:val="center"/>
        </w:trPr>
        <w:tc>
          <w:tcPr>
            <w:tcW w:w="6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 xml:space="preserve">C103 </w:t>
            </w:r>
            <w:r>
              <w:rPr>
                <w:rFonts w:hint="eastAsia" w:ascii="Times New Roman" w:hAnsi="Times New Roman" w:eastAsia="仿宋_GB2312" w:cs="Times New Roman"/>
                <w:sz w:val="22"/>
                <w:lang w:val="en-US" w:eastAsia="zh-CN"/>
              </w:rPr>
              <w:t>按照项目任务书，提交项目设计书</w:t>
            </w:r>
          </w:p>
        </w:tc>
        <w:tc>
          <w:tcPr>
            <w:tcW w:w="58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10</w:t>
            </w:r>
          </w:p>
        </w:tc>
        <w:tc>
          <w:tcPr>
            <w:tcW w:w="165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该项目按照项目任务书，提交项目设计书</w:t>
            </w:r>
          </w:p>
        </w:tc>
        <w:tc>
          <w:tcPr>
            <w:tcW w:w="712"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≧2.0个（非金属矿）</w:t>
            </w:r>
          </w:p>
        </w:tc>
        <w:tc>
          <w:tcPr>
            <w:tcW w:w="957"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达到目标值得满分，低于则每降低1%扣除5%的权重分，扣完为止。</w:t>
            </w:r>
          </w:p>
        </w:tc>
        <w:tc>
          <w:tcPr>
            <w:tcW w:w="336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w:t>
            </w:r>
            <w:r>
              <w:rPr>
                <w:rFonts w:hint="eastAsia" w:ascii="Times New Roman" w:hAnsi="Times New Roman" w:eastAsia="仿宋_GB2312" w:cs="Times New Roman"/>
                <w:sz w:val="22"/>
                <w:lang w:val="en-US" w:eastAsia="zh-CN"/>
              </w:rPr>
              <w:t>按照项目任务书，提交项目设计书</w:t>
            </w:r>
            <w:r>
              <w:rPr>
                <w:rFonts w:hint="eastAsia" w:ascii="Times New Roman" w:hAnsi="Times New Roman" w:cs="Times New Roman"/>
                <w:sz w:val="22"/>
                <w:lang w:val="en-US" w:eastAsia="zh-CN"/>
              </w:rPr>
              <w:t>为2个</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分。</w:t>
            </w:r>
          </w:p>
        </w:tc>
        <w:tc>
          <w:tcPr>
            <w:tcW w:w="68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10</w:t>
            </w:r>
            <w:r>
              <w:rPr>
                <w:rFonts w:hint="eastAsia" w:ascii="Times New Roman" w:hAnsi="Times New Roman" w:eastAsia="仿宋_GB2312" w:cs="Times New Roman"/>
                <w:sz w:val="22"/>
                <w:lang w:val="en-US" w:eastAsia="zh-CN"/>
              </w:rPr>
              <w:t>.00</w:t>
            </w:r>
          </w:p>
        </w:tc>
        <w:tc>
          <w:tcPr>
            <w:tcW w:w="910"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cs="Times New Roman"/>
                <w:sz w:val="22"/>
                <w:lang w:val="en-US" w:eastAsia="zh-CN"/>
              </w:rPr>
              <w:t>100</w:t>
            </w:r>
            <w:r>
              <w:rPr>
                <w:rFonts w:hint="eastAsia" w:ascii="Times New Roman" w:hAnsi="Times New Roman" w:eastAsia="仿宋_GB2312" w:cs="Times New Roman"/>
                <w:sz w:val="22"/>
              </w:rPr>
              <w:t>.00%</w:t>
            </w:r>
          </w:p>
        </w:tc>
      </w:tr>
      <w:tr>
        <w:tblPrEx>
          <w:tblCellMar>
            <w:top w:w="0" w:type="dxa"/>
            <w:left w:w="0" w:type="dxa"/>
            <w:bottom w:w="0" w:type="dxa"/>
            <w:right w:w="0" w:type="dxa"/>
          </w:tblCellMar>
        </w:tblPrEx>
        <w:trPr>
          <w:trHeight w:val="3367" w:hRule="atLeast"/>
          <w:jc w:val="center"/>
        </w:trPr>
        <w:tc>
          <w:tcPr>
            <w:tcW w:w="60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 xml:space="preserve">C104 </w:t>
            </w:r>
            <w:r>
              <w:rPr>
                <w:rFonts w:hint="eastAsia" w:ascii="Times New Roman" w:hAnsi="Times New Roman" w:eastAsia="仿宋_GB2312" w:cs="Times New Roman"/>
                <w:sz w:val="22"/>
                <w:lang w:val="en-US" w:eastAsia="zh-CN"/>
              </w:rPr>
              <w:t>调查项目成果报告按期完成率</w:t>
            </w:r>
          </w:p>
        </w:tc>
        <w:tc>
          <w:tcPr>
            <w:tcW w:w="58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10</w:t>
            </w:r>
          </w:p>
        </w:tc>
        <w:tc>
          <w:tcPr>
            <w:tcW w:w="165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该项目调查项目成果报告按期完成率</w:t>
            </w:r>
            <w:r>
              <w:rPr>
                <w:rFonts w:hint="eastAsia" w:ascii="Times New Roman" w:hAnsi="Times New Roman" w:eastAsia="仿宋_GB2312" w:cs="Times New Roman"/>
                <w:sz w:val="22"/>
              </w:rPr>
              <w:t>情况</w:t>
            </w:r>
          </w:p>
        </w:tc>
        <w:tc>
          <w:tcPr>
            <w:tcW w:w="712"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100.0%</w:t>
            </w:r>
          </w:p>
        </w:tc>
        <w:tc>
          <w:tcPr>
            <w:tcW w:w="957"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达到目标值得满分，低于则每降低1%扣除5%的权重分，扣完为止。</w:t>
            </w:r>
          </w:p>
        </w:tc>
        <w:tc>
          <w:tcPr>
            <w:tcW w:w="336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w:t>
            </w:r>
            <w:r>
              <w:rPr>
                <w:rFonts w:hint="eastAsia" w:ascii="Times New Roman" w:hAnsi="Times New Roman" w:eastAsia="仿宋_GB2312" w:cs="Times New Roman"/>
                <w:sz w:val="22"/>
                <w:lang w:val="en-US" w:eastAsia="zh-CN"/>
              </w:rPr>
              <w:t>调查项目成果报告按期完成率</w:t>
            </w:r>
            <w:r>
              <w:rPr>
                <w:rFonts w:hint="eastAsia" w:ascii="Times New Roman" w:hAnsi="Times New Roman" w:cs="Times New Roman"/>
                <w:sz w:val="22"/>
                <w:lang w:val="en-US" w:eastAsia="zh-CN"/>
              </w:rPr>
              <w:t>为100%</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分。</w:t>
            </w:r>
          </w:p>
        </w:tc>
        <w:tc>
          <w:tcPr>
            <w:tcW w:w="68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cs="Times New Roman"/>
                <w:sz w:val="22"/>
                <w:lang w:val="en-US" w:eastAsia="zh-CN"/>
              </w:rPr>
              <w:t>10</w:t>
            </w:r>
            <w:r>
              <w:rPr>
                <w:rFonts w:hint="eastAsia" w:ascii="Times New Roman" w:hAnsi="Times New Roman" w:eastAsia="仿宋_GB2312" w:cs="Times New Roman"/>
                <w:sz w:val="22"/>
              </w:rPr>
              <w:t>.00</w:t>
            </w:r>
          </w:p>
        </w:tc>
        <w:tc>
          <w:tcPr>
            <w:tcW w:w="910"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1900" w:hRule="atLeast"/>
          <w:jc w:val="center"/>
        </w:trPr>
        <w:tc>
          <w:tcPr>
            <w:tcW w:w="60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D项目效益（25）</w:t>
            </w:r>
          </w:p>
        </w:tc>
        <w:tc>
          <w:tcPr>
            <w:tcW w:w="10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D1 项目效果（15）</w:t>
            </w: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 xml:space="preserve">D101 </w:t>
            </w:r>
            <w:r>
              <w:rPr>
                <w:rFonts w:hint="eastAsia" w:ascii="Times New Roman" w:hAnsi="Times New Roman" w:eastAsia="仿宋_GB2312" w:cs="Times New Roman"/>
                <w:sz w:val="22"/>
                <w:lang w:val="en-US" w:eastAsia="zh-CN"/>
              </w:rPr>
              <w:t>拓宽吐鲁番市矿产资源的发展空间</w:t>
            </w:r>
          </w:p>
        </w:tc>
        <w:tc>
          <w:tcPr>
            <w:tcW w:w="58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w:t>
            </w:r>
          </w:p>
        </w:tc>
        <w:tc>
          <w:tcPr>
            <w:tcW w:w="165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该项目拓宽吐鲁番市矿产资源的发展空间</w:t>
            </w:r>
            <w:r>
              <w:rPr>
                <w:rFonts w:hint="eastAsia" w:ascii="Times New Roman" w:hAnsi="Times New Roman" w:eastAsia="仿宋_GB2312" w:cs="Times New Roman"/>
                <w:sz w:val="22"/>
              </w:rPr>
              <w:t>情况</w:t>
            </w:r>
          </w:p>
        </w:tc>
        <w:tc>
          <w:tcPr>
            <w:tcW w:w="71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持续推进</w:t>
            </w:r>
          </w:p>
        </w:tc>
        <w:tc>
          <w:tcPr>
            <w:tcW w:w="95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有效开展并推进</w:t>
            </w:r>
            <w:r>
              <w:rPr>
                <w:rFonts w:hint="eastAsia" w:ascii="Times New Roman" w:hAnsi="Times New Roman" w:eastAsia="仿宋_GB2312" w:cs="Times New Roman"/>
                <w:sz w:val="22"/>
                <w:lang w:val="en-US" w:eastAsia="zh-CN"/>
              </w:rPr>
              <w:t>吐鲁番市矿产资源的发展空间</w:t>
            </w:r>
            <w:r>
              <w:rPr>
                <w:rFonts w:hint="eastAsia" w:ascii="Times New Roman" w:hAnsi="Times New Roman" w:cs="Times New Roman"/>
                <w:sz w:val="22"/>
                <w:lang w:val="en-US" w:eastAsia="zh-CN"/>
              </w:rPr>
              <w:t>得满分，未达到预期效果不得分。。</w:t>
            </w:r>
          </w:p>
        </w:tc>
        <w:tc>
          <w:tcPr>
            <w:tcW w:w="336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lang w:eastAsia="zh-CN"/>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w:t>
            </w:r>
            <w:r>
              <w:rPr>
                <w:rFonts w:hint="eastAsia" w:ascii="Times New Roman" w:hAnsi="Times New Roman" w:cs="Times New Roman"/>
                <w:kern w:val="2"/>
                <w:sz w:val="22"/>
                <w:szCs w:val="22"/>
                <w:lang w:val="en-US" w:eastAsia="zh-CN" w:bidi="ar-SA"/>
              </w:rPr>
              <w:t>该项目已完成验收</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7</w:t>
            </w:r>
            <w:r>
              <w:rPr>
                <w:rFonts w:hint="eastAsia" w:ascii="Times New Roman" w:hAnsi="Times New Roman" w:eastAsia="仿宋_GB2312" w:cs="Times New Roman"/>
                <w:kern w:val="2"/>
                <w:sz w:val="22"/>
                <w:szCs w:val="22"/>
                <w:lang w:val="en-US" w:eastAsia="zh-CN" w:bidi="ar-SA"/>
              </w:rPr>
              <w:t>分。</w:t>
            </w:r>
          </w:p>
        </w:tc>
        <w:tc>
          <w:tcPr>
            <w:tcW w:w="6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7</w:t>
            </w:r>
            <w:r>
              <w:rPr>
                <w:rFonts w:hint="eastAsia" w:ascii="Times New Roman" w:hAnsi="Times New Roman" w:eastAsia="仿宋_GB2312" w:cs="Times New Roman"/>
                <w:sz w:val="22"/>
              </w:rPr>
              <w:t>.00</w:t>
            </w:r>
          </w:p>
        </w:tc>
        <w:tc>
          <w:tcPr>
            <w:tcW w:w="9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100.00%</w:t>
            </w:r>
          </w:p>
        </w:tc>
      </w:tr>
      <w:tr>
        <w:tblPrEx>
          <w:tblCellMar>
            <w:top w:w="0" w:type="dxa"/>
            <w:left w:w="0" w:type="dxa"/>
            <w:bottom w:w="0" w:type="dxa"/>
            <w:right w:w="0" w:type="dxa"/>
          </w:tblCellMar>
        </w:tblPrEx>
        <w:trPr>
          <w:trHeight w:val="1900" w:hRule="atLeast"/>
          <w:jc w:val="center"/>
        </w:trPr>
        <w:tc>
          <w:tcPr>
            <w:tcW w:w="609" w:type="dxa"/>
            <w:vMerge w:val="continue"/>
            <w:tcBorders>
              <w:left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8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D10</w:t>
            </w:r>
            <w:r>
              <w:rPr>
                <w:rFonts w:hint="eastAsia" w:ascii="Times New Roman" w:hAnsi="Times New Roman" w:eastAsia="仿宋_GB2312" w:cs="Times New Roman"/>
                <w:sz w:val="22"/>
                <w:lang w:val="en-US" w:eastAsia="zh-CN"/>
              </w:rPr>
              <w:t>2</w:t>
            </w:r>
            <w:r>
              <w:rPr>
                <w:rFonts w:hint="eastAsia" w:ascii="Times New Roman" w:hAnsi="Times New Roman" w:eastAsia="仿宋_GB2312" w:cs="Times New Roman"/>
                <w:sz w:val="22"/>
              </w:rPr>
              <w:t xml:space="preserve"> </w:t>
            </w:r>
            <w:r>
              <w:rPr>
                <w:rFonts w:hint="eastAsia" w:ascii="Times New Roman" w:hAnsi="Times New Roman" w:eastAsia="仿宋_GB2312" w:cs="Times New Roman"/>
                <w:sz w:val="22"/>
                <w:lang w:val="en-US" w:eastAsia="zh-CN"/>
              </w:rPr>
              <w:t>坚持资源开发可持续与生态保护可持续</w:t>
            </w:r>
          </w:p>
        </w:tc>
        <w:tc>
          <w:tcPr>
            <w:tcW w:w="58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w:t>
            </w:r>
          </w:p>
        </w:tc>
        <w:tc>
          <w:tcPr>
            <w:tcW w:w="165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考察202</w:t>
            </w:r>
            <w:r>
              <w:rPr>
                <w:rFonts w:hint="eastAsia" w:ascii="Times New Roman" w:hAnsi="Times New Roman" w:eastAsia="仿宋_GB2312" w:cs="Times New Roman"/>
                <w:sz w:val="22"/>
                <w:lang w:val="en-US" w:eastAsia="zh-CN"/>
              </w:rPr>
              <w:t>1</w:t>
            </w:r>
            <w:r>
              <w:rPr>
                <w:rFonts w:hint="eastAsia" w:ascii="Times New Roman" w:hAnsi="Times New Roman" w:eastAsia="仿宋_GB2312" w:cs="Times New Roman"/>
                <w:sz w:val="22"/>
              </w:rPr>
              <w:t>年</w:t>
            </w:r>
            <w:r>
              <w:rPr>
                <w:rFonts w:hint="eastAsia" w:ascii="Times New Roman" w:hAnsi="Times New Roman" w:eastAsia="仿宋_GB2312" w:cs="Times New Roman"/>
                <w:sz w:val="22"/>
                <w:lang w:val="en-US" w:eastAsia="zh-CN"/>
              </w:rPr>
              <w:t>该项目坚持资源开发可持续与生态保护可持续</w:t>
            </w:r>
            <w:r>
              <w:rPr>
                <w:rFonts w:hint="eastAsia" w:ascii="Times New Roman" w:hAnsi="Times New Roman" w:eastAsia="仿宋_GB2312" w:cs="Times New Roman"/>
                <w:sz w:val="22"/>
              </w:rPr>
              <w:t>情况</w:t>
            </w:r>
          </w:p>
        </w:tc>
        <w:tc>
          <w:tcPr>
            <w:tcW w:w="712"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长期坚持</w:t>
            </w:r>
          </w:p>
        </w:tc>
        <w:tc>
          <w:tcPr>
            <w:tcW w:w="95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cs="Times New Roman"/>
                <w:sz w:val="22"/>
                <w:lang w:val="en-US" w:eastAsia="zh-CN"/>
              </w:rPr>
              <w:t>有效维护</w:t>
            </w:r>
            <w:r>
              <w:rPr>
                <w:rFonts w:hint="eastAsia" w:ascii="Times New Roman" w:hAnsi="Times New Roman" w:eastAsia="仿宋_GB2312" w:cs="Times New Roman"/>
                <w:sz w:val="22"/>
              </w:rPr>
              <w:t>落实资源开发和生态保护</w:t>
            </w:r>
            <w:r>
              <w:rPr>
                <w:rFonts w:hint="eastAsia" w:ascii="Times New Roman" w:hAnsi="Times New Roman" w:cs="Times New Roman"/>
                <w:sz w:val="22"/>
                <w:lang w:val="en-US" w:eastAsia="zh-CN"/>
              </w:rPr>
              <w:t>得满分，未达到预期效果不得分。</w:t>
            </w:r>
          </w:p>
        </w:tc>
        <w:tc>
          <w:tcPr>
            <w:tcW w:w="3368"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sz w:val="22"/>
              </w:rPr>
              <w:t>生态保护贯穿于矿产资源开发利用全过程，需要长期坚持，在落实资源开发和生态保护有机结合上还有待进一步提升。</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7</w:t>
            </w:r>
            <w:r>
              <w:rPr>
                <w:rFonts w:hint="eastAsia" w:ascii="Times New Roman" w:hAnsi="Times New Roman" w:eastAsia="仿宋_GB2312" w:cs="Times New Roman"/>
                <w:kern w:val="2"/>
                <w:sz w:val="22"/>
                <w:szCs w:val="22"/>
                <w:lang w:val="en-US" w:eastAsia="zh-CN" w:bidi="ar-SA"/>
              </w:rPr>
              <w:t>分</w:t>
            </w:r>
            <w:r>
              <w:rPr>
                <w:rFonts w:hint="eastAsia" w:ascii="Times New Roman" w:hAnsi="Times New Roman" w:cs="Times New Roman"/>
                <w:kern w:val="2"/>
                <w:sz w:val="22"/>
                <w:szCs w:val="22"/>
                <w:lang w:val="en-US" w:eastAsia="zh-CN" w:bidi="ar-SA"/>
              </w:rPr>
              <w:t>。</w:t>
            </w:r>
          </w:p>
        </w:tc>
        <w:tc>
          <w:tcPr>
            <w:tcW w:w="68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7.00</w:t>
            </w:r>
          </w:p>
        </w:tc>
        <w:tc>
          <w:tcPr>
            <w:tcW w:w="91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87.50%</w:t>
            </w:r>
          </w:p>
        </w:tc>
      </w:tr>
      <w:tr>
        <w:tblPrEx>
          <w:tblCellMar>
            <w:top w:w="0" w:type="dxa"/>
            <w:left w:w="0" w:type="dxa"/>
            <w:bottom w:w="0" w:type="dxa"/>
            <w:right w:w="0" w:type="dxa"/>
          </w:tblCellMar>
        </w:tblPrEx>
        <w:trPr>
          <w:trHeight w:val="340" w:hRule="atLeast"/>
          <w:jc w:val="center"/>
        </w:trPr>
        <w:tc>
          <w:tcPr>
            <w:tcW w:w="609" w:type="dxa"/>
            <w:vMerge w:val="continue"/>
            <w:tcBorders>
              <w:left w:val="single" w:color="auto" w:sz="4" w:space="0"/>
              <w:bottom w:val="single" w:color="000000"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p>
        </w:tc>
        <w:tc>
          <w:tcPr>
            <w:tcW w:w="1056" w:type="dxa"/>
            <w:tcBorders>
              <w:top w:val="single" w:color="auto" w:sz="4" w:space="0"/>
              <w:left w:val="nil"/>
              <w:bottom w:val="single" w:color="000000"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D2 满意度（10）</w:t>
            </w:r>
          </w:p>
        </w:tc>
        <w:tc>
          <w:tcPr>
            <w:tcW w:w="876" w:type="dxa"/>
            <w:tcBorders>
              <w:top w:val="nil"/>
              <w:left w:val="single" w:color="auto" w:sz="4" w:space="0"/>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D201</w:t>
            </w:r>
            <w:r>
              <w:rPr>
                <w:rFonts w:hint="eastAsia" w:ascii="Times New Roman" w:hAnsi="Times New Roman" w:eastAsia="仿宋_GB2312" w:cs="Times New Roman"/>
                <w:sz w:val="22"/>
                <w:lang w:val="en-US" w:eastAsia="zh-CN"/>
              </w:rPr>
              <w:t>使用者满意度</w:t>
            </w:r>
          </w:p>
        </w:tc>
        <w:tc>
          <w:tcPr>
            <w:tcW w:w="58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10</w:t>
            </w:r>
          </w:p>
        </w:tc>
        <w:tc>
          <w:tcPr>
            <w:tcW w:w="165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考察该项目的</w:t>
            </w:r>
            <w:r>
              <w:rPr>
                <w:rFonts w:hint="eastAsia" w:ascii="Times New Roman" w:hAnsi="Times New Roman" w:eastAsia="仿宋_GB2312" w:cs="Times New Roman"/>
                <w:sz w:val="22"/>
                <w:lang w:val="en-US" w:eastAsia="zh-CN"/>
              </w:rPr>
              <w:t>使用者满意度</w:t>
            </w:r>
          </w:p>
        </w:tc>
        <w:tc>
          <w:tcPr>
            <w:tcW w:w="712"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≥9</w:t>
            </w:r>
            <w:r>
              <w:rPr>
                <w:rFonts w:hint="eastAsia" w:ascii="Times New Roman" w:hAnsi="Times New Roman" w:eastAsia="仿宋_GB2312" w:cs="Times New Roman"/>
                <w:sz w:val="22"/>
                <w:lang w:val="en-US" w:eastAsia="zh-CN"/>
              </w:rPr>
              <w:t>0</w:t>
            </w:r>
            <w:r>
              <w:rPr>
                <w:rFonts w:hint="eastAsia" w:ascii="Times New Roman" w:hAnsi="Times New Roman" w:eastAsia="仿宋_GB2312" w:cs="Times New Roman"/>
                <w:sz w:val="22"/>
              </w:rPr>
              <w:t>%</w:t>
            </w:r>
          </w:p>
        </w:tc>
        <w:tc>
          <w:tcPr>
            <w:tcW w:w="957"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计划标准</w:t>
            </w:r>
          </w:p>
        </w:tc>
        <w:tc>
          <w:tcPr>
            <w:tcW w:w="267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受益对象满意度达到目标值得满分，每下降1%，扣5%权重分，扣完为止。</w:t>
            </w:r>
          </w:p>
        </w:tc>
        <w:tc>
          <w:tcPr>
            <w:tcW w:w="3368"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default" w:ascii="Times New Roman Regular" w:hAnsi="Times New Roman Regular" w:eastAsia="仿宋_GB2312" w:cs="Times New Roman Regular"/>
                <w:color w:val="000000"/>
                <w:sz w:val="22"/>
                <w:szCs w:val="22"/>
                <w:lang w:val="en-US" w:eastAsia="zh-Hans"/>
              </w:rPr>
              <w:t>根据访谈内容，</w:t>
            </w:r>
            <w:r>
              <w:rPr>
                <w:rFonts w:hint="default" w:ascii="Times New Roman Regular" w:hAnsi="Times New Roman Regular" w:eastAsia="仿宋_GB2312" w:cs="Times New Roman Regular"/>
                <w:color w:val="000000"/>
                <w:sz w:val="22"/>
                <w:szCs w:val="22"/>
                <w:lang w:val="en-US" w:eastAsia="zh-CN"/>
              </w:rPr>
              <w:t>本项目</w:t>
            </w:r>
            <w:r>
              <w:rPr>
                <w:rFonts w:hint="eastAsia" w:ascii="Times New Roman" w:hAnsi="Times New Roman" w:eastAsia="仿宋_GB2312" w:cs="Times New Roman"/>
                <w:kern w:val="2"/>
                <w:sz w:val="22"/>
                <w:szCs w:val="22"/>
                <w:lang w:val="en-US" w:eastAsia="zh-CN" w:bidi="ar-SA"/>
              </w:rPr>
              <w:t>2021年</w:t>
            </w:r>
            <w:r>
              <w:rPr>
                <w:rFonts w:hint="eastAsia" w:ascii="Times New Roman" w:hAnsi="Times New Roman" w:cs="Times New Roman"/>
                <w:kern w:val="2"/>
                <w:sz w:val="22"/>
                <w:szCs w:val="22"/>
                <w:lang w:val="en-US" w:eastAsia="zh-CN" w:bidi="ar-SA"/>
              </w:rPr>
              <w:t>此项目</w:t>
            </w:r>
            <w:r>
              <w:rPr>
                <w:rFonts w:hint="eastAsia" w:ascii="Times New Roman" w:hAnsi="Times New Roman" w:eastAsia="仿宋_GB2312" w:cs="Times New Roman"/>
                <w:sz w:val="22"/>
                <w:lang w:val="en-US" w:eastAsia="zh-CN"/>
              </w:rPr>
              <w:t>使用者满意度</w:t>
            </w:r>
            <w:r>
              <w:rPr>
                <w:rFonts w:hint="eastAsia" w:ascii="Times New Roman" w:hAnsi="Times New Roman" w:cs="Times New Roman"/>
                <w:sz w:val="22"/>
                <w:lang w:val="en-US" w:eastAsia="zh-CN"/>
              </w:rPr>
              <w:t>为90%</w:t>
            </w:r>
            <w:r>
              <w:rPr>
                <w:rFonts w:hint="eastAsia" w:ascii="Times New Roman" w:hAnsi="Times New Roman" w:eastAsia="仿宋_GB2312" w:cs="Times New Roman"/>
                <w:kern w:val="2"/>
                <w:sz w:val="22"/>
                <w:szCs w:val="22"/>
                <w:lang w:val="en-US" w:eastAsia="zh-CN" w:bidi="ar-SA"/>
              </w:rPr>
              <w:t>。综上，该指标得</w:t>
            </w:r>
            <w:r>
              <w:rPr>
                <w:rFonts w:hint="eastAsia" w:ascii="Times New Roman" w:hAnsi="Times New Roman" w:cs="Times New Roman"/>
                <w:kern w:val="2"/>
                <w:sz w:val="22"/>
                <w:szCs w:val="22"/>
                <w:lang w:val="en-US" w:eastAsia="zh-CN" w:bidi="ar-SA"/>
              </w:rPr>
              <w:t>10</w:t>
            </w:r>
            <w:r>
              <w:rPr>
                <w:rFonts w:hint="eastAsia" w:ascii="Times New Roman" w:hAnsi="Times New Roman" w:eastAsia="仿宋_GB2312" w:cs="Times New Roman"/>
                <w:kern w:val="2"/>
                <w:sz w:val="22"/>
                <w:szCs w:val="22"/>
                <w:lang w:val="en-US" w:eastAsia="zh-CN" w:bidi="ar-SA"/>
              </w:rPr>
              <w:t>分。</w:t>
            </w:r>
          </w:p>
        </w:tc>
        <w:tc>
          <w:tcPr>
            <w:tcW w:w="685"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10.0</w:t>
            </w:r>
            <w:r>
              <w:rPr>
                <w:rFonts w:hint="eastAsia" w:ascii="Times New Roman" w:hAnsi="Times New Roman" w:eastAsia="仿宋_GB2312" w:cs="Times New Roman"/>
                <w:sz w:val="22"/>
              </w:rPr>
              <w:t>0</w:t>
            </w:r>
          </w:p>
        </w:tc>
        <w:tc>
          <w:tcPr>
            <w:tcW w:w="910" w:type="dxa"/>
            <w:tcBorders>
              <w:top w:val="nil"/>
              <w:left w:val="nil"/>
              <w:bottom w:val="single" w:color="auto" w:sz="4" w:space="0"/>
              <w:right w:val="single" w:color="auto"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lang w:val="en-US" w:eastAsia="zh-CN"/>
              </w:rPr>
              <w:t>100</w:t>
            </w:r>
            <w:r>
              <w:rPr>
                <w:rFonts w:hint="eastAsia" w:ascii="Times New Roman" w:hAnsi="Times New Roman" w:eastAsia="仿宋_GB2312" w:cs="Times New Roman"/>
                <w:sz w:val="22"/>
              </w:rPr>
              <w:t>.00%</w:t>
            </w:r>
          </w:p>
        </w:tc>
      </w:tr>
      <w:tr>
        <w:tblPrEx>
          <w:tblCellMar>
            <w:top w:w="0" w:type="dxa"/>
            <w:left w:w="0" w:type="dxa"/>
            <w:bottom w:w="0" w:type="dxa"/>
            <w:right w:w="0" w:type="dxa"/>
          </w:tblCellMar>
        </w:tblPrEx>
        <w:trPr>
          <w:trHeight w:val="340" w:hRule="atLeast"/>
          <w:jc w:val="center"/>
        </w:trPr>
        <w:tc>
          <w:tcPr>
            <w:tcW w:w="254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sz w:val="22"/>
              </w:rPr>
            </w:pPr>
            <w:r>
              <w:rPr>
                <w:rFonts w:hint="eastAsia" w:ascii="Times New Roman" w:hAnsi="Times New Roman" w:eastAsia="仿宋_GB2312" w:cs="Times New Roman"/>
                <w:sz w:val="22"/>
              </w:rPr>
              <w:t>总分</w:t>
            </w:r>
          </w:p>
        </w:tc>
        <w:tc>
          <w:tcPr>
            <w:tcW w:w="58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100</w:t>
            </w:r>
          </w:p>
        </w:tc>
        <w:tc>
          <w:tcPr>
            <w:tcW w:w="165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w:t>
            </w:r>
          </w:p>
        </w:tc>
        <w:tc>
          <w:tcPr>
            <w:tcW w:w="712"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w:t>
            </w:r>
          </w:p>
        </w:tc>
        <w:tc>
          <w:tcPr>
            <w:tcW w:w="957"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w:t>
            </w:r>
          </w:p>
        </w:tc>
        <w:tc>
          <w:tcPr>
            <w:tcW w:w="267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w:t>
            </w:r>
          </w:p>
        </w:tc>
        <w:tc>
          <w:tcPr>
            <w:tcW w:w="336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eastAsia" w:ascii="Times New Roman" w:hAnsi="Times New Roman" w:eastAsia="仿宋_GB2312" w:cs="Times New Roman"/>
                <w:b/>
                <w:bCs/>
                <w:sz w:val="22"/>
              </w:rPr>
            </w:pPr>
            <w:r>
              <w:rPr>
                <w:rFonts w:hint="eastAsia" w:ascii="Times New Roman" w:hAnsi="Times New Roman" w:eastAsia="仿宋_GB2312" w:cs="Times New Roman"/>
                <w:b/>
                <w:bCs/>
                <w:sz w:val="22"/>
              </w:rPr>
              <w:t>-</w:t>
            </w:r>
          </w:p>
        </w:tc>
        <w:tc>
          <w:tcPr>
            <w:tcW w:w="68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97.33</w:t>
            </w:r>
          </w:p>
        </w:tc>
        <w:tc>
          <w:tcPr>
            <w:tcW w:w="91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pStyle w:val="28"/>
              <w:snapToGrid w:val="0"/>
              <w:spacing w:line="540" w:lineRule="exact"/>
              <w:ind w:firstLine="0" w:firstLineChars="0"/>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97.33%</w:t>
            </w:r>
          </w:p>
        </w:tc>
      </w:tr>
    </w:tbl>
    <w:p>
      <w:pPr>
        <w:ind w:left="0" w:leftChars="0" w:firstLine="0" w:firstLineChars="0"/>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pStyle w:val="3"/>
        <w:bidi w:val="0"/>
        <w:rPr>
          <w:rFonts w:hint="eastAsia"/>
          <w:lang w:val="en-US" w:eastAsia="zh-CN"/>
        </w:rPr>
      </w:pPr>
      <w:bookmarkStart w:id="124" w:name="_Toc4315"/>
      <w:r>
        <w:t>附件</w:t>
      </w:r>
      <w:r>
        <w:rPr>
          <w:rFonts w:hint="eastAsia"/>
          <w:lang w:val="en-US" w:eastAsia="zh-CN"/>
        </w:rPr>
        <w:t>2</w:t>
      </w:r>
      <w:r>
        <w:rPr>
          <w:rFonts w:hint="default"/>
        </w:rPr>
        <w:t xml:space="preserve"> </w:t>
      </w:r>
      <w:r>
        <w:rPr>
          <w:rFonts w:hint="eastAsia"/>
          <w:lang w:val="en-US" w:eastAsia="zh-CN"/>
        </w:rPr>
        <w:t>相关负责人访谈</w:t>
      </w:r>
      <w:bookmarkEnd w:id="124"/>
    </w:p>
    <w:p>
      <w:pPr>
        <w:jc w:val="center"/>
        <w:rPr>
          <w:rFonts w:hint="default"/>
          <w:lang w:val="en-US" w:eastAsia="zh-CN"/>
        </w:rPr>
      </w:pPr>
      <w:r>
        <w:rPr>
          <w:rFonts w:hint="default"/>
          <w:lang w:val="en-US" w:eastAsia="zh-CN"/>
        </w:rPr>
        <w:drawing>
          <wp:inline distT="0" distB="0" distL="114300" distR="114300">
            <wp:extent cx="5006340" cy="6826885"/>
            <wp:effectExtent l="0" t="0" r="7620" b="635"/>
            <wp:docPr id="8" name="图片 8" descr="微信图片_2022081618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20816180529"/>
                    <pic:cNvPicPr>
                      <a:picLocks noChangeAspect="1"/>
                    </pic:cNvPicPr>
                  </pic:nvPicPr>
                  <pic:blipFill>
                    <a:blip r:embed="rId9"/>
                    <a:stretch>
                      <a:fillRect/>
                    </a:stretch>
                  </pic:blipFill>
                  <pic:spPr>
                    <a:xfrm>
                      <a:off x="0" y="0"/>
                      <a:ext cx="5006340" cy="6826885"/>
                    </a:xfrm>
                    <a:prstGeom prst="rect">
                      <a:avLst/>
                    </a:prstGeom>
                  </pic:spPr>
                </pic:pic>
              </a:graphicData>
            </a:graphic>
          </wp:inline>
        </w:drawing>
      </w:r>
    </w:p>
    <w:p>
      <w:pPr>
        <w:pStyle w:val="3"/>
        <w:bidi w:val="0"/>
        <w:rPr>
          <w:rFonts w:hint="eastAsia" w:ascii="宋体" w:hAnsi="宋体"/>
          <w:lang w:val="en-US" w:eastAsia="zh-CN"/>
        </w:rPr>
      </w:pPr>
      <w:r>
        <w:rPr>
          <w:rFonts w:hint="default"/>
          <w:lang w:val="en-US" w:eastAsia="zh-CN"/>
        </w:rPr>
        <w:br w:type="page"/>
      </w:r>
      <w:bookmarkStart w:id="125" w:name="_Toc6665"/>
      <w:r>
        <w:rPr>
          <w:rFonts w:hint="eastAsia" w:ascii="宋体" w:hAnsi="宋体"/>
          <w:lang w:val="en-US" w:eastAsia="zh-CN"/>
        </w:rPr>
        <w:t>附件3 基础表佐证材料</w:t>
      </w:r>
      <w:bookmarkEnd w:id="125"/>
    </w:p>
    <w:p>
      <w:pPr>
        <w:ind w:left="0" w:leftChars="0" w:firstLine="0" w:firstLineChars="0"/>
        <w:rPr>
          <w:rFonts w:hint="default"/>
          <w:lang w:val="en-US" w:eastAsia="zh-CN"/>
        </w:rPr>
      </w:pPr>
      <w:r>
        <w:rPr>
          <w:rFonts w:hint="default"/>
          <w:lang w:val="en-US" w:eastAsia="zh-CN"/>
        </w:rPr>
        <w:drawing>
          <wp:inline distT="0" distB="0" distL="114300" distR="114300">
            <wp:extent cx="4770120" cy="6713220"/>
            <wp:effectExtent l="0" t="0" r="0" b="7620"/>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10"/>
                    <a:stretch>
                      <a:fillRect/>
                    </a:stretch>
                  </pic:blipFill>
                  <pic:spPr>
                    <a:xfrm>
                      <a:off x="0" y="0"/>
                      <a:ext cx="4770120" cy="6713220"/>
                    </a:xfrm>
                    <a:prstGeom prst="rect">
                      <a:avLst/>
                    </a:prstGeom>
                  </pic:spPr>
                </pic:pic>
              </a:graphicData>
            </a:graphic>
          </wp:inline>
        </w:drawing>
      </w:r>
      <w:r>
        <w:rPr>
          <w:rFonts w:hint="default"/>
          <w:lang w:val="en-US" w:eastAsia="zh-CN"/>
        </w:rPr>
        <w:drawing>
          <wp:inline distT="0" distB="0" distL="114300" distR="114300">
            <wp:extent cx="4732020" cy="6682740"/>
            <wp:effectExtent l="0" t="0" r="7620" b="7620"/>
            <wp:docPr id="5" name="图片 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2"/>
                    <pic:cNvPicPr>
                      <a:picLocks noChangeAspect="1"/>
                    </pic:cNvPicPr>
                  </pic:nvPicPr>
                  <pic:blipFill>
                    <a:blip r:embed="rId11"/>
                    <a:stretch>
                      <a:fillRect/>
                    </a:stretch>
                  </pic:blipFill>
                  <pic:spPr>
                    <a:xfrm>
                      <a:off x="0" y="0"/>
                      <a:ext cx="4732020" cy="668274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MTIxNTJlMjY2NjM5NjdjYmYwZjVhYjA4ZGEwODEifQ=="/>
  </w:docVars>
  <w:rsids>
    <w:rsidRoot w:val="00172A27"/>
    <w:rsid w:val="00172A27"/>
    <w:rsid w:val="00355AC6"/>
    <w:rsid w:val="003C7372"/>
    <w:rsid w:val="003D0E66"/>
    <w:rsid w:val="00750E6B"/>
    <w:rsid w:val="009C37B1"/>
    <w:rsid w:val="00E21046"/>
    <w:rsid w:val="00E24248"/>
    <w:rsid w:val="00F87D53"/>
    <w:rsid w:val="0121061C"/>
    <w:rsid w:val="029237FE"/>
    <w:rsid w:val="029C319C"/>
    <w:rsid w:val="02C55FFB"/>
    <w:rsid w:val="02F703D0"/>
    <w:rsid w:val="03164649"/>
    <w:rsid w:val="034D3EE2"/>
    <w:rsid w:val="05015FD0"/>
    <w:rsid w:val="05177A10"/>
    <w:rsid w:val="05FE23E4"/>
    <w:rsid w:val="06D904C5"/>
    <w:rsid w:val="08550570"/>
    <w:rsid w:val="09331B27"/>
    <w:rsid w:val="0C7A4ABF"/>
    <w:rsid w:val="0C7E14F4"/>
    <w:rsid w:val="0D6F2042"/>
    <w:rsid w:val="0DF4355C"/>
    <w:rsid w:val="0E214EB0"/>
    <w:rsid w:val="0FCD5EB1"/>
    <w:rsid w:val="102C77AD"/>
    <w:rsid w:val="109377B4"/>
    <w:rsid w:val="10D71FCC"/>
    <w:rsid w:val="10F5025C"/>
    <w:rsid w:val="11B77B7C"/>
    <w:rsid w:val="11F951E0"/>
    <w:rsid w:val="16573D2E"/>
    <w:rsid w:val="16711B8B"/>
    <w:rsid w:val="169C49BB"/>
    <w:rsid w:val="1701729F"/>
    <w:rsid w:val="173252B3"/>
    <w:rsid w:val="179201AA"/>
    <w:rsid w:val="18BD7EDC"/>
    <w:rsid w:val="18D377AA"/>
    <w:rsid w:val="18FA5FFB"/>
    <w:rsid w:val="18FE420D"/>
    <w:rsid w:val="197F72FC"/>
    <w:rsid w:val="19FD5A50"/>
    <w:rsid w:val="1ACF0E61"/>
    <w:rsid w:val="1B682B47"/>
    <w:rsid w:val="1BE62FFE"/>
    <w:rsid w:val="1BEB2E3A"/>
    <w:rsid w:val="1CB13F75"/>
    <w:rsid w:val="1E5C6A55"/>
    <w:rsid w:val="1E657FA9"/>
    <w:rsid w:val="1F9D2A5A"/>
    <w:rsid w:val="20580C17"/>
    <w:rsid w:val="20BC595F"/>
    <w:rsid w:val="21F701FF"/>
    <w:rsid w:val="21FF325F"/>
    <w:rsid w:val="245F1233"/>
    <w:rsid w:val="24C36962"/>
    <w:rsid w:val="25FA4DCF"/>
    <w:rsid w:val="261824BC"/>
    <w:rsid w:val="27154702"/>
    <w:rsid w:val="277675E5"/>
    <w:rsid w:val="27FA3E62"/>
    <w:rsid w:val="288A37F6"/>
    <w:rsid w:val="2A292DD6"/>
    <w:rsid w:val="2AB054DE"/>
    <w:rsid w:val="2B863E6E"/>
    <w:rsid w:val="2BE512DE"/>
    <w:rsid w:val="2C2D4453"/>
    <w:rsid w:val="2DC06DA4"/>
    <w:rsid w:val="2E382603"/>
    <w:rsid w:val="2E9753AD"/>
    <w:rsid w:val="2FF257C8"/>
    <w:rsid w:val="30025A2F"/>
    <w:rsid w:val="30197682"/>
    <w:rsid w:val="30552D06"/>
    <w:rsid w:val="30957FD9"/>
    <w:rsid w:val="329D75E0"/>
    <w:rsid w:val="33617924"/>
    <w:rsid w:val="33B7022C"/>
    <w:rsid w:val="33CC4A2B"/>
    <w:rsid w:val="3437679A"/>
    <w:rsid w:val="3446169D"/>
    <w:rsid w:val="34DB039D"/>
    <w:rsid w:val="351238FE"/>
    <w:rsid w:val="35AA7338"/>
    <w:rsid w:val="35F40911"/>
    <w:rsid w:val="35F44AE6"/>
    <w:rsid w:val="364B0663"/>
    <w:rsid w:val="37D211FF"/>
    <w:rsid w:val="37D90319"/>
    <w:rsid w:val="38D357B3"/>
    <w:rsid w:val="39D368D7"/>
    <w:rsid w:val="3B431C5E"/>
    <w:rsid w:val="3B6E66EA"/>
    <w:rsid w:val="3B763C62"/>
    <w:rsid w:val="3C891E49"/>
    <w:rsid w:val="3E3B3F30"/>
    <w:rsid w:val="3E501D95"/>
    <w:rsid w:val="3EBF156B"/>
    <w:rsid w:val="3FB63940"/>
    <w:rsid w:val="3FCB2537"/>
    <w:rsid w:val="411F5831"/>
    <w:rsid w:val="41F95D15"/>
    <w:rsid w:val="42340F1B"/>
    <w:rsid w:val="423C77CE"/>
    <w:rsid w:val="425E7ECE"/>
    <w:rsid w:val="42663A68"/>
    <w:rsid w:val="43C0228E"/>
    <w:rsid w:val="44CA69A4"/>
    <w:rsid w:val="4569300C"/>
    <w:rsid w:val="4625786D"/>
    <w:rsid w:val="46603AF0"/>
    <w:rsid w:val="46B53440"/>
    <w:rsid w:val="4730132D"/>
    <w:rsid w:val="47421DE7"/>
    <w:rsid w:val="48945F72"/>
    <w:rsid w:val="48E33343"/>
    <w:rsid w:val="4957369D"/>
    <w:rsid w:val="49F02328"/>
    <w:rsid w:val="4A3640A9"/>
    <w:rsid w:val="4AC47240"/>
    <w:rsid w:val="4BA9555F"/>
    <w:rsid w:val="4BD412CB"/>
    <w:rsid w:val="4E6A1ED3"/>
    <w:rsid w:val="4F255E26"/>
    <w:rsid w:val="4F8B7E11"/>
    <w:rsid w:val="4F917F30"/>
    <w:rsid w:val="50336AE6"/>
    <w:rsid w:val="50C522B1"/>
    <w:rsid w:val="50DF2A2F"/>
    <w:rsid w:val="51595E1F"/>
    <w:rsid w:val="51A12945"/>
    <w:rsid w:val="52CF4415"/>
    <w:rsid w:val="52DE4C6A"/>
    <w:rsid w:val="53A61648"/>
    <w:rsid w:val="544862D7"/>
    <w:rsid w:val="54A74F9E"/>
    <w:rsid w:val="54E55460"/>
    <w:rsid w:val="568E6226"/>
    <w:rsid w:val="5697589F"/>
    <w:rsid w:val="581E0BD4"/>
    <w:rsid w:val="58546E79"/>
    <w:rsid w:val="589A39D5"/>
    <w:rsid w:val="58D04ED6"/>
    <w:rsid w:val="5C154190"/>
    <w:rsid w:val="5D0B03EB"/>
    <w:rsid w:val="5D4E4095"/>
    <w:rsid w:val="5F480B2A"/>
    <w:rsid w:val="5F866231"/>
    <w:rsid w:val="60515E3C"/>
    <w:rsid w:val="615A6F86"/>
    <w:rsid w:val="617C1D68"/>
    <w:rsid w:val="625569A7"/>
    <w:rsid w:val="62D40174"/>
    <w:rsid w:val="62EF418B"/>
    <w:rsid w:val="63DF5069"/>
    <w:rsid w:val="643003F6"/>
    <w:rsid w:val="64A031E8"/>
    <w:rsid w:val="64B32E0C"/>
    <w:rsid w:val="658B4AC9"/>
    <w:rsid w:val="665846BA"/>
    <w:rsid w:val="670D095B"/>
    <w:rsid w:val="672D4115"/>
    <w:rsid w:val="67401089"/>
    <w:rsid w:val="67561D44"/>
    <w:rsid w:val="675A39C3"/>
    <w:rsid w:val="67B21438"/>
    <w:rsid w:val="67FE58D1"/>
    <w:rsid w:val="682146A2"/>
    <w:rsid w:val="683E1C99"/>
    <w:rsid w:val="6871691C"/>
    <w:rsid w:val="688F5729"/>
    <w:rsid w:val="69B27328"/>
    <w:rsid w:val="6AAA16B3"/>
    <w:rsid w:val="6B8A70DE"/>
    <w:rsid w:val="6BBB5FAB"/>
    <w:rsid w:val="6BE04F53"/>
    <w:rsid w:val="6E0A3A4F"/>
    <w:rsid w:val="6E1A6AD8"/>
    <w:rsid w:val="6E2D1CC7"/>
    <w:rsid w:val="6F3D4987"/>
    <w:rsid w:val="70AD723C"/>
    <w:rsid w:val="70B649DD"/>
    <w:rsid w:val="71F66F14"/>
    <w:rsid w:val="7232389E"/>
    <w:rsid w:val="725368DA"/>
    <w:rsid w:val="73104E12"/>
    <w:rsid w:val="75787689"/>
    <w:rsid w:val="75F101A5"/>
    <w:rsid w:val="763C007B"/>
    <w:rsid w:val="765A7D42"/>
    <w:rsid w:val="76B4114C"/>
    <w:rsid w:val="77974DB7"/>
    <w:rsid w:val="782A0E01"/>
    <w:rsid w:val="78674D9D"/>
    <w:rsid w:val="78850FF2"/>
    <w:rsid w:val="790D6283"/>
    <w:rsid w:val="79133A5F"/>
    <w:rsid w:val="79136E61"/>
    <w:rsid w:val="79E7016D"/>
    <w:rsid w:val="7AD04105"/>
    <w:rsid w:val="7AF4477F"/>
    <w:rsid w:val="7C3829D4"/>
    <w:rsid w:val="7CC84A54"/>
    <w:rsid w:val="7CF02BDD"/>
    <w:rsid w:val="7EA22DB1"/>
    <w:rsid w:val="7FDE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spacing w:line="560" w:lineRule="atLeast"/>
      <w:ind w:firstLine="964"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link w:val="22"/>
    <w:qFormat/>
    <w:uiPriority w:val="0"/>
    <w:pPr>
      <w:spacing w:beforeAutospacing="1" w:after="-2147483648" w:afterAutospacing="1" w:line="560" w:lineRule="atLeast"/>
      <w:ind w:firstLine="0" w:firstLineChars="0"/>
      <w:jc w:val="left"/>
      <w:outlineLvl w:val="0"/>
    </w:pPr>
    <w:rPr>
      <w:rFonts w:hint="eastAsia" w:ascii="宋体" w:hAnsi="宋体" w:eastAsia="黑体"/>
      <w:kern w:val="44"/>
      <w:szCs w:val="48"/>
    </w:rPr>
  </w:style>
  <w:style w:type="paragraph" w:styleId="4">
    <w:name w:val="heading 2"/>
    <w:basedOn w:val="1"/>
    <w:next w:val="1"/>
    <w:link w:val="21"/>
    <w:qFormat/>
    <w:uiPriority w:val="0"/>
    <w:pPr>
      <w:keepNext/>
      <w:keepLines/>
      <w:spacing w:before="260" w:after="260" w:line="560" w:lineRule="atLeast"/>
      <w:ind w:firstLine="0" w:firstLineChars="0"/>
      <w:outlineLvl w:val="1"/>
    </w:pPr>
    <w:rPr>
      <w:rFonts w:ascii="Arial" w:hAnsi="Arial" w:eastAsia="楷体"/>
      <w:b/>
      <w:sz w:val="32"/>
    </w:rPr>
  </w:style>
  <w:style w:type="paragraph" w:styleId="2">
    <w:name w:val="heading 3"/>
    <w:basedOn w:val="1"/>
    <w:next w:val="1"/>
    <w:unhideWhenUsed/>
    <w:qFormat/>
    <w:uiPriority w:val="0"/>
    <w:pPr>
      <w:keepNext/>
      <w:keepLines/>
      <w:spacing w:before="260" w:after="260" w:line="413" w:lineRule="auto"/>
      <w:outlineLvl w:val="2"/>
    </w:pPr>
    <w:rPr>
      <w:b/>
      <w:sz w:val="3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left="420" w:leftChars="200"/>
    </w:pPr>
  </w:style>
  <w:style w:type="paragraph" w:styleId="7">
    <w:name w:val="toc 3"/>
    <w:basedOn w:val="1"/>
    <w:next w:val="1"/>
    <w:qFormat/>
    <w:uiPriority w:val="0"/>
    <w:pPr>
      <w:ind w:left="840" w:leftChars="400"/>
    </w:pPr>
  </w:style>
  <w:style w:type="paragraph" w:styleId="8">
    <w:name w:val="Plain Text"/>
    <w:basedOn w:val="1"/>
    <w:qFormat/>
    <w:uiPriority w:val="0"/>
    <w:rPr>
      <w:rFonts w:ascii="宋体" w:hAnsi="Courier New"/>
    </w:rPr>
  </w:style>
  <w:style w:type="paragraph" w:styleId="9">
    <w:name w:val="Balloon Text"/>
    <w:basedOn w:val="1"/>
    <w:link w:val="4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rPr>
      <w:rFonts w:eastAsiaTheme="minorEastAsia"/>
      <w:b/>
      <w:sz w:val="21"/>
    </w:rPr>
  </w:style>
  <w:style w:type="paragraph" w:styleId="13">
    <w:name w:val="footnote text"/>
    <w:basedOn w:val="1"/>
    <w:qFormat/>
    <w:uiPriority w:val="0"/>
    <w:pPr>
      <w:snapToGrid w:val="0"/>
      <w:jc w:val="left"/>
    </w:pPr>
    <w:rPr>
      <w:rFonts w:ascii="Times New Roman" w:hAnsi="Times New Roman"/>
      <w:sz w:val="18"/>
      <w:szCs w:val="18"/>
    </w:rPr>
  </w:style>
  <w:style w:type="paragraph" w:styleId="14">
    <w:name w:val="toc 2"/>
    <w:basedOn w:val="1"/>
    <w:next w:val="1"/>
    <w:qFormat/>
    <w:uiPriority w:val="0"/>
    <w:pPr>
      <w:spacing w:line="240" w:lineRule="auto"/>
      <w:ind w:left="420" w:leftChars="200"/>
    </w:pPr>
    <w:rPr>
      <w:sz w:val="21"/>
    </w:rPr>
  </w:style>
  <w:style w:type="paragraph" w:styleId="15">
    <w:name w:val="Title"/>
    <w:basedOn w:val="1"/>
    <w:next w:val="1"/>
    <w:qFormat/>
    <w:uiPriority w:val="10"/>
    <w:pPr>
      <w:widowControl/>
      <w:spacing w:before="240" w:after="60"/>
      <w:jc w:val="center"/>
      <w:outlineLvl w:val="0"/>
    </w:pPr>
    <w:rPr>
      <w:rFonts w:asciiTheme="majorHAnsi" w:hAnsiTheme="majorHAnsi" w:eastAsiaTheme="majorEastAsia"/>
      <w:b/>
      <w:bCs/>
      <w:kern w:val="28"/>
      <w:sz w:val="32"/>
      <w:szCs w:val="32"/>
    </w:rPr>
  </w:style>
  <w:style w:type="paragraph" w:styleId="16">
    <w:name w:val="Body Text First Indent 2"/>
    <w:basedOn w:val="6"/>
    <w:qFormat/>
    <w:uiPriority w:val="0"/>
    <w:pPr>
      <w:ind w:firstLine="42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customStyle="1" w:styleId="21">
    <w:name w:val="标题 2 Char"/>
    <w:link w:val="4"/>
    <w:qFormat/>
    <w:uiPriority w:val="0"/>
    <w:rPr>
      <w:rFonts w:ascii="Arial" w:hAnsi="Arial" w:eastAsia="楷体"/>
      <w:b/>
      <w:sz w:val="32"/>
    </w:rPr>
  </w:style>
  <w:style w:type="character" w:customStyle="1" w:styleId="22">
    <w:name w:val="标题 1 字符"/>
    <w:link w:val="3"/>
    <w:qFormat/>
    <w:uiPriority w:val="0"/>
    <w:rPr>
      <w:rFonts w:hint="eastAsia" w:ascii="宋体" w:hAnsi="宋体" w:eastAsia="黑体" w:cs="宋体"/>
      <w:kern w:val="44"/>
      <w:sz w:val="32"/>
      <w:szCs w:val="48"/>
      <w:lang w:val="en-US" w:eastAsia="zh-CN" w:bidi="ar"/>
    </w:rPr>
  </w:style>
  <w:style w:type="character" w:customStyle="1" w:styleId="23">
    <w:name w:val="NormalCharacter"/>
    <w:link w:val="1"/>
    <w:semiHidden/>
    <w:qFormat/>
    <w:uiPriority w:val="0"/>
    <w:rPr>
      <w:rFonts w:ascii="Calibri" w:hAnsi="Calibri" w:eastAsia="仿宋_GB2312" w:cs="Times New Roman"/>
      <w:kern w:val="2"/>
      <w:sz w:val="32"/>
      <w:szCs w:val="22"/>
      <w:lang w:val="en-US" w:eastAsia="zh-CN" w:bidi="ar-SA"/>
    </w:rPr>
  </w:style>
  <w:style w:type="paragraph" w:customStyle="1" w:styleId="24">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25">
    <w:name w:val="闻政-正文段落文字"/>
    <w:basedOn w:val="1"/>
    <w:qFormat/>
    <w:uiPriority w:val="0"/>
    <w:pPr>
      <w:spacing w:line="500" w:lineRule="exact"/>
      <w:ind w:firstLine="200"/>
    </w:pPr>
    <w:rPr>
      <w:rFonts w:ascii="Times New Roman" w:hAnsi="Times New Roman"/>
      <w:kern w:val="0"/>
      <w:szCs w:val="28"/>
    </w:rPr>
  </w:style>
  <w:style w:type="paragraph" w:customStyle="1" w:styleId="26">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character" w:customStyle="1" w:styleId="27">
    <w:name w:val="fontstyle01"/>
    <w:qFormat/>
    <w:uiPriority w:val="0"/>
    <w:rPr>
      <w:rFonts w:ascii="仿宋_GB2312" w:hAnsi="仿宋_GB2312" w:eastAsia="仿宋_GB2312" w:cs="仿宋_GB2312"/>
      <w:color w:val="000000"/>
      <w:sz w:val="22"/>
      <w:szCs w:val="22"/>
    </w:rPr>
  </w:style>
  <w:style w:type="paragraph" w:customStyle="1" w:styleId="28">
    <w:name w:val="列出段落1"/>
    <w:basedOn w:val="1"/>
    <w:qFormat/>
    <w:uiPriority w:val="0"/>
    <w:pPr>
      <w:ind w:firstLine="420" w:firstLineChars="200"/>
    </w:pPr>
  </w:style>
  <w:style w:type="character" w:customStyle="1" w:styleId="29">
    <w:name w:val="font31"/>
    <w:basedOn w:val="19"/>
    <w:qFormat/>
    <w:uiPriority w:val="0"/>
    <w:rPr>
      <w:rFonts w:hint="eastAsia" w:ascii="仿宋" w:hAnsi="仿宋" w:eastAsia="仿宋" w:cs="仿宋"/>
      <w:color w:val="000000"/>
      <w:sz w:val="22"/>
      <w:szCs w:val="22"/>
      <w:u w:val="none"/>
    </w:rPr>
  </w:style>
  <w:style w:type="character" w:customStyle="1" w:styleId="30">
    <w:name w:val="font81"/>
    <w:basedOn w:val="19"/>
    <w:qFormat/>
    <w:uiPriority w:val="0"/>
    <w:rPr>
      <w:rFonts w:hint="default" w:ascii="仿宋_GB2312" w:eastAsia="仿宋_GB2312" w:cs="仿宋_GB2312"/>
      <w:color w:val="000000"/>
      <w:sz w:val="22"/>
      <w:szCs w:val="22"/>
      <w:u w:val="none"/>
    </w:rPr>
  </w:style>
  <w:style w:type="character" w:customStyle="1" w:styleId="31">
    <w:name w:val="font71"/>
    <w:basedOn w:val="19"/>
    <w:qFormat/>
    <w:uiPriority w:val="0"/>
    <w:rPr>
      <w:rFonts w:hint="default" w:ascii="仿宋_GB2312" w:eastAsia="仿宋_GB2312" w:cs="仿宋_GB2312"/>
      <w:color w:val="000000"/>
      <w:sz w:val="22"/>
      <w:szCs w:val="22"/>
      <w:u w:val="none"/>
    </w:rPr>
  </w:style>
  <w:style w:type="character" w:customStyle="1" w:styleId="32">
    <w:name w:val="font11"/>
    <w:basedOn w:val="19"/>
    <w:qFormat/>
    <w:uiPriority w:val="0"/>
    <w:rPr>
      <w:rFonts w:hint="default" w:ascii="Times New Roman" w:hAnsi="Times New Roman" w:cs="Times New Roman"/>
      <w:color w:val="000000"/>
      <w:sz w:val="22"/>
      <w:szCs w:val="22"/>
      <w:u w:val="none"/>
    </w:rPr>
  </w:style>
  <w:style w:type="character" w:customStyle="1" w:styleId="33">
    <w:name w:val="font51"/>
    <w:basedOn w:val="19"/>
    <w:qFormat/>
    <w:uiPriority w:val="0"/>
    <w:rPr>
      <w:rFonts w:hint="default" w:ascii="Times New Roman" w:hAnsi="Times New Roman" w:cs="Times New Roman"/>
      <w:color w:val="000000"/>
      <w:sz w:val="22"/>
      <w:szCs w:val="22"/>
      <w:u w:val="none"/>
    </w:rPr>
  </w:style>
  <w:style w:type="character" w:customStyle="1" w:styleId="34">
    <w:name w:val="font61"/>
    <w:basedOn w:val="19"/>
    <w:qFormat/>
    <w:uiPriority w:val="0"/>
    <w:rPr>
      <w:rFonts w:hint="default" w:ascii="Times New Roman" w:hAnsi="Times New Roman" w:cs="Times New Roman"/>
      <w:color w:val="000000"/>
      <w:sz w:val="22"/>
      <w:szCs w:val="22"/>
      <w:u w:val="none"/>
    </w:rPr>
  </w:style>
  <w:style w:type="character" w:customStyle="1" w:styleId="35">
    <w:name w:val="font41"/>
    <w:basedOn w:val="19"/>
    <w:qFormat/>
    <w:uiPriority w:val="0"/>
    <w:rPr>
      <w:rFonts w:hint="default" w:ascii="仿宋_GB2312" w:eastAsia="仿宋_GB2312" w:cs="仿宋_GB2312"/>
      <w:color w:val="000000"/>
      <w:sz w:val="22"/>
      <w:szCs w:val="22"/>
      <w:u w:val="none"/>
    </w:rPr>
  </w:style>
  <w:style w:type="character" w:customStyle="1" w:styleId="36">
    <w:name w:val="font01"/>
    <w:basedOn w:val="19"/>
    <w:qFormat/>
    <w:uiPriority w:val="0"/>
    <w:rPr>
      <w:rFonts w:hint="default" w:ascii="Times New Roman" w:hAnsi="Times New Roman" w:cs="Times New Roman"/>
      <w:color w:val="000000"/>
      <w:sz w:val="22"/>
      <w:szCs w:val="22"/>
      <w:u w:val="none"/>
    </w:rPr>
  </w:style>
  <w:style w:type="character" w:customStyle="1" w:styleId="37">
    <w:name w:val="font21"/>
    <w:basedOn w:val="19"/>
    <w:qFormat/>
    <w:uiPriority w:val="0"/>
    <w:rPr>
      <w:rFonts w:hint="default" w:ascii="仿宋_GB2312" w:eastAsia="仿宋_GB2312" w:cs="仿宋_GB2312"/>
      <w:color w:val="000000"/>
      <w:sz w:val="22"/>
      <w:szCs w:val="22"/>
      <w:u w:val="none"/>
    </w:rPr>
  </w:style>
  <w:style w:type="character" w:customStyle="1" w:styleId="38">
    <w:name w:val="font91"/>
    <w:basedOn w:val="19"/>
    <w:qFormat/>
    <w:uiPriority w:val="0"/>
    <w:rPr>
      <w:rFonts w:hint="default" w:ascii="仿宋_GB2312" w:eastAsia="仿宋_GB2312" w:cs="仿宋_GB2312"/>
      <w:color w:val="000000"/>
      <w:sz w:val="22"/>
      <w:szCs w:val="22"/>
      <w:u w:val="none"/>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批注框文本 字符"/>
    <w:basedOn w:val="19"/>
    <w:link w:val="9"/>
    <w:qFormat/>
    <w:uiPriority w:val="0"/>
    <w:rPr>
      <w:rFonts w:ascii="Calibri" w:hAnsi="Calibri"/>
      <w:kern w:val="2"/>
      <w:sz w:val="18"/>
      <w:szCs w:val="18"/>
    </w:rPr>
  </w:style>
  <w:style w:type="paragraph" w:customStyle="1" w:styleId="42">
    <w:name w:val="UserStyle_23"/>
    <w:basedOn w:val="1"/>
    <w:qFormat/>
    <w:uiPriority w:val="0"/>
    <w:pPr>
      <w:spacing w:line="560" w:lineRule="exact"/>
      <w:ind w:firstLine="803" w:firstLineChars="250"/>
    </w:pPr>
    <w:rPr>
      <w:rFonts w:ascii="黑体" w:hAnsi="黑体" w:eastAsia="黑体"/>
      <w:kern w:val="0"/>
      <w:sz w:val="32"/>
      <w:szCs w:val="28"/>
    </w:rPr>
  </w:style>
  <w:style w:type="paragraph" w:customStyle="1" w:styleId="43">
    <w:name w:val="UserStyle_14"/>
    <w:basedOn w:val="1"/>
    <w:qFormat/>
    <w:uiPriority w:val="0"/>
    <w:pPr>
      <w:spacing w:line="500" w:lineRule="exact"/>
      <w:ind w:firstLine="883" w:firstLineChars="200"/>
    </w:pPr>
    <w:rPr>
      <w:rFonts w:ascii="Times New Roman" w:hAnsi="Times New Roman" w:eastAsia="仿宋_GB231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12349</Words>
  <Characters>13285</Characters>
  <Lines>92</Lines>
  <Paragraphs>26</Paragraphs>
  <TotalTime>13</TotalTime>
  <ScaleCrop>false</ScaleCrop>
  <LinksUpToDate>false</LinksUpToDate>
  <CharactersWithSpaces>13419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2021-08-02T10:27:00Z</dcterms:created>
  <dc:creator>lypzm</dc:creator>
  <cp:lastModifiedBy>茶…！</cp:lastModifiedBy>
  <cp:lastPrinted>2021-09-02T09:25:00Z</cp:lastPrinted>
  <dcterms:modified xsi:type="dcterms:W3CDTF">2022-09-29T03:46:46Z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A57C166756B246A0AEF952F8D0E44E66</vt:lpwstr>
  </property>
</Properties>
</file>