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7A5B4">
      <w:pPr>
        <w:ind w:left="210" w:leftChars="100"/>
        <w:rPr>
          <w:rFonts w:hint="eastAsia" w:ascii="仿宋_GB2312" w:hAnsi="仿宋_GB2312" w:eastAsia="仿宋_GB2312" w:cs="仿宋_GB2312"/>
          <w:color w:val="auto"/>
          <w:sz w:val="36"/>
          <w:szCs w:val="36"/>
          <w:lang w:eastAsia="zh-CN"/>
        </w:rPr>
      </w:pPr>
    </w:p>
    <w:p w14:paraId="728C3055">
      <w:pPr>
        <w:rPr>
          <w:rFonts w:ascii="仿宋_GB2312" w:hAnsi="仿宋_GB2312" w:eastAsia="仿宋_GB2312" w:cs="仿宋_GB2312"/>
          <w:color w:val="auto"/>
          <w:sz w:val="36"/>
          <w:szCs w:val="36"/>
        </w:rPr>
      </w:pPr>
    </w:p>
    <w:p w14:paraId="28C25F95">
      <w:pPr>
        <w:rPr>
          <w:rFonts w:ascii="仿宋_GB2312" w:hAnsi="仿宋_GB2312" w:eastAsia="仿宋_GB2312" w:cs="仿宋_GB2312"/>
          <w:color w:val="auto"/>
          <w:sz w:val="36"/>
          <w:szCs w:val="36"/>
        </w:rPr>
      </w:pPr>
    </w:p>
    <w:p w14:paraId="0668F07A">
      <w:pPr>
        <w:rPr>
          <w:rFonts w:ascii="仿宋_GB2312" w:hAnsi="仿宋_GB2312" w:eastAsia="仿宋_GB2312" w:cs="仿宋_GB2312"/>
          <w:color w:val="auto"/>
          <w:sz w:val="36"/>
          <w:szCs w:val="36"/>
        </w:rPr>
      </w:pPr>
    </w:p>
    <w:p w14:paraId="45023DEA">
      <w:pPr>
        <w:rPr>
          <w:rFonts w:ascii="仿宋_GB2312" w:hAnsi="仿宋_GB2312" w:eastAsia="仿宋_GB2312" w:cs="仿宋_GB2312"/>
          <w:color w:val="auto"/>
          <w:sz w:val="36"/>
          <w:szCs w:val="36"/>
        </w:rPr>
      </w:pPr>
    </w:p>
    <w:p w14:paraId="69DE5538">
      <w:pPr>
        <w:adjustRightInd w:val="0"/>
        <w:snapToGrid w:val="0"/>
        <w:jc w:val="center"/>
        <w:outlineLvl w:val="0"/>
        <w:rPr>
          <w:rFonts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14:paraId="78921CFC">
      <w:pPr>
        <w:adjustRightInd w:val="0"/>
        <w:snapToGrid w:val="0"/>
        <w:spacing w:before="192" w:beforeLines="80"/>
        <w:jc w:val="center"/>
        <w:rPr>
          <w:rFonts w:ascii="楷体_GB2312" w:eastAsia="楷体_GB2312"/>
          <w:bCs/>
          <w:color w:val="auto"/>
          <w:sz w:val="48"/>
          <w:szCs w:val="48"/>
        </w:rPr>
      </w:pPr>
      <w:r>
        <w:rPr>
          <w:rFonts w:hint="eastAsia" w:ascii="楷体_GB2312" w:eastAsia="楷体_GB2312"/>
          <w:bCs/>
          <w:color w:val="auto"/>
          <w:sz w:val="48"/>
          <w:szCs w:val="48"/>
        </w:rPr>
        <w:t>（污染影响类）</w:t>
      </w:r>
    </w:p>
    <w:p w14:paraId="26C433EA">
      <w:pPr>
        <w:adjustRightInd w:val="0"/>
        <w:snapToGrid w:val="0"/>
        <w:spacing w:line="288" w:lineRule="auto"/>
        <w:jc w:val="center"/>
        <w:rPr>
          <w:rFonts w:ascii="华文仿宋" w:hAnsi="华文仿宋" w:eastAsia="华文仿宋" w:cs="华文仿宋"/>
          <w:color w:val="auto"/>
          <w:kern w:val="44"/>
          <w:sz w:val="44"/>
          <w:szCs w:val="44"/>
        </w:rPr>
      </w:pPr>
    </w:p>
    <w:p w14:paraId="01BC7032">
      <w:pPr>
        <w:pStyle w:val="31"/>
        <w:ind w:left="420"/>
        <w:rPr>
          <w:color w:val="auto"/>
        </w:rPr>
      </w:pPr>
    </w:p>
    <w:p w14:paraId="76BCB3D0">
      <w:pPr>
        <w:rPr>
          <w:color w:val="auto"/>
        </w:rPr>
      </w:pPr>
    </w:p>
    <w:p w14:paraId="4A4E954B">
      <w:pPr>
        <w:pStyle w:val="31"/>
        <w:ind w:left="420"/>
        <w:rPr>
          <w:color w:val="auto"/>
        </w:rPr>
      </w:pPr>
    </w:p>
    <w:p w14:paraId="570FEFFC">
      <w:pPr>
        <w:rPr>
          <w:color w:val="auto"/>
        </w:rPr>
      </w:pPr>
    </w:p>
    <w:p w14:paraId="22F07FAB">
      <w:pPr>
        <w:pStyle w:val="31"/>
        <w:ind w:left="420"/>
        <w:rPr>
          <w:color w:val="auto"/>
        </w:rPr>
      </w:pPr>
    </w:p>
    <w:p w14:paraId="4BB411F4">
      <w:pPr>
        <w:rPr>
          <w:color w:val="auto"/>
        </w:rPr>
      </w:pPr>
    </w:p>
    <w:p w14:paraId="2A29233A">
      <w:pPr>
        <w:pStyle w:val="31"/>
        <w:ind w:left="420"/>
        <w:rPr>
          <w:color w:val="auto"/>
        </w:rPr>
      </w:pPr>
    </w:p>
    <w:p w14:paraId="4443E3F9">
      <w:pPr>
        <w:rPr>
          <w:color w:val="auto"/>
        </w:rPr>
      </w:pPr>
    </w:p>
    <w:p w14:paraId="47FF9D8E">
      <w:pPr>
        <w:pStyle w:val="31"/>
        <w:ind w:left="420"/>
        <w:rPr>
          <w:color w:val="auto"/>
        </w:rPr>
      </w:pPr>
    </w:p>
    <w:p w14:paraId="3D8B89A7">
      <w:pPr>
        <w:pStyle w:val="31"/>
        <w:ind w:left="420"/>
        <w:rPr>
          <w:color w:val="auto"/>
        </w:rPr>
      </w:pPr>
    </w:p>
    <w:p w14:paraId="6F816C93">
      <w:pPr>
        <w:adjustRightInd w:val="0"/>
        <w:snapToGrid w:val="0"/>
        <w:ind w:left="1800" w:hanging="1800" w:hangingChars="500"/>
        <w:rPr>
          <w:rFonts w:eastAsia="仿宋_GB2312"/>
          <w:color w:val="auto"/>
          <w:sz w:val="32"/>
          <w:szCs w:val="32"/>
          <w:u w:val="single"/>
        </w:rPr>
      </w:pPr>
      <w:r>
        <w:rPr>
          <w:rFonts w:hint="eastAsia" w:ascii="仿宋_GB2312" w:eastAsia="仿宋_GB2312"/>
          <w:color w:val="auto"/>
          <w:sz w:val="36"/>
          <w:szCs w:val="36"/>
        </w:rPr>
        <w:t>项目名称：</w:t>
      </w:r>
      <w:r>
        <w:rPr>
          <w:rFonts w:hint="eastAsia" w:ascii="仿宋_GB2312" w:eastAsia="仿宋_GB2312"/>
          <w:color w:val="auto"/>
          <w:sz w:val="36"/>
          <w:szCs w:val="36"/>
          <w:u w:val="single"/>
        </w:rPr>
        <w:t xml:space="preserve">新疆德瑞机械有限公司年产700万件光伏管桩端板头生产线建设项目                   </w:t>
      </w:r>
    </w:p>
    <w:p w14:paraId="488056A9">
      <w:pPr>
        <w:adjustRightInd w:val="0"/>
        <w:snapToGrid w:val="0"/>
        <w:spacing w:line="288" w:lineRule="auto"/>
        <w:rPr>
          <w:rFonts w:ascii="仿宋_GB2312" w:eastAsia="仿宋_GB2312"/>
          <w:color w:val="auto"/>
          <w:sz w:val="36"/>
          <w:szCs w:val="36"/>
          <w:u w:val="single"/>
        </w:rPr>
      </w:pPr>
      <w:r>
        <w:rPr>
          <w:rFonts w:hint="eastAsia" w:ascii="仿宋_GB2312" w:eastAsia="仿宋_GB2312"/>
          <w:color w:val="auto"/>
          <w:sz w:val="36"/>
          <w:szCs w:val="36"/>
        </w:rPr>
        <w:t>建设单位（盖章）：</w:t>
      </w:r>
      <w:r>
        <w:rPr>
          <w:rFonts w:hint="eastAsia" w:ascii="仿宋_GB2312" w:eastAsia="仿宋_GB2312"/>
          <w:color w:val="auto"/>
          <w:sz w:val="36"/>
          <w:szCs w:val="36"/>
          <w:u w:val="single"/>
        </w:rPr>
        <w:t xml:space="preserve">新疆德瑞机械有限公司           </w:t>
      </w:r>
    </w:p>
    <w:p w14:paraId="27421A58">
      <w:pPr>
        <w:adjustRightInd w:val="0"/>
        <w:snapToGrid w:val="0"/>
        <w:spacing w:line="288" w:lineRule="auto"/>
        <w:rPr>
          <w:rFonts w:ascii="仿宋_GB2312" w:eastAsia="仿宋_GB2312"/>
          <w:color w:val="auto"/>
          <w:sz w:val="36"/>
          <w:szCs w:val="36"/>
          <w:u w:val="single"/>
        </w:rPr>
      </w:pPr>
      <w:r>
        <w:rPr>
          <w:rFonts w:hint="eastAsia" w:ascii="仿宋_GB2312" w:eastAsia="仿宋_GB2312"/>
          <w:color w:val="auto"/>
          <w:sz w:val="36"/>
          <w:szCs w:val="36"/>
        </w:rPr>
        <w:t>编制日期：</w:t>
      </w:r>
      <w:r>
        <w:rPr>
          <w:rFonts w:hint="eastAsia" w:ascii="仿宋_GB2312" w:eastAsia="仿宋_GB2312"/>
          <w:color w:val="auto"/>
          <w:sz w:val="36"/>
          <w:szCs w:val="36"/>
          <w:u w:val="single"/>
        </w:rPr>
        <w:t xml:space="preserve">           2024年</w:t>
      </w:r>
      <w:r>
        <w:rPr>
          <w:rFonts w:hint="eastAsia" w:ascii="仿宋_GB2312" w:eastAsia="仿宋_GB2312"/>
          <w:color w:val="auto"/>
          <w:sz w:val="36"/>
          <w:szCs w:val="36"/>
          <w:u w:val="single"/>
          <w:lang w:val="en-US" w:eastAsia="zh-CN"/>
        </w:rPr>
        <w:t>7</w:t>
      </w:r>
      <w:r>
        <w:rPr>
          <w:rFonts w:hint="eastAsia" w:ascii="仿宋_GB2312" w:eastAsia="仿宋_GB2312"/>
          <w:color w:val="auto"/>
          <w:sz w:val="36"/>
          <w:szCs w:val="36"/>
          <w:u w:val="single"/>
        </w:rPr>
        <w:t xml:space="preserve">月                          </w:t>
      </w:r>
    </w:p>
    <w:p w14:paraId="0AABE215">
      <w:pPr>
        <w:adjustRightInd w:val="0"/>
        <w:snapToGrid w:val="0"/>
        <w:spacing w:line="288" w:lineRule="auto"/>
        <w:ind w:firstLine="1040"/>
        <w:rPr>
          <w:rFonts w:ascii="仿宋_GB2312" w:eastAsia="仿宋_GB2312"/>
          <w:color w:val="auto"/>
          <w:sz w:val="36"/>
          <w:szCs w:val="36"/>
        </w:rPr>
      </w:pPr>
      <w:bookmarkStart w:id="0" w:name="_Hlk57884087"/>
    </w:p>
    <w:p w14:paraId="20833291">
      <w:pPr>
        <w:adjustRightInd w:val="0"/>
        <w:snapToGrid w:val="0"/>
        <w:spacing w:line="288" w:lineRule="auto"/>
        <w:ind w:firstLine="1040"/>
        <w:rPr>
          <w:rFonts w:ascii="仿宋_GB2312" w:eastAsia="仿宋_GB2312"/>
          <w:color w:val="auto"/>
          <w:sz w:val="36"/>
          <w:szCs w:val="36"/>
        </w:rPr>
      </w:pPr>
    </w:p>
    <w:bookmarkEnd w:id="0"/>
    <w:p w14:paraId="7AAC8F0C">
      <w:pPr>
        <w:adjustRightInd w:val="0"/>
        <w:snapToGrid w:val="0"/>
        <w:spacing w:line="288" w:lineRule="auto"/>
        <w:jc w:val="center"/>
        <w:rPr>
          <w:rFonts w:ascii="楷体_GB2312" w:eastAsia="楷体_GB2312"/>
          <w:color w:val="auto"/>
          <w:sz w:val="36"/>
          <w:szCs w:val="36"/>
        </w:rPr>
      </w:pPr>
      <w:r>
        <w:rPr>
          <w:rFonts w:hint="eastAsia" w:ascii="楷体_GB2312" w:eastAsia="楷体_GB2312"/>
          <w:color w:val="auto"/>
          <w:sz w:val="36"/>
          <w:szCs w:val="36"/>
        </w:rPr>
        <w:t>中华人民共和国生态环境部制</w:t>
      </w:r>
    </w:p>
    <w:p w14:paraId="4B790E29">
      <w:pPr>
        <w:adjustRightInd w:val="0"/>
        <w:snapToGrid w:val="0"/>
        <w:spacing w:line="288" w:lineRule="auto"/>
        <w:ind w:firstLine="1040"/>
        <w:rPr>
          <w:rFonts w:ascii="仿宋_GB2312" w:eastAsia="仿宋_GB2312"/>
          <w:color w:val="auto"/>
          <w:sz w:val="36"/>
          <w:szCs w:val="36"/>
        </w:rPr>
        <w:sectPr>
          <w:footerReference r:id="rId3"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2FA6CE1D">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26"/>
        <w:gridCol w:w="2027"/>
        <w:gridCol w:w="1871"/>
        <w:gridCol w:w="3646"/>
      </w:tblGrid>
      <w:tr w14:paraId="76209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26" w:type="dxa"/>
            <w:tcMar>
              <w:top w:w="16" w:type="dxa"/>
              <w:left w:w="16" w:type="dxa"/>
              <w:right w:w="16" w:type="dxa"/>
            </w:tcMar>
            <w:vAlign w:val="center"/>
          </w:tcPr>
          <w:p w14:paraId="458B21C9">
            <w:pPr>
              <w:adjustRightInd w:val="0"/>
              <w:snapToGrid w:val="0"/>
              <w:jc w:val="center"/>
              <w:rPr>
                <w:rFonts w:cs="宋体"/>
                <w:color w:val="auto"/>
                <w:sz w:val="24"/>
              </w:rPr>
            </w:pPr>
            <w:r>
              <w:rPr>
                <w:rFonts w:hint="eastAsia" w:cs="宋体"/>
                <w:color w:val="auto"/>
                <w:sz w:val="24"/>
              </w:rPr>
              <w:t>建设项目名称</w:t>
            </w:r>
          </w:p>
        </w:tc>
        <w:tc>
          <w:tcPr>
            <w:tcW w:w="7544" w:type="dxa"/>
            <w:gridSpan w:val="3"/>
            <w:vAlign w:val="center"/>
          </w:tcPr>
          <w:p w14:paraId="51445405">
            <w:pPr>
              <w:adjustRightInd w:val="0"/>
              <w:snapToGrid w:val="0"/>
              <w:jc w:val="center"/>
              <w:rPr>
                <w:color w:val="auto"/>
                <w:sz w:val="24"/>
              </w:rPr>
            </w:pPr>
            <w:r>
              <w:rPr>
                <w:rFonts w:hint="eastAsia"/>
                <w:color w:val="auto"/>
                <w:sz w:val="24"/>
              </w:rPr>
              <w:t>新疆德瑞机械有限公司年产700万件光伏管桩端板头生产线建设项目</w:t>
            </w:r>
          </w:p>
        </w:tc>
      </w:tr>
      <w:tr w14:paraId="11ACA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26" w:type="dxa"/>
            <w:tcMar>
              <w:top w:w="16" w:type="dxa"/>
              <w:left w:w="16" w:type="dxa"/>
              <w:right w:w="16" w:type="dxa"/>
            </w:tcMar>
            <w:vAlign w:val="center"/>
          </w:tcPr>
          <w:p w14:paraId="67E27747">
            <w:pPr>
              <w:adjustRightInd w:val="0"/>
              <w:snapToGrid w:val="0"/>
              <w:jc w:val="center"/>
              <w:rPr>
                <w:rFonts w:cs="宋体"/>
                <w:color w:val="auto"/>
                <w:sz w:val="24"/>
              </w:rPr>
            </w:pPr>
            <w:r>
              <w:rPr>
                <w:rFonts w:hint="eastAsia" w:cs="宋体"/>
                <w:color w:val="auto"/>
                <w:sz w:val="24"/>
              </w:rPr>
              <w:t>建设地点</w:t>
            </w:r>
          </w:p>
        </w:tc>
        <w:tc>
          <w:tcPr>
            <w:tcW w:w="7544" w:type="dxa"/>
            <w:gridSpan w:val="3"/>
            <w:vAlign w:val="center"/>
          </w:tcPr>
          <w:p w14:paraId="49D6BDC9">
            <w:pPr>
              <w:adjustRightInd w:val="0"/>
              <w:snapToGrid w:val="0"/>
              <w:jc w:val="center"/>
              <w:rPr>
                <w:color w:val="auto"/>
                <w:sz w:val="24"/>
              </w:rPr>
            </w:pPr>
            <w:r>
              <w:rPr>
                <w:rFonts w:hint="eastAsia" w:cs="宋体"/>
                <w:color w:val="auto"/>
                <w:sz w:val="24"/>
              </w:rPr>
              <w:t>新疆维吾尔自治区吐鲁番市托克逊县托克逊能源重化工工业园区</w:t>
            </w:r>
          </w:p>
        </w:tc>
      </w:tr>
      <w:tr w14:paraId="5C8A0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326" w:type="dxa"/>
            <w:tcMar>
              <w:top w:w="16" w:type="dxa"/>
              <w:left w:w="16" w:type="dxa"/>
              <w:right w:w="16" w:type="dxa"/>
            </w:tcMar>
            <w:vAlign w:val="center"/>
          </w:tcPr>
          <w:p w14:paraId="2B856450">
            <w:pPr>
              <w:adjustRightInd w:val="0"/>
              <w:snapToGrid w:val="0"/>
              <w:jc w:val="center"/>
              <w:rPr>
                <w:rFonts w:cs="宋体"/>
                <w:color w:val="auto"/>
                <w:sz w:val="24"/>
              </w:rPr>
            </w:pPr>
            <w:r>
              <w:rPr>
                <w:rFonts w:hint="eastAsia" w:cs="宋体"/>
                <w:color w:val="auto"/>
                <w:sz w:val="24"/>
              </w:rPr>
              <w:t>国民经济</w:t>
            </w:r>
          </w:p>
          <w:p w14:paraId="5D1B4D86">
            <w:pPr>
              <w:adjustRightInd w:val="0"/>
              <w:snapToGrid w:val="0"/>
              <w:jc w:val="center"/>
              <w:rPr>
                <w:rFonts w:cs="宋体"/>
                <w:color w:val="auto"/>
                <w:sz w:val="24"/>
              </w:rPr>
            </w:pPr>
            <w:r>
              <w:rPr>
                <w:rFonts w:hint="eastAsia" w:cs="宋体"/>
                <w:color w:val="auto"/>
                <w:sz w:val="24"/>
              </w:rPr>
              <w:t>行业类别</w:t>
            </w:r>
          </w:p>
        </w:tc>
        <w:tc>
          <w:tcPr>
            <w:tcW w:w="2027" w:type="dxa"/>
            <w:vAlign w:val="center"/>
          </w:tcPr>
          <w:p w14:paraId="0D954DC9">
            <w:pPr>
              <w:adjustRightInd w:val="0"/>
              <w:snapToGrid w:val="0"/>
              <w:jc w:val="left"/>
              <w:rPr>
                <w:rFonts w:hint="eastAsia" w:cs="宋体"/>
                <w:color w:val="auto"/>
                <w:spacing w:val="-6"/>
                <w:sz w:val="24"/>
              </w:rPr>
            </w:pPr>
            <w:r>
              <w:rPr>
                <w:rFonts w:hint="eastAsia" w:cs="宋体"/>
                <w:color w:val="auto"/>
                <w:spacing w:val="-6"/>
                <w:sz w:val="24"/>
              </w:rPr>
              <w:t>C3390 铸造及其他金属制品制造</w:t>
            </w:r>
          </w:p>
          <w:p w14:paraId="25F5D98F">
            <w:pPr>
              <w:adjustRightInd w:val="0"/>
              <w:snapToGrid w:val="0"/>
              <w:jc w:val="left"/>
              <w:rPr>
                <w:color w:val="auto"/>
                <w:sz w:val="24"/>
              </w:rPr>
            </w:pPr>
            <w:r>
              <w:rPr>
                <w:rFonts w:hint="eastAsia" w:cs="宋体"/>
                <w:color w:val="auto"/>
                <w:spacing w:val="-6"/>
                <w:sz w:val="24"/>
              </w:rPr>
              <w:t>C</w:t>
            </w:r>
            <w:r>
              <w:rPr>
                <w:rFonts w:hint="eastAsia" w:cs="宋体"/>
                <w:color w:val="auto"/>
                <w:spacing w:val="-6"/>
                <w:sz w:val="24"/>
                <w:lang w:val="en-US" w:eastAsia="zh-CN"/>
              </w:rPr>
              <w:t>4210</w:t>
            </w:r>
            <w:r>
              <w:rPr>
                <w:rFonts w:hint="eastAsia" w:cs="宋体"/>
                <w:color w:val="auto"/>
                <w:spacing w:val="-6"/>
                <w:sz w:val="24"/>
              </w:rPr>
              <w:t xml:space="preserve"> 金属废料和碎屑加工处理</w:t>
            </w:r>
          </w:p>
        </w:tc>
        <w:tc>
          <w:tcPr>
            <w:tcW w:w="1871" w:type="dxa"/>
            <w:vAlign w:val="center"/>
          </w:tcPr>
          <w:p w14:paraId="6033771B">
            <w:pPr>
              <w:adjustRightInd w:val="0"/>
              <w:snapToGrid w:val="0"/>
              <w:jc w:val="center"/>
              <w:rPr>
                <w:color w:val="auto"/>
                <w:sz w:val="24"/>
              </w:rPr>
            </w:pPr>
            <w:bookmarkStart w:id="1" w:name="_Hlk49843745"/>
            <w:r>
              <w:rPr>
                <w:color w:val="auto"/>
                <w:sz w:val="24"/>
              </w:rPr>
              <w:t>建设项目</w:t>
            </w:r>
          </w:p>
          <w:p w14:paraId="07C6E116">
            <w:pPr>
              <w:adjustRightInd w:val="0"/>
              <w:snapToGrid w:val="0"/>
              <w:jc w:val="center"/>
              <w:rPr>
                <w:color w:val="auto"/>
                <w:sz w:val="24"/>
              </w:rPr>
            </w:pPr>
            <w:r>
              <w:rPr>
                <w:color w:val="auto"/>
                <w:sz w:val="24"/>
              </w:rPr>
              <w:t>行业类别</w:t>
            </w:r>
            <w:bookmarkEnd w:id="1"/>
          </w:p>
        </w:tc>
        <w:tc>
          <w:tcPr>
            <w:tcW w:w="3646" w:type="dxa"/>
            <w:vAlign w:val="top"/>
          </w:tcPr>
          <w:p w14:paraId="09445E3F">
            <w:pPr>
              <w:adjustRightInd w:val="0"/>
              <w:snapToGrid w:val="0"/>
              <w:jc w:val="left"/>
              <w:rPr>
                <w:rFonts w:cs="宋体"/>
                <w:color w:val="auto"/>
                <w:kern w:val="0"/>
                <w:sz w:val="24"/>
              </w:rPr>
            </w:pPr>
            <w:r>
              <w:rPr>
                <w:rFonts w:hint="eastAsia" w:cs="宋体"/>
                <w:color w:val="auto"/>
                <w:kern w:val="0"/>
                <w:sz w:val="24"/>
              </w:rPr>
              <w:t>三十、金属制品业33</w:t>
            </w:r>
          </w:p>
          <w:p w14:paraId="428C93F4">
            <w:pPr>
              <w:numPr>
                <w:ilvl w:val="0"/>
                <w:numId w:val="0"/>
              </w:numPr>
              <w:adjustRightInd w:val="0"/>
              <w:snapToGrid w:val="0"/>
              <w:jc w:val="left"/>
              <w:rPr>
                <w:rFonts w:hint="eastAsia" w:cs="宋体"/>
                <w:color w:val="auto"/>
                <w:kern w:val="0"/>
                <w:sz w:val="24"/>
              </w:rPr>
            </w:pPr>
            <w:r>
              <w:rPr>
                <w:rFonts w:hint="eastAsia" w:ascii="Times New Roman" w:hAnsi="Times New Roman" w:eastAsia="宋体" w:cs="宋体"/>
                <w:color w:val="auto"/>
                <w:kern w:val="0"/>
                <w:sz w:val="24"/>
                <w:szCs w:val="24"/>
                <w:lang w:val="en-US" w:eastAsia="zh-CN" w:bidi="ar-SA"/>
              </w:rPr>
              <w:t>68、</w:t>
            </w:r>
            <w:r>
              <w:rPr>
                <w:rFonts w:hint="eastAsia" w:cs="宋体"/>
                <w:color w:val="auto"/>
                <w:kern w:val="0"/>
                <w:sz w:val="24"/>
              </w:rPr>
              <w:t>铸造及其他金属制品制造339</w:t>
            </w:r>
          </w:p>
          <w:p w14:paraId="65A336CA">
            <w:pPr>
              <w:adjustRightInd w:val="0"/>
              <w:snapToGrid w:val="0"/>
              <w:jc w:val="left"/>
              <w:rPr>
                <w:rFonts w:hint="default" w:cs="宋体"/>
                <w:color w:val="auto"/>
                <w:kern w:val="0"/>
                <w:sz w:val="24"/>
                <w:lang w:val="en-US"/>
              </w:rPr>
            </w:pPr>
            <w:r>
              <w:rPr>
                <w:rFonts w:hint="eastAsia" w:cs="宋体"/>
                <w:color w:val="auto"/>
                <w:kern w:val="0"/>
                <w:sz w:val="24"/>
              </w:rPr>
              <w:t>三十</w:t>
            </w:r>
            <w:r>
              <w:rPr>
                <w:rFonts w:hint="eastAsia" w:cs="宋体"/>
                <w:color w:val="auto"/>
                <w:kern w:val="0"/>
                <w:sz w:val="24"/>
                <w:lang w:val="en-US" w:eastAsia="zh-CN"/>
              </w:rPr>
              <w:t>九</w:t>
            </w:r>
            <w:r>
              <w:rPr>
                <w:rFonts w:hint="eastAsia" w:cs="宋体"/>
                <w:color w:val="auto"/>
                <w:kern w:val="0"/>
                <w:sz w:val="24"/>
              </w:rPr>
              <w:t>、</w:t>
            </w:r>
            <w:r>
              <w:rPr>
                <w:rFonts w:hint="eastAsia" w:cs="宋体"/>
                <w:color w:val="auto"/>
                <w:kern w:val="0"/>
                <w:sz w:val="24"/>
                <w:lang w:val="en-US" w:eastAsia="zh-CN"/>
              </w:rPr>
              <w:t>废弃资源综合利用业 42</w:t>
            </w:r>
          </w:p>
          <w:p w14:paraId="4E340B58">
            <w:pPr>
              <w:numPr>
                <w:ilvl w:val="0"/>
                <w:numId w:val="0"/>
              </w:numPr>
              <w:adjustRightInd w:val="0"/>
              <w:snapToGrid w:val="0"/>
              <w:jc w:val="left"/>
              <w:rPr>
                <w:rFonts w:hint="eastAsia" w:cs="宋体"/>
                <w:color w:val="auto"/>
                <w:kern w:val="0"/>
                <w:sz w:val="24"/>
              </w:rPr>
            </w:pPr>
            <w:r>
              <w:rPr>
                <w:rFonts w:hint="eastAsia" w:cs="宋体"/>
                <w:color w:val="auto"/>
                <w:kern w:val="0"/>
                <w:sz w:val="24"/>
                <w:szCs w:val="24"/>
                <w:lang w:val="en-US" w:eastAsia="zh-CN" w:bidi="ar-SA"/>
              </w:rPr>
              <w:t>85</w:t>
            </w:r>
            <w:r>
              <w:rPr>
                <w:rFonts w:hint="eastAsia" w:ascii="Times New Roman" w:hAnsi="Times New Roman" w:eastAsia="宋体" w:cs="宋体"/>
                <w:color w:val="auto"/>
                <w:kern w:val="0"/>
                <w:sz w:val="24"/>
                <w:szCs w:val="24"/>
                <w:lang w:val="en-US" w:eastAsia="zh-CN" w:bidi="ar-SA"/>
              </w:rPr>
              <w:t>、</w:t>
            </w:r>
            <w:r>
              <w:rPr>
                <w:rFonts w:hint="eastAsia" w:cs="宋体"/>
                <w:color w:val="auto"/>
                <w:kern w:val="0"/>
                <w:sz w:val="24"/>
              </w:rPr>
              <w:t>金属废料和碎屑加工处理</w:t>
            </w:r>
            <w:r>
              <w:rPr>
                <w:rFonts w:hint="eastAsia" w:cs="宋体"/>
                <w:color w:val="auto"/>
                <w:kern w:val="0"/>
                <w:sz w:val="24"/>
                <w:lang w:val="en-US" w:eastAsia="zh-CN"/>
              </w:rPr>
              <w:t>421</w:t>
            </w:r>
          </w:p>
        </w:tc>
      </w:tr>
      <w:tr w14:paraId="73CA4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326" w:type="dxa"/>
            <w:tcMar>
              <w:top w:w="16" w:type="dxa"/>
              <w:left w:w="16" w:type="dxa"/>
              <w:right w:w="16" w:type="dxa"/>
            </w:tcMar>
            <w:vAlign w:val="center"/>
          </w:tcPr>
          <w:p w14:paraId="203E166E">
            <w:pPr>
              <w:adjustRightInd w:val="0"/>
              <w:snapToGrid w:val="0"/>
              <w:jc w:val="center"/>
              <w:rPr>
                <w:rFonts w:cs="宋体"/>
                <w:color w:val="auto"/>
                <w:sz w:val="24"/>
              </w:rPr>
            </w:pPr>
            <w:r>
              <w:rPr>
                <w:rFonts w:hint="eastAsia" w:cs="宋体"/>
                <w:color w:val="auto"/>
                <w:sz w:val="24"/>
              </w:rPr>
              <w:t>建设性质</w:t>
            </w:r>
          </w:p>
        </w:tc>
        <w:tc>
          <w:tcPr>
            <w:tcW w:w="2027" w:type="dxa"/>
            <w:vAlign w:val="center"/>
          </w:tcPr>
          <w:p w14:paraId="11001E72">
            <w:pPr>
              <w:jc w:val="left"/>
              <w:rPr>
                <w:rFonts w:cs="宋体"/>
                <w:color w:val="auto"/>
                <w:sz w:val="24"/>
              </w:rPr>
            </w:pPr>
            <w:r>
              <w:rPr>
                <w:rFonts w:hint="eastAsia" w:cs="宋体"/>
                <w:color w:val="auto"/>
                <w:sz w:val="24"/>
              </w:rPr>
              <w:t>√新建（迁建）</w:t>
            </w:r>
          </w:p>
          <w:p w14:paraId="4ECFA903">
            <w:pPr>
              <w:jc w:val="left"/>
              <w:rPr>
                <w:rFonts w:cs="宋体"/>
                <w:color w:val="auto"/>
                <w:sz w:val="24"/>
              </w:rPr>
            </w:pPr>
            <w:r>
              <w:rPr>
                <w:rFonts w:hint="eastAsia" w:cs="宋体"/>
                <w:color w:val="auto"/>
                <w:sz w:val="24"/>
              </w:rPr>
              <w:t>□改建</w:t>
            </w:r>
          </w:p>
          <w:p w14:paraId="45EF8B4D">
            <w:pPr>
              <w:jc w:val="left"/>
              <w:rPr>
                <w:rFonts w:cs="宋体"/>
                <w:color w:val="auto"/>
                <w:sz w:val="24"/>
              </w:rPr>
            </w:pPr>
            <w:r>
              <w:rPr>
                <w:rFonts w:hint="eastAsia" w:cs="宋体"/>
                <w:color w:val="auto"/>
                <w:sz w:val="24"/>
              </w:rPr>
              <w:t>□扩建</w:t>
            </w:r>
          </w:p>
          <w:p w14:paraId="2AF89556">
            <w:pPr>
              <w:jc w:val="left"/>
              <w:rPr>
                <w:rFonts w:cs="宋体"/>
                <w:color w:val="auto"/>
                <w:sz w:val="24"/>
              </w:rPr>
            </w:pPr>
            <w:r>
              <w:rPr>
                <w:rFonts w:hint="eastAsia" w:cs="宋体"/>
                <w:color w:val="auto"/>
                <w:sz w:val="24"/>
              </w:rPr>
              <w:t>□技术改造</w:t>
            </w:r>
          </w:p>
        </w:tc>
        <w:tc>
          <w:tcPr>
            <w:tcW w:w="1871" w:type="dxa"/>
            <w:vAlign w:val="center"/>
          </w:tcPr>
          <w:p w14:paraId="3FB15F7F">
            <w:pPr>
              <w:adjustRightInd w:val="0"/>
              <w:snapToGrid w:val="0"/>
              <w:jc w:val="center"/>
              <w:rPr>
                <w:rFonts w:cs="宋体"/>
                <w:color w:val="auto"/>
                <w:sz w:val="24"/>
              </w:rPr>
            </w:pPr>
            <w:r>
              <w:rPr>
                <w:rFonts w:hint="eastAsia" w:cs="宋体"/>
                <w:color w:val="auto"/>
                <w:sz w:val="24"/>
              </w:rPr>
              <w:t>建设项目</w:t>
            </w:r>
          </w:p>
          <w:p w14:paraId="1EBF9E37">
            <w:pPr>
              <w:adjustRightInd w:val="0"/>
              <w:snapToGrid w:val="0"/>
              <w:jc w:val="center"/>
              <w:rPr>
                <w:rFonts w:cs="宋体"/>
                <w:color w:val="auto"/>
                <w:sz w:val="24"/>
              </w:rPr>
            </w:pPr>
            <w:r>
              <w:rPr>
                <w:rFonts w:hint="eastAsia" w:cs="宋体"/>
                <w:color w:val="auto"/>
                <w:sz w:val="24"/>
              </w:rPr>
              <w:t>申报情形</w:t>
            </w:r>
          </w:p>
        </w:tc>
        <w:tc>
          <w:tcPr>
            <w:tcW w:w="3646" w:type="dxa"/>
            <w:vAlign w:val="center"/>
          </w:tcPr>
          <w:p w14:paraId="29B9A17C">
            <w:pPr>
              <w:jc w:val="left"/>
              <w:rPr>
                <w:rFonts w:cs="宋体"/>
                <w:color w:val="auto"/>
                <w:sz w:val="24"/>
              </w:rPr>
            </w:pPr>
            <w:r>
              <w:rPr>
                <w:rFonts w:hint="eastAsia" w:cs="宋体"/>
                <w:color w:val="auto"/>
                <w:sz w:val="24"/>
              </w:rPr>
              <w:t>√首次申报项目</w:t>
            </w:r>
            <w:r>
              <w:rPr>
                <w:rFonts w:cs="宋体"/>
                <w:color w:val="auto"/>
                <w:sz w:val="24"/>
              </w:rPr>
              <w:t xml:space="preserve">             </w:t>
            </w:r>
          </w:p>
          <w:p w14:paraId="7FE4F855">
            <w:pPr>
              <w:jc w:val="left"/>
              <w:rPr>
                <w:rFonts w:cs="宋体"/>
                <w:color w:val="auto"/>
                <w:spacing w:val="-6"/>
                <w:sz w:val="24"/>
              </w:rPr>
            </w:pPr>
            <w:r>
              <w:rPr>
                <w:rFonts w:hint="eastAsia" w:cs="宋体"/>
                <w:color w:val="auto"/>
                <w:spacing w:val="-6"/>
                <w:sz w:val="24"/>
              </w:rPr>
              <w:t>□不予批准后再次申报项目</w:t>
            </w:r>
          </w:p>
          <w:p w14:paraId="67EB4B4A">
            <w:pPr>
              <w:jc w:val="left"/>
              <w:rPr>
                <w:rFonts w:cs="宋体"/>
                <w:color w:val="auto"/>
                <w:sz w:val="24"/>
              </w:rPr>
            </w:pPr>
            <w:r>
              <w:rPr>
                <w:rFonts w:hint="eastAsia" w:cs="宋体"/>
                <w:color w:val="auto"/>
                <w:sz w:val="24"/>
              </w:rPr>
              <w:sym w:font="Wingdings 2" w:char="00A3"/>
            </w:r>
            <w:r>
              <w:rPr>
                <w:rFonts w:hint="eastAsia" w:cs="宋体"/>
                <w:color w:val="auto"/>
                <w:sz w:val="24"/>
              </w:rPr>
              <w:t>超五年重新审核项目</w:t>
            </w:r>
            <w:r>
              <w:rPr>
                <w:rFonts w:cs="宋体"/>
                <w:color w:val="auto"/>
                <w:sz w:val="24"/>
              </w:rPr>
              <w:t xml:space="preserve">     </w:t>
            </w:r>
          </w:p>
          <w:p w14:paraId="1347639B">
            <w:pPr>
              <w:jc w:val="left"/>
              <w:rPr>
                <w:rFonts w:cs="宋体"/>
                <w:color w:val="auto"/>
                <w:sz w:val="24"/>
              </w:rPr>
            </w:pPr>
            <w:r>
              <w:rPr>
                <w:rFonts w:hint="eastAsia" w:cs="宋体"/>
                <w:color w:val="auto"/>
                <w:sz w:val="24"/>
              </w:rPr>
              <w:t>□重大变动重新报批项目</w:t>
            </w:r>
          </w:p>
        </w:tc>
      </w:tr>
      <w:tr w14:paraId="1202DF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326" w:type="dxa"/>
            <w:tcMar>
              <w:top w:w="16" w:type="dxa"/>
              <w:left w:w="16" w:type="dxa"/>
              <w:right w:w="16" w:type="dxa"/>
            </w:tcMar>
            <w:vAlign w:val="center"/>
          </w:tcPr>
          <w:p w14:paraId="2DA4AF67">
            <w:pPr>
              <w:adjustRightInd w:val="0"/>
              <w:snapToGrid w:val="0"/>
              <w:jc w:val="center"/>
              <w:rPr>
                <w:rFonts w:cs="宋体"/>
                <w:color w:val="auto"/>
                <w:sz w:val="24"/>
              </w:rPr>
            </w:pPr>
            <w:r>
              <w:rPr>
                <w:rFonts w:hint="eastAsia" w:cs="宋体"/>
                <w:color w:val="auto"/>
                <w:sz w:val="24"/>
              </w:rPr>
              <w:t>项目审批(核准</w:t>
            </w:r>
            <w:r>
              <w:rPr>
                <w:rFonts w:cs="宋体"/>
                <w:color w:val="auto"/>
                <w:sz w:val="24"/>
              </w:rPr>
              <w:t>/</w:t>
            </w:r>
            <w:r>
              <w:rPr>
                <w:rFonts w:hint="eastAsia" w:cs="宋体"/>
                <w:color w:val="auto"/>
                <w:sz w:val="24"/>
              </w:rPr>
              <w:t>备案)部门(选填)</w:t>
            </w:r>
          </w:p>
        </w:tc>
        <w:tc>
          <w:tcPr>
            <w:tcW w:w="2027" w:type="dxa"/>
            <w:vAlign w:val="center"/>
          </w:tcPr>
          <w:p w14:paraId="3BFA1931">
            <w:pPr>
              <w:adjustRightInd w:val="0"/>
              <w:snapToGrid w:val="0"/>
              <w:jc w:val="center"/>
              <w:rPr>
                <w:color w:val="auto"/>
                <w:sz w:val="24"/>
              </w:rPr>
            </w:pPr>
            <w:r>
              <w:rPr>
                <w:rFonts w:hint="eastAsia"/>
                <w:color w:val="auto"/>
                <w:sz w:val="24"/>
              </w:rPr>
              <w:t>托克逊县发展和改革委员会</w:t>
            </w:r>
          </w:p>
        </w:tc>
        <w:tc>
          <w:tcPr>
            <w:tcW w:w="1871" w:type="dxa"/>
            <w:vAlign w:val="center"/>
          </w:tcPr>
          <w:p w14:paraId="26905F94">
            <w:pPr>
              <w:adjustRightInd w:val="0"/>
              <w:snapToGrid w:val="0"/>
              <w:rPr>
                <w:color w:val="auto"/>
                <w:sz w:val="24"/>
              </w:rPr>
            </w:pPr>
            <w:r>
              <w:rPr>
                <w:color w:val="auto"/>
                <w:sz w:val="24"/>
              </w:rPr>
              <w:t>项目审批（核准/备案）文号（选填）</w:t>
            </w:r>
          </w:p>
        </w:tc>
        <w:tc>
          <w:tcPr>
            <w:tcW w:w="3646" w:type="dxa"/>
            <w:vAlign w:val="center"/>
          </w:tcPr>
          <w:p w14:paraId="1E43CE6E">
            <w:pPr>
              <w:adjustRightInd w:val="0"/>
              <w:snapToGrid w:val="0"/>
              <w:jc w:val="center"/>
              <w:rPr>
                <w:color w:val="auto"/>
                <w:sz w:val="24"/>
              </w:rPr>
            </w:pPr>
            <w:r>
              <w:rPr>
                <w:rFonts w:hint="eastAsia"/>
                <w:color w:val="auto"/>
                <w:sz w:val="24"/>
              </w:rPr>
              <w:t>备案证号：2403201643650400000068</w:t>
            </w:r>
          </w:p>
        </w:tc>
      </w:tr>
      <w:tr w14:paraId="5F8D1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26" w:type="dxa"/>
            <w:tcMar>
              <w:top w:w="16" w:type="dxa"/>
              <w:left w:w="16" w:type="dxa"/>
              <w:right w:w="16" w:type="dxa"/>
            </w:tcMar>
            <w:vAlign w:val="center"/>
          </w:tcPr>
          <w:p w14:paraId="6850BA20">
            <w:pPr>
              <w:adjustRightInd w:val="0"/>
              <w:snapToGrid w:val="0"/>
              <w:jc w:val="center"/>
              <w:rPr>
                <w:rFonts w:cs="宋体"/>
                <w:color w:val="auto"/>
                <w:sz w:val="24"/>
              </w:rPr>
            </w:pPr>
            <w:r>
              <w:rPr>
                <w:rFonts w:hint="eastAsia" w:cs="宋体"/>
                <w:color w:val="auto"/>
                <w:sz w:val="24"/>
              </w:rPr>
              <w:t>总投资（万元）</w:t>
            </w:r>
          </w:p>
        </w:tc>
        <w:tc>
          <w:tcPr>
            <w:tcW w:w="2027" w:type="dxa"/>
            <w:vAlign w:val="center"/>
          </w:tcPr>
          <w:p w14:paraId="7EC910E7">
            <w:pPr>
              <w:adjustRightInd w:val="0"/>
              <w:snapToGrid w:val="0"/>
              <w:jc w:val="center"/>
              <w:rPr>
                <w:color w:val="auto"/>
                <w:sz w:val="24"/>
              </w:rPr>
            </w:pPr>
            <w:r>
              <w:rPr>
                <w:rFonts w:hint="eastAsia"/>
                <w:color w:val="auto"/>
                <w:sz w:val="24"/>
              </w:rPr>
              <w:t>3500</w:t>
            </w:r>
          </w:p>
        </w:tc>
        <w:tc>
          <w:tcPr>
            <w:tcW w:w="1871" w:type="dxa"/>
            <w:tcMar>
              <w:top w:w="16" w:type="dxa"/>
              <w:left w:w="16" w:type="dxa"/>
              <w:right w:w="16" w:type="dxa"/>
            </w:tcMar>
            <w:vAlign w:val="center"/>
          </w:tcPr>
          <w:p w14:paraId="3C11B589">
            <w:pPr>
              <w:adjustRightInd w:val="0"/>
              <w:snapToGrid w:val="0"/>
              <w:jc w:val="center"/>
              <w:rPr>
                <w:color w:val="auto"/>
                <w:sz w:val="24"/>
              </w:rPr>
            </w:pPr>
            <w:r>
              <w:rPr>
                <w:color w:val="auto"/>
                <w:sz w:val="24"/>
              </w:rPr>
              <w:t>环保投资（万元）</w:t>
            </w:r>
          </w:p>
        </w:tc>
        <w:tc>
          <w:tcPr>
            <w:tcW w:w="3646" w:type="dxa"/>
            <w:vAlign w:val="center"/>
          </w:tcPr>
          <w:p w14:paraId="36A92058">
            <w:pPr>
              <w:adjustRightInd w:val="0"/>
              <w:snapToGrid w:val="0"/>
              <w:jc w:val="center"/>
              <w:rPr>
                <w:color w:val="auto"/>
                <w:sz w:val="24"/>
              </w:rPr>
            </w:pPr>
            <w:r>
              <w:rPr>
                <w:rFonts w:hint="eastAsia"/>
                <w:color w:val="auto"/>
                <w:sz w:val="24"/>
              </w:rPr>
              <w:t>133</w:t>
            </w:r>
          </w:p>
        </w:tc>
      </w:tr>
      <w:tr w14:paraId="16210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26" w:type="dxa"/>
            <w:tcMar>
              <w:top w:w="16" w:type="dxa"/>
              <w:left w:w="16" w:type="dxa"/>
              <w:right w:w="16" w:type="dxa"/>
            </w:tcMar>
            <w:vAlign w:val="center"/>
          </w:tcPr>
          <w:p w14:paraId="4D4EF1AB">
            <w:pPr>
              <w:adjustRightInd w:val="0"/>
              <w:snapToGrid w:val="0"/>
              <w:jc w:val="center"/>
              <w:rPr>
                <w:rFonts w:cs="宋体"/>
                <w:color w:val="auto"/>
                <w:sz w:val="24"/>
              </w:rPr>
            </w:pPr>
            <w:r>
              <w:rPr>
                <w:rFonts w:hint="eastAsia" w:cs="宋体"/>
                <w:color w:val="auto"/>
                <w:sz w:val="24"/>
              </w:rPr>
              <w:t>环保投资占比（</w:t>
            </w:r>
            <w:r>
              <w:rPr>
                <w:rFonts w:cs="宋体"/>
                <w:color w:val="auto"/>
                <w:sz w:val="24"/>
              </w:rPr>
              <w:t>%</w:t>
            </w:r>
            <w:r>
              <w:rPr>
                <w:rFonts w:hint="eastAsia" w:cs="宋体"/>
                <w:color w:val="auto"/>
                <w:sz w:val="24"/>
              </w:rPr>
              <w:t>）</w:t>
            </w:r>
          </w:p>
        </w:tc>
        <w:tc>
          <w:tcPr>
            <w:tcW w:w="2027" w:type="dxa"/>
            <w:vAlign w:val="center"/>
          </w:tcPr>
          <w:p w14:paraId="50F06E4A">
            <w:pPr>
              <w:adjustRightInd w:val="0"/>
              <w:snapToGrid w:val="0"/>
              <w:jc w:val="center"/>
              <w:rPr>
                <w:color w:val="auto"/>
                <w:sz w:val="24"/>
              </w:rPr>
            </w:pPr>
            <w:r>
              <w:rPr>
                <w:rFonts w:hint="eastAsia"/>
                <w:color w:val="auto"/>
                <w:sz w:val="24"/>
              </w:rPr>
              <w:t>3.8%</w:t>
            </w:r>
          </w:p>
        </w:tc>
        <w:tc>
          <w:tcPr>
            <w:tcW w:w="1871" w:type="dxa"/>
            <w:tcMar>
              <w:top w:w="16" w:type="dxa"/>
              <w:left w:w="16" w:type="dxa"/>
              <w:right w:w="16" w:type="dxa"/>
            </w:tcMar>
            <w:vAlign w:val="center"/>
          </w:tcPr>
          <w:p w14:paraId="63C6FCBD">
            <w:pPr>
              <w:adjustRightInd w:val="0"/>
              <w:snapToGrid w:val="0"/>
              <w:jc w:val="center"/>
              <w:rPr>
                <w:color w:val="auto"/>
                <w:sz w:val="24"/>
              </w:rPr>
            </w:pPr>
            <w:r>
              <w:rPr>
                <w:color w:val="auto"/>
                <w:sz w:val="24"/>
              </w:rPr>
              <w:t>施工工期</w:t>
            </w:r>
          </w:p>
        </w:tc>
        <w:tc>
          <w:tcPr>
            <w:tcW w:w="3646" w:type="dxa"/>
            <w:vAlign w:val="center"/>
          </w:tcPr>
          <w:p w14:paraId="27ABA773">
            <w:pPr>
              <w:adjustRightInd w:val="0"/>
              <w:snapToGrid w:val="0"/>
              <w:jc w:val="center"/>
              <w:rPr>
                <w:color w:val="auto"/>
                <w:sz w:val="24"/>
              </w:rPr>
            </w:pPr>
            <w:r>
              <w:rPr>
                <w:rFonts w:hint="eastAsia"/>
                <w:color w:val="auto"/>
                <w:sz w:val="24"/>
              </w:rPr>
              <w:t>3</w:t>
            </w:r>
            <w:r>
              <w:rPr>
                <w:color w:val="auto"/>
                <w:sz w:val="24"/>
              </w:rPr>
              <w:t>个月</w:t>
            </w:r>
          </w:p>
        </w:tc>
      </w:tr>
      <w:tr w14:paraId="78551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26" w:type="dxa"/>
            <w:tcMar>
              <w:top w:w="16" w:type="dxa"/>
              <w:left w:w="16" w:type="dxa"/>
              <w:right w:w="16" w:type="dxa"/>
            </w:tcMar>
            <w:vAlign w:val="center"/>
          </w:tcPr>
          <w:p w14:paraId="7164E644">
            <w:pPr>
              <w:adjustRightInd w:val="0"/>
              <w:snapToGrid w:val="0"/>
              <w:jc w:val="center"/>
              <w:rPr>
                <w:rFonts w:cs="宋体"/>
                <w:color w:val="auto"/>
                <w:sz w:val="24"/>
              </w:rPr>
            </w:pPr>
            <w:r>
              <w:rPr>
                <w:rFonts w:hint="eastAsia" w:cs="宋体"/>
                <w:color w:val="auto"/>
                <w:sz w:val="24"/>
              </w:rPr>
              <w:t>是否开工建设</w:t>
            </w:r>
          </w:p>
        </w:tc>
        <w:tc>
          <w:tcPr>
            <w:tcW w:w="2027" w:type="dxa"/>
            <w:vAlign w:val="center"/>
          </w:tcPr>
          <w:p w14:paraId="405799D6">
            <w:pPr>
              <w:adjustRightInd w:val="0"/>
              <w:snapToGrid w:val="0"/>
              <w:rPr>
                <w:rFonts w:cs="宋体"/>
                <w:color w:val="auto"/>
                <w:sz w:val="24"/>
              </w:rPr>
            </w:pPr>
            <w:r>
              <w:rPr>
                <w:rFonts w:hint="eastAsia" w:cs="宋体"/>
                <w:color w:val="auto"/>
                <w:sz w:val="24"/>
              </w:rPr>
              <w:sym w:font="Wingdings 2" w:char="0052"/>
            </w:r>
            <w:r>
              <w:rPr>
                <w:rFonts w:hint="eastAsia" w:cs="宋体"/>
                <w:color w:val="auto"/>
                <w:sz w:val="24"/>
              </w:rPr>
              <w:t>否</w:t>
            </w:r>
          </w:p>
          <w:p w14:paraId="225BF4BC">
            <w:pPr>
              <w:adjustRightInd w:val="0"/>
              <w:snapToGrid w:val="0"/>
              <w:rPr>
                <w:rFonts w:cs="宋体"/>
                <w:color w:val="auto"/>
                <w:sz w:val="24"/>
              </w:rPr>
            </w:pPr>
            <w:r>
              <w:rPr>
                <w:rFonts w:hint="eastAsia" w:cs="宋体"/>
                <w:color w:val="auto"/>
                <w:sz w:val="24"/>
              </w:rPr>
              <w:sym w:font="Wingdings 2" w:char="00A3"/>
            </w:r>
            <w:r>
              <w:rPr>
                <w:rFonts w:hint="eastAsia" w:cs="宋体"/>
                <w:color w:val="auto"/>
                <w:sz w:val="24"/>
              </w:rPr>
              <w:t>是：</w:t>
            </w:r>
            <w:r>
              <w:rPr>
                <w:rFonts w:hint="eastAsia" w:cs="宋体"/>
                <w:color w:val="auto"/>
                <w:sz w:val="24"/>
                <w:u w:val="single"/>
              </w:rPr>
              <w:t xml:space="preserve">     </w:t>
            </w:r>
          </w:p>
        </w:tc>
        <w:tc>
          <w:tcPr>
            <w:tcW w:w="1871" w:type="dxa"/>
            <w:tcMar>
              <w:top w:w="16" w:type="dxa"/>
              <w:left w:w="16" w:type="dxa"/>
              <w:right w:w="16" w:type="dxa"/>
            </w:tcMar>
            <w:vAlign w:val="center"/>
          </w:tcPr>
          <w:p w14:paraId="38E8BDE3">
            <w:pPr>
              <w:adjustRightInd w:val="0"/>
              <w:snapToGrid w:val="0"/>
              <w:jc w:val="center"/>
              <w:rPr>
                <w:rFonts w:cs="宋体"/>
                <w:color w:val="auto"/>
                <w:spacing w:val="-6"/>
                <w:sz w:val="24"/>
              </w:rPr>
            </w:pPr>
            <w:r>
              <w:rPr>
                <w:rFonts w:hint="eastAsia" w:cs="宋体"/>
                <w:color w:val="auto"/>
                <w:spacing w:val="-6"/>
                <w:sz w:val="24"/>
              </w:rPr>
              <w:t>用地（用海）</w:t>
            </w:r>
          </w:p>
          <w:p w14:paraId="734D974B">
            <w:pPr>
              <w:adjustRightInd w:val="0"/>
              <w:snapToGrid w:val="0"/>
              <w:jc w:val="center"/>
              <w:rPr>
                <w:rFonts w:cs="宋体"/>
                <w:color w:val="auto"/>
                <w:sz w:val="24"/>
              </w:rPr>
            </w:pPr>
            <w:r>
              <w:rPr>
                <w:rFonts w:hint="eastAsia" w:cs="宋体"/>
                <w:color w:val="auto"/>
                <w:spacing w:val="-6"/>
                <w:sz w:val="24"/>
              </w:rPr>
              <w:t>面积（</w:t>
            </w:r>
            <w:r>
              <w:rPr>
                <w:rFonts w:cs="宋体"/>
                <w:color w:val="auto"/>
                <w:spacing w:val="-6"/>
                <w:sz w:val="24"/>
              </w:rPr>
              <w:t>m</w:t>
            </w:r>
            <w:r>
              <w:rPr>
                <w:rFonts w:cs="宋体"/>
                <w:color w:val="auto"/>
                <w:spacing w:val="-6"/>
                <w:sz w:val="24"/>
                <w:vertAlign w:val="superscript"/>
              </w:rPr>
              <w:t>2</w:t>
            </w:r>
            <w:r>
              <w:rPr>
                <w:rFonts w:hint="eastAsia" w:cs="宋体"/>
                <w:color w:val="auto"/>
                <w:spacing w:val="-6"/>
                <w:sz w:val="24"/>
              </w:rPr>
              <w:t>）</w:t>
            </w:r>
          </w:p>
        </w:tc>
        <w:tc>
          <w:tcPr>
            <w:tcW w:w="3646" w:type="dxa"/>
            <w:vAlign w:val="center"/>
          </w:tcPr>
          <w:p w14:paraId="075BD195">
            <w:pPr>
              <w:adjustRightInd w:val="0"/>
              <w:snapToGrid w:val="0"/>
              <w:jc w:val="center"/>
              <w:rPr>
                <w:rFonts w:cs="宋体"/>
                <w:color w:val="auto"/>
                <w:sz w:val="24"/>
              </w:rPr>
            </w:pPr>
            <w:r>
              <w:rPr>
                <w:rFonts w:hint="eastAsia"/>
                <w:color w:val="auto"/>
                <w:sz w:val="24"/>
              </w:rPr>
              <w:t>16000</w:t>
            </w:r>
            <w:r>
              <w:rPr>
                <w:rFonts w:hint="eastAsia" w:cs="宋体"/>
                <w:color w:val="auto"/>
                <w:sz w:val="24"/>
              </w:rPr>
              <w:t>m</w:t>
            </w:r>
            <w:r>
              <w:rPr>
                <w:rFonts w:hint="eastAsia" w:cs="宋体"/>
                <w:color w:val="auto"/>
                <w:sz w:val="24"/>
                <w:vertAlign w:val="superscript"/>
              </w:rPr>
              <w:t>2</w:t>
            </w:r>
          </w:p>
        </w:tc>
      </w:tr>
      <w:tr w14:paraId="372EF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326" w:type="dxa"/>
            <w:vAlign w:val="center"/>
          </w:tcPr>
          <w:p w14:paraId="5D664F36">
            <w:pPr>
              <w:autoSpaceDE w:val="0"/>
              <w:autoSpaceDN w:val="0"/>
              <w:adjustRightInd w:val="0"/>
              <w:snapToGrid w:val="0"/>
              <w:jc w:val="center"/>
              <w:rPr>
                <w:rFonts w:cs="宋体"/>
                <w:color w:val="auto"/>
                <w:kern w:val="0"/>
                <w:sz w:val="24"/>
              </w:rPr>
            </w:pPr>
            <w:r>
              <w:rPr>
                <w:rFonts w:hint="eastAsia" w:cs="宋体"/>
                <w:color w:val="auto"/>
                <w:kern w:val="0"/>
                <w:sz w:val="24"/>
              </w:rPr>
              <w:t>专项评价设置情况</w:t>
            </w:r>
          </w:p>
        </w:tc>
        <w:tc>
          <w:tcPr>
            <w:tcW w:w="7544" w:type="dxa"/>
            <w:gridSpan w:val="3"/>
            <w:vAlign w:val="center"/>
          </w:tcPr>
          <w:p w14:paraId="34423459">
            <w:pPr>
              <w:autoSpaceDE w:val="0"/>
              <w:autoSpaceDN w:val="0"/>
              <w:adjustRightInd w:val="0"/>
              <w:snapToGrid w:val="0"/>
              <w:spacing w:line="360" w:lineRule="auto"/>
              <w:rPr>
                <w:rFonts w:cs="宋体"/>
                <w:color w:val="auto"/>
                <w:kern w:val="0"/>
                <w:sz w:val="24"/>
              </w:rPr>
            </w:pPr>
            <w:r>
              <w:rPr>
                <w:rFonts w:hint="eastAsia" w:cs="宋体"/>
                <w:color w:val="auto"/>
                <w:kern w:val="0"/>
                <w:sz w:val="24"/>
              </w:rPr>
              <w:t>无</w:t>
            </w:r>
          </w:p>
        </w:tc>
      </w:tr>
      <w:tr w14:paraId="72165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26" w:type="dxa"/>
            <w:vAlign w:val="center"/>
          </w:tcPr>
          <w:p w14:paraId="6CA0745F">
            <w:pPr>
              <w:autoSpaceDE w:val="0"/>
              <w:autoSpaceDN w:val="0"/>
              <w:adjustRightInd w:val="0"/>
              <w:snapToGrid w:val="0"/>
              <w:jc w:val="center"/>
              <w:rPr>
                <w:rFonts w:cs="宋体"/>
                <w:color w:val="auto"/>
                <w:kern w:val="0"/>
                <w:sz w:val="24"/>
              </w:rPr>
            </w:pPr>
            <w:r>
              <w:rPr>
                <w:rFonts w:hint="eastAsia" w:cs="宋体"/>
                <w:color w:val="auto"/>
                <w:sz w:val="24"/>
              </w:rPr>
              <w:t>规划情况</w:t>
            </w:r>
          </w:p>
        </w:tc>
        <w:tc>
          <w:tcPr>
            <w:tcW w:w="7544" w:type="dxa"/>
            <w:gridSpan w:val="3"/>
            <w:vAlign w:val="center"/>
          </w:tcPr>
          <w:p w14:paraId="465D62D9">
            <w:pPr>
              <w:autoSpaceDE w:val="0"/>
              <w:autoSpaceDN w:val="0"/>
              <w:adjustRightInd w:val="0"/>
              <w:snapToGrid w:val="0"/>
              <w:spacing w:line="360" w:lineRule="auto"/>
              <w:rPr>
                <w:color w:val="auto"/>
                <w:kern w:val="0"/>
                <w:sz w:val="24"/>
              </w:rPr>
            </w:pPr>
            <w:r>
              <w:rPr>
                <w:color w:val="auto"/>
                <w:kern w:val="0"/>
                <w:sz w:val="24"/>
              </w:rPr>
              <w:t>园区规划名称：《新疆托克逊能源重化工工业园总体规划（2015-2030）》</w:t>
            </w:r>
          </w:p>
          <w:p w14:paraId="6F0C79C7">
            <w:pPr>
              <w:autoSpaceDE w:val="0"/>
              <w:autoSpaceDN w:val="0"/>
              <w:adjustRightInd w:val="0"/>
              <w:snapToGrid w:val="0"/>
              <w:spacing w:line="360" w:lineRule="auto"/>
              <w:rPr>
                <w:color w:val="auto"/>
                <w:kern w:val="0"/>
                <w:sz w:val="24"/>
              </w:rPr>
            </w:pPr>
            <w:r>
              <w:rPr>
                <w:color w:val="auto"/>
                <w:kern w:val="0"/>
                <w:sz w:val="24"/>
              </w:rPr>
              <w:t>审批机关：吐鲁番市人民政府</w:t>
            </w:r>
          </w:p>
          <w:p w14:paraId="2291B397">
            <w:pPr>
              <w:autoSpaceDE w:val="0"/>
              <w:autoSpaceDN w:val="0"/>
              <w:adjustRightInd w:val="0"/>
              <w:snapToGrid w:val="0"/>
              <w:spacing w:line="360" w:lineRule="auto"/>
              <w:rPr>
                <w:color w:val="auto"/>
              </w:rPr>
            </w:pPr>
            <w:r>
              <w:rPr>
                <w:color w:val="auto"/>
                <w:kern w:val="0"/>
                <w:sz w:val="24"/>
              </w:rPr>
              <w:t>审批文件名称及文号：《关于托克逊工业园区总体规划（2015-2030）（修编）和托</w:t>
            </w:r>
            <w:r>
              <w:rPr>
                <w:rFonts w:hint="eastAsia"/>
                <w:color w:val="auto"/>
                <w:kern w:val="0"/>
                <w:sz w:val="24"/>
              </w:rPr>
              <w:t>克</w:t>
            </w:r>
            <w:r>
              <w:rPr>
                <w:color w:val="auto"/>
                <w:kern w:val="0"/>
                <w:sz w:val="24"/>
              </w:rPr>
              <w:t>逊能源重化工工业园区“十三五”产业发展规划（2016-2020）的批复》，吐政发[2016]78号</w:t>
            </w:r>
          </w:p>
        </w:tc>
      </w:tr>
      <w:tr w14:paraId="7BA53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26" w:type="dxa"/>
            <w:vAlign w:val="center"/>
          </w:tcPr>
          <w:p w14:paraId="2E7B2122">
            <w:pPr>
              <w:adjustRightInd w:val="0"/>
              <w:snapToGrid w:val="0"/>
              <w:jc w:val="center"/>
              <w:rPr>
                <w:rFonts w:cs="宋体"/>
                <w:color w:val="auto"/>
                <w:sz w:val="24"/>
              </w:rPr>
            </w:pPr>
            <w:r>
              <w:rPr>
                <w:rFonts w:hint="eastAsia" w:cs="宋体"/>
                <w:color w:val="auto"/>
                <w:sz w:val="24"/>
              </w:rPr>
              <w:t>规划环境影响</w:t>
            </w:r>
          </w:p>
          <w:p w14:paraId="582BFEE1">
            <w:pPr>
              <w:adjustRightInd w:val="0"/>
              <w:snapToGrid w:val="0"/>
              <w:jc w:val="center"/>
              <w:rPr>
                <w:rFonts w:cs="宋体"/>
                <w:color w:val="auto"/>
                <w:kern w:val="0"/>
                <w:sz w:val="24"/>
              </w:rPr>
            </w:pPr>
            <w:r>
              <w:rPr>
                <w:rFonts w:hint="eastAsia" w:cs="宋体"/>
                <w:color w:val="auto"/>
                <w:sz w:val="24"/>
              </w:rPr>
              <w:t>评价情况</w:t>
            </w:r>
          </w:p>
        </w:tc>
        <w:tc>
          <w:tcPr>
            <w:tcW w:w="7544" w:type="dxa"/>
            <w:gridSpan w:val="3"/>
            <w:vAlign w:val="center"/>
          </w:tcPr>
          <w:p w14:paraId="53AE6C02">
            <w:pPr>
              <w:autoSpaceDE w:val="0"/>
              <w:autoSpaceDN w:val="0"/>
              <w:adjustRightInd w:val="0"/>
              <w:snapToGrid w:val="0"/>
              <w:spacing w:line="360" w:lineRule="auto"/>
              <w:rPr>
                <w:color w:val="auto"/>
                <w:kern w:val="0"/>
                <w:sz w:val="24"/>
              </w:rPr>
            </w:pPr>
            <w:r>
              <w:rPr>
                <w:color w:val="auto"/>
                <w:kern w:val="0"/>
                <w:sz w:val="24"/>
              </w:rPr>
              <w:t>规划环评名称：《新疆托克逊能源重化工工业园总体规划（2015-2030）环境影响报告书》</w:t>
            </w:r>
          </w:p>
          <w:p w14:paraId="66AC9600">
            <w:pPr>
              <w:autoSpaceDE w:val="0"/>
              <w:autoSpaceDN w:val="0"/>
              <w:adjustRightInd w:val="0"/>
              <w:snapToGrid w:val="0"/>
              <w:spacing w:line="360" w:lineRule="auto"/>
              <w:rPr>
                <w:color w:val="auto"/>
                <w:kern w:val="0"/>
                <w:sz w:val="24"/>
              </w:rPr>
            </w:pPr>
            <w:r>
              <w:rPr>
                <w:color w:val="auto"/>
                <w:kern w:val="0"/>
                <w:sz w:val="24"/>
              </w:rPr>
              <w:t>规划环评审批机关：新疆维吾尔自治区环境保护厅</w:t>
            </w:r>
          </w:p>
          <w:p w14:paraId="2B912ED2">
            <w:pPr>
              <w:autoSpaceDE w:val="0"/>
              <w:autoSpaceDN w:val="0"/>
              <w:adjustRightInd w:val="0"/>
              <w:snapToGrid w:val="0"/>
              <w:spacing w:line="360" w:lineRule="auto"/>
              <w:rPr>
                <w:color w:val="auto"/>
                <w:kern w:val="0"/>
                <w:sz w:val="24"/>
              </w:rPr>
            </w:pPr>
            <w:r>
              <w:rPr>
                <w:color w:val="auto"/>
                <w:kern w:val="0"/>
                <w:sz w:val="24"/>
              </w:rPr>
              <w:t>规划环评审批文件名称及文号：《关于新疆托克逊能源重化工工业园总体规划（2015-2030）环境影响报告书的审查意见》，新环函[2017]897号</w:t>
            </w:r>
          </w:p>
        </w:tc>
      </w:tr>
      <w:tr w14:paraId="14C43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26" w:type="dxa"/>
            <w:vAlign w:val="center"/>
          </w:tcPr>
          <w:p w14:paraId="590C0BED">
            <w:pPr>
              <w:autoSpaceDE w:val="0"/>
              <w:autoSpaceDN w:val="0"/>
              <w:adjustRightInd w:val="0"/>
              <w:snapToGrid w:val="0"/>
              <w:jc w:val="center"/>
              <w:rPr>
                <w:rFonts w:cs="宋体"/>
                <w:color w:val="auto"/>
                <w:kern w:val="0"/>
                <w:sz w:val="24"/>
              </w:rPr>
            </w:pPr>
            <w:r>
              <w:rPr>
                <w:rFonts w:hint="eastAsia" w:cs="宋体"/>
                <w:color w:val="auto"/>
                <w:kern w:val="0"/>
                <w:sz w:val="24"/>
              </w:rPr>
              <w:t>规划及规划环境影响评价符合性分析</w:t>
            </w:r>
          </w:p>
        </w:tc>
        <w:tc>
          <w:tcPr>
            <w:tcW w:w="7544" w:type="dxa"/>
            <w:gridSpan w:val="3"/>
            <w:vAlign w:val="center"/>
          </w:tcPr>
          <w:p w14:paraId="2C98B902">
            <w:pPr>
              <w:adjustRightInd w:val="0"/>
              <w:snapToGrid w:val="0"/>
              <w:spacing w:line="360" w:lineRule="auto"/>
              <w:ind w:firstLine="480" w:firstLineChars="200"/>
              <w:rPr>
                <w:color w:val="auto"/>
                <w:sz w:val="24"/>
              </w:rPr>
            </w:pPr>
            <w:r>
              <w:rPr>
                <w:rFonts w:hint="eastAsia"/>
                <w:color w:val="auto"/>
                <w:sz w:val="24"/>
              </w:rPr>
              <w:t>（1）与《新疆托克逊能源重化工工业园总体规划（2015-2030）》相符性</w:t>
            </w:r>
          </w:p>
          <w:p w14:paraId="25044361">
            <w:pPr>
              <w:adjustRightInd w:val="0"/>
              <w:snapToGrid w:val="0"/>
              <w:spacing w:line="360" w:lineRule="auto"/>
              <w:ind w:firstLine="480" w:firstLineChars="200"/>
              <w:rPr>
                <w:color w:val="auto"/>
                <w:sz w:val="24"/>
              </w:rPr>
            </w:pPr>
            <w:r>
              <w:rPr>
                <w:rFonts w:hint="eastAsia"/>
                <w:color w:val="auto"/>
                <w:sz w:val="24"/>
              </w:rPr>
              <w:t>托克逊能源重化工工业园</w:t>
            </w:r>
            <w:r>
              <w:rPr>
                <w:color w:val="auto"/>
                <w:sz w:val="24"/>
              </w:rPr>
              <w:t>区成立于2006年，为自治区级工业园区，于2006年12月29日取得新疆维吾尔自治区人民政府“关于同意设立托克逊能源重化工工业园区的批复”（新政函〔2006〕194号），园区产业定位：依托丰富的煤炭、金属、石灰石、盐等矿产资源，重点发展新型干法水泥、碳素材料、石灰、电石、蒸养粉煤灰墙体材料等新型建材产业；支持发展宝玉石加工产业；围绕“疆电东送”战略，积极发展一批大参数、高效率、低耗水的超临界、超临界空冷火力发电项目，为</w:t>
            </w:r>
            <w:r>
              <w:rPr>
                <w:rFonts w:hint="eastAsia"/>
                <w:color w:val="auto"/>
                <w:sz w:val="24"/>
              </w:rPr>
              <w:t>“</w:t>
            </w:r>
            <w:r>
              <w:rPr>
                <w:color w:val="auto"/>
                <w:sz w:val="24"/>
              </w:rPr>
              <w:t>疆电东送</w:t>
            </w:r>
            <w:r>
              <w:rPr>
                <w:rFonts w:hint="eastAsia"/>
                <w:color w:val="auto"/>
                <w:sz w:val="24"/>
              </w:rPr>
              <w:t>”</w:t>
            </w:r>
            <w:r>
              <w:rPr>
                <w:color w:val="auto"/>
                <w:sz w:val="24"/>
              </w:rPr>
              <w:t>提供电源支撑。</w:t>
            </w:r>
            <w:r>
              <w:rPr>
                <w:rFonts w:hint="eastAsia"/>
                <w:color w:val="auto"/>
                <w:sz w:val="24"/>
              </w:rPr>
              <w:t>产业及用地布局：规划共形成六大工业板块，包括环保建材工业板块、能源化工工业板块及装备制造工业板块、纺织产业板块、化工及矿产资源加工板块和综合加工板块。</w:t>
            </w:r>
          </w:p>
          <w:p w14:paraId="1A07D795">
            <w:pPr>
              <w:adjustRightInd w:val="0"/>
              <w:snapToGrid w:val="0"/>
              <w:spacing w:line="360" w:lineRule="auto"/>
              <w:ind w:firstLine="480" w:firstLineChars="200"/>
              <w:rPr>
                <w:color w:val="auto"/>
                <w:sz w:val="24"/>
                <w:highlight w:val="yellow"/>
              </w:rPr>
            </w:pPr>
            <w:r>
              <w:rPr>
                <w:rFonts w:hint="eastAsia"/>
                <w:color w:val="auto"/>
                <w:sz w:val="24"/>
              </w:rPr>
              <w:t>本项目产品为光伏管桩端板头，是一种盘状零件，主要用于衔接设备上的配件，使设备更加牢固、耐用。项目位于装备制造产业区，用地属于一类工业用地，项目建设符合园区产业定位，与周边企业环境相容，符合园区产业及用地布局。</w:t>
            </w:r>
          </w:p>
          <w:p w14:paraId="7FDCDE6B">
            <w:pPr>
              <w:numPr>
                <w:ilvl w:val="0"/>
                <w:numId w:val="2"/>
              </w:numPr>
              <w:adjustRightInd w:val="0"/>
              <w:snapToGrid w:val="0"/>
              <w:spacing w:line="360" w:lineRule="auto"/>
              <w:ind w:firstLine="480" w:firstLineChars="200"/>
              <w:rPr>
                <w:color w:val="auto"/>
                <w:sz w:val="24"/>
              </w:rPr>
            </w:pPr>
            <w:r>
              <w:rPr>
                <w:rFonts w:hint="eastAsia"/>
                <w:color w:val="auto"/>
                <w:sz w:val="24"/>
              </w:rPr>
              <w:t>与规划环评的相符性</w:t>
            </w:r>
          </w:p>
          <w:p w14:paraId="26739FDA">
            <w:pPr>
              <w:adjustRightInd w:val="0"/>
              <w:snapToGrid w:val="0"/>
              <w:spacing w:line="360" w:lineRule="auto"/>
              <w:ind w:firstLine="480"/>
              <w:rPr>
                <w:color w:val="auto"/>
              </w:rPr>
            </w:pPr>
            <w:r>
              <w:rPr>
                <w:rFonts w:hint="eastAsia"/>
                <w:color w:val="auto"/>
                <w:sz w:val="24"/>
              </w:rPr>
              <w:t>项目建设符合规划环评及其审查意见的要求，具体分析见表1</w:t>
            </w:r>
            <w:r>
              <w:rPr>
                <w:color w:val="auto"/>
                <w:sz w:val="24"/>
              </w:rPr>
              <w:t>-1</w:t>
            </w:r>
            <w:r>
              <w:rPr>
                <w:rFonts w:hint="eastAsia"/>
                <w:color w:val="auto"/>
                <w:sz w:val="24"/>
              </w:rPr>
              <w:t>。</w:t>
            </w:r>
          </w:p>
          <w:p w14:paraId="77CB327F">
            <w:pPr>
              <w:spacing w:line="360" w:lineRule="auto"/>
              <w:jc w:val="center"/>
              <w:rPr>
                <w:b/>
                <w:bCs/>
                <w:color w:val="auto"/>
                <w:szCs w:val="21"/>
              </w:rPr>
            </w:pPr>
            <w:r>
              <w:rPr>
                <w:rFonts w:hint="eastAsia"/>
                <w:b/>
                <w:bCs/>
                <w:color w:val="auto"/>
                <w:szCs w:val="21"/>
              </w:rPr>
              <w:t>表1-1  项目与园区规划环评结论及审查意见符合性分析</w:t>
            </w:r>
          </w:p>
          <w:tbl>
            <w:tblPr>
              <w:tblStyle w:val="24"/>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9"/>
              <w:gridCol w:w="4315"/>
              <w:gridCol w:w="2158"/>
              <w:gridCol w:w="556"/>
            </w:tblGrid>
            <w:tr w14:paraId="35C8F5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148" w:type="pct"/>
                  <w:gridSpan w:val="2"/>
                  <w:tcBorders>
                    <w:tl2br w:val="nil"/>
                    <w:tr2bl w:val="nil"/>
                  </w:tcBorders>
                  <w:tcMar>
                    <w:top w:w="0" w:type="dxa"/>
                    <w:left w:w="0" w:type="dxa"/>
                    <w:bottom w:w="0" w:type="dxa"/>
                    <w:right w:w="0" w:type="dxa"/>
                  </w:tcMar>
                  <w:vAlign w:val="center"/>
                </w:tcPr>
                <w:p w14:paraId="22F054D6">
                  <w:pPr>
                    <w:pStyle w:val="109"/>
                    <w:adjustRightInd w:val="0"/>
                    <w:snapToGrid w:val="0"/>
                    <w:spacing w:line="240" w:lineRule="auto"/>
                    <w:rPr>
                      <w:rFonts w:ascii="Times New Roman" w:hAnsi="Times New Roman" w:eastAsia="宋体"/>
                      <w:color w:val="auto"/>
                      <w:lang w:bidi="ar"/>
                    </w:rPr>
                  </w:pPr>
                  <w:r>
                    <w:rPr>
                      <w:rFonts w:ascii="Times New Roman" w:hAnsi="Times New Roman" w:eastAsia="宋体"/>
                      <w:color w:val="auto"/>
                      <w:lang w:bidi="ar"/>
                    </w:rPr>
                    <w:t>规划</w:t>
                  </w:r>
                  <w:r>
                    <w:rPr>
                      <w:rFonts w:hint="eastAsia" w:ascii="Times New Roman" w:hAnsi="Times New Roman" w:eastAsia="宋体"/>
                      <w:color w:val="auto"/>
                      <w:lang w:bidi="ar"/>
                    </w:rPr>
                    <w:t>环评</w:t>
                  </w:r>
                  <w:r>
                    <w:rPr>
                      <w:rFonts w:ascii="Times New Roman" w:hAnsi="Times New Roman" w:eastAsia="宋体"/>
                      <w:color w:val="auto"/>
                      <w:lang w:bidi="ar"/>
                    </w:rPr>
                    <w:t>要求</w:t>
                  </w:r>
                </w:p>
              </w:tc>
              <w:tc>
                <w:tcPr>
                  <w:tcW w:w="1472" w:type="pct"/>
                  <w:tcBorders>
                    <w:tl2br w:val="nil"/>
                    <w:tr2bl w:val="nil"/>
                  </w:tcBorders>
                  <w:tcMar>
                    <w:top w:w="0" w:type="dxa"/>
                    <w:left w:w="0" w:type="dxa"/>
                    <w:bottom w:w="0" w:type="dxa"/>
                    <w:right w:w="0" w:type="dxa"/>
                  </w:tcMar>
                  <w:vAlign w:val="center"/>
                </w:tcPr>
                <w:p w14:paraId="51C8EBF5">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本项目</w:t>
                  </w:r>
                  <w:r>
                    <w:rPr>
                      <w:rFonts w:hint="eastAsia" w:ascii="Times New Roman" w:hAnsi="Times New Roman" w:eastAsia="宋体"/>
                      <w:color w:val="auto"/>
                      <w:lang w:bidi="ar"/>
                    </w:rPr>
                    <w:t>采取措施</w:t>
                  </w:r>
                </w:p>
              </w:tc>
              <w:tc>
                <w:tcPr>
                  <w:tcW w:w="379" w:type="pct"/>
                  <w:tcBorders>
                    <w:tl2br w:val="nil"/>
                    <w:tr2bl w:val="nil"/>
                  </w:tcBorders>
                  <w:tcMar>
                    <w:top w:w="0" w:type="dxa"/>
                    <w:left w:w="0" w:type="dxa"/>
                    <w:bottom w:w="0" w:type="dxa"/>
                    <w:right w:w="0" w:type="dxa"/>
                  </w:tcMar>
                  <w:vAlign w:val="center"/>
                </w:tcPr>
                <w:p w14:paraId="7C6CC15D">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符合性分析</w:t>
                  </w:r>
                </w:p>
              </w:tc>
            </w:tr>
            <w:tr w14:paraId="4AA717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vMerge w:val="restart"/>
                  <w:tcBorders>
                    <w:tl2br w:val="nil"/>
                    <w:tr2bl w:val="nil"/>
                  </w:tcBorders>
                  <w:tcMar>
                    <w:top w:w="0" w:type="dxa"/>
                    <w:left w:w="0" w:type="dxa"/>
                    <w:bottom w:w="0" w:type="dxa"/>
                    <w:right w:w="0" w:type="dxa"/>
                  </w:tcMar>
                  <w:vAlign w:val="center"/>
                </w:tcPr>
                <w:p w14:paraId="4544669E">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水环境</w:t>
                  </w:r>
                </w:p>
              </w:tc>
              <w:tc>
                <w:tcPr>
                  <w:tcW w:w="2943" w:type="pct"/>
                  <w:tcBorders>
                    <w:tl2br w:val="nil"/>
                    <w:tr2bl w:val="nil"/>
                  </w:tcBorders>
                  <w:vAlign w:val="center"/>
                </w:tcPr>
                <w:p w14:paraId="486AEE80">
                  <w:pPr>
                    <w:pStyle w:val="109"/>
                    <w:spacing w:line="300" w:lineRule="exact"/>
                    <w:rPr>
                      <w:rFonts w:ascii="Times New Roman" w:hAnsi="Times New Roman" w:eastAsia="宋体"/>
                      <w:color w:val="auto"/>
                      <w:lang w:bidi="ar"/>
                    </w:rPr>
                  </w:pPr>
                  <w:r>
                    <w:rPr>
                      <w:rFonts w:hint="eastAsia" w:ascii="Times New Roman" w:hAnsi="Times New Roman" w:eastAsia="宋体"/>
                      <w:color w:val="auto"/>
                      <w:lang w:bidi="ar"/>
                    </w:rPr>
                    <w:t>工园区内所有工业、生活污水均纳入污水处理厂处理</w:t>
                  </w:r>
                </w:p>
              </w:tc>
              <w:tc>
                <w:tcPr>
                  <w:tcW w:w="1472" w:type="pct"/>
                  <w:tcBorders>
                    <w:tl2br w:val="nil"/>
                    <w:tr2bl w:val="nil"/>
                  </w:tcBorders>
                  <w:tcMar>
                    <w:top w:w="0" w:type="dxa"/>
                    <w:left w:w="0" w:type="dxa"/>
                    <w:bottom w:w="0" w:type="dxa"/>
                    <w:right w:w="0" w:type="dxa"/>
                  </w:tcMar>
                  <w:vAlign w:val="center"/>
                </w:tcPr>
                <w:p w14:paraId="6A641EF1">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冷却水循环利用，生活污水最终排至园区污水处理厂处理</w:t>
                  </w:r>
                </w:p>
              </w:tc>
              <w:tc>
                <w:tcPr>
                  <w:tcW w:w="379" w:type="pct"/>
                  <w:tcBorders>
                    <w:tl2br w:val="nil"/>
                    <w:tr2bl w:val="nil"/>
                  </w:tcBorders>
                  <w:tcMar>
                    <w:top w:w="0" w:type="dxa"/>
                    <w:left w:w="0" w:type="dxa"/>
                    <w:bottom w:w="0" w:type="dxa"/>
                    <w:right w:w="0" w:type="dxa"/>
                  </w:tcMar>
                  <w:vAlign w:val="center"/>
                </w:tcPr>
                <w:p w14:paraId="4BF1FF3C">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符合</w:t>
                  </w:r>
                </w:p>
              </w:tc>
            </w:tr>
            <w:tr w14:paraId="5C8657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vMerge w:val="continue"/>
                  <w:tcBorders>
                    <w:tl2br w:val="nil"/>
                    <w:tr2bl w:val="nil"/>
                  </w:tcBorders>
                  <w:tcMar>
                    <w:top w:w="0" w:type="dxa"/>
                    <w:left w:w="0" w:type="dxa"/>
                    <w:bottom w:w="0" w:type="dxa"/>
                    <w:right w:w="0" w:type="dxa"/>
                  </w:tcMar>
                  <w:vAlign w:val="center"/>
                </w:tcPr>
                <w:p w14:paraId="5FE15A8D">
                  <w:pPr>
                    <w:pStyle w:val="109"/>
                    <w:adjustRightInd w:val="0"/>
                    <w:snapToGrid w:val="0"/>
                    <w:spacing w:line="300" w:lineRule="exact"/>
                    <w:rPr>
                      <w:rFonts w:ascii="Times New Roman" w:hAnsi="Times New Roman" w:eastAsia="宋体"/>
                      <w:color w:val="auto"/>
                      <w:lang w:bidi="ar"/>
                    </w:rPr>
                  </w:pPr>
                </w:p>
              </w:tc>
              <w:tc>
                <w:tcPr>
                  <w:tcW w:w="2943" w:type="pct"/>
                  <w:tcBorders>
                    <w:tl2br w:val="nil"/>
                    <w:tr2bl w:val="nil"/>
                  </w:tcBorders>
                  <w:vAlign w:val="center"/>
                </w:tcPr>
                <w:p w14:paraId="34F5B1FC">
                  <w:pPr>
                    <w:pStyle w:val="109"/>
                    <w:spacing w:line="300" w:lineRule="exact"/>
                    <w:rPr>
                      <w:rFonts w:ascii="Times New Roman" w:hAnsi="Times New Roman" w:eastAsia="宋体"/>
                      <w:color w:val="auto"/>
                      <w:lang w:bidi="ar"/>
                    </w:rPr>
                  </w:pPr>
                  <w:r>
                    <w:rPr>
                      <w:rFonts w:hint="eastAsia" w:ascii="Times New Roman" w:hAnsi="Times New Roman" w:eastAsia="宋体"/>
                      <w:color w:val="auto"/>
                      <w:lang w:bidi="ar"/>
                    </w:rPr>
                    <w:t>鼓励企业内部中水回用、污水综合利用，使工艺用水重复利用率达到国家规定的要求；循环冷却水可以将常用的</w:t>
                  </w:r>
                  <w:r>
                    <w:rPr>
                      <w:rFonts w:ascii="Times New Roman" w:hAnsi="Times New Roman" w:eastAsia="宋体"/>
                      <w:color w:val="auto"/>
                      <w:lang w:bidi="ar"/>
                    </w:rPr>
                    <w:t>1-2倍浓缩倍数提高到3-4倍，可以减少30％-50％的冷却补充水量；蒸汽冷凝水实施回收、进行重复利用</w:t>
                  </w:r>
                </w:p>
              </w:tc>
              <w:tc>
                <w:tcPr>
                  <w:tcW w:w="1472" w:type="pct"/>
                  <w:tcBorders>
                    <w:tl2br w:val="nil"/>
                    <w:tr2bl w:val="nil"/>
                  </w:tcBorders>
                  <w:tcMar>
                    <w:top w:w="0" w:type="dxa"/>
                    <w:left w:w="0" w:type="dxa"/>
                    <w:bottom w:w="0" w:type="dxa"/>
                    <w:right w:w="0" w:type="dxa"/>
                  </w:tcMar>
                  <w:vAlign w:val="center"/>
                </w:tcPr>
                <w:p w14:paraId="30D57D60">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冷却水循环利用，不外排</w:t>
                  </w:r>
                </w:p>
              </w:tc>
              <w:tc>
                <w:tcPr>
                  <w:tcW w:w="379" w:type="pct"/>
                  <w:tcBorders>
                    <w:tl2br w:val="nil"/>
                    <w:tr2bl w:val="nil"/>
                  </w:tcBorders>
                  <w:tcMar>
                    <w:top w:w="0" w:type="dxa"/>
                    <w:left w:w="0" w:type="dxa"/>
                    <w:bottom w:w="0" w:type="dxa"/>
                    <w:right w:w="0" w:type="dxa"/>
                  </w:tcMar>
                  <w:vAlign w:val="center"/>
                </w:tcPr>
                <w:p w14:paraId="54168B87">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符合</w:t>
                  </w:r>
                </w:p>
              </w:tc>
            </w:tr>
            <w:tr w14:paraId="32ABAE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vMerge w:val="continue"/>
                  <w:tcBorders>
                    <w:tl2br w:val="nil"/>
                    <w:tr2bl w:val="nil"/>
                  </w:tcBorders>
                  <w:tcMar>
                    <w:top w:w="0" w:type="dxa"/>
                    <w:left w:w="0" w:type="dxa"/>
                    <w:bottom w:w="0" w:type="dxa"/>
                    <w:right w:w="0" w:type="dxa"/>
                  </w:tcMar>
                  <w:vAlign w:val="center"/>
                </w:tcPr>
                <w:p w14:paraId="420B0630">
                  <w:pPr>
                    <w:pStyle w:val="109"/>
                    <w:adjustRightInd w:val="0"/>
                    <w:snapToGrid w:val="0"/>
                    <w:spacing w:line="300" w:lineRule="exact"/>
                    <w:rPr>
                      <w:rFonts w:ascii="Times New Roman" w:hAnsi="Times New Roman" w:eastAsia="宋体"/>
                      <w:color w:val="auto"/>
                      <w:lang w:bidi="ar"/>
                    </w:rPr>
                  </w:pPr>
                </w:p>
              </w:tc>
              <w:tc>
                <w:tcPr>
                  <w:tcW w:w="2943" w:type="pct"/>
                  <w:tcBorders>
                    <w:tl2br w:val="nil"/>
                    <w:tr2bl w:val="nil"/>
                  </w:tcBorders>
                  <w:vAlign w:val="center"/>
                </w:tcPr>
                <w:p w14:paraId="354996D4">
                  <w:pPr>
                    <w:pStyle w:val="109"/>
                    <w:spacing w:line="300" w:lineRule="exact"/>
                    <w:rPr>
                      <w:rFonts w:ascii="Times New Roman" w:hAnsi="Times New Roman" w:eastAsia="宋体"/>
                      <w:color w:val="auto"/>
                      <w:lang w:bidi="ar"/>
                    </w:rPr>
                  </w:pPr>
                  <w:r>
                    <w:rPr>
                      <w:rFonts w:hint="eastAsia" w:ascii="Times New Roman" w:hAnsi="Times New Roman" w:eastAsia="宋体"/>
                      <w:color w:val="auto"/>
                      <w:lang w:bidi="ar"/>
                    </w:rPr>
                    <w:t>每个企业最多只设一个污水排口。污水排口必须接入污水处理厂；工业区内不设污水排放口，所有企业废水通过污水管网排入污水处理厂统一处理后达标后回用，不得自行设置排污口</w:t>
                  </w:r>
                </w:p>
              </w:tc>
              <w:tc>
                <w:tcPr>
                  <w:tcW w:w="1472" w:type="pct"/>
                  <w:tcBorders>
                    <w:tl2br w:val="nil"/>
                    <w:tr2bl w:val="nil"/>
                  </w:tcBorders>
                  <w:tcMar>
                    <w:top w:w="0" w:type="dxa"/>
                    <w:left w:w="0" w:type="dxa"/>
                    <w:bottom w:w="0" w:type="dxa"/>
                    <w:right w:w="0" w:type="dxa"/>
                  </w:tcMar>
                  <w:vAlign w:val="center"/>
                </w:tcPr>
                <w:p w14:paraId="02AD1E7E">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厂区产生的生活污水经管线排至园区污水处理厂</w:t>
                  </w:r>
                </w:p>
              </w:tc>
              <w:tc>
                <w:tcPr>
                  <w:tcW w:w="379" w:type="pct"/>
                  <w:tcBorders>
                    <w:tl2br w:val="nil"/>
                    <w:tr2bl w:val="nil"/>
                  </w:tcBorders>
                  <w:tcMar>
                    <w:top w:w="0" w:type="dxa"/>
                    <w:left w:w="0" w:type="dxa"/>
                    <w:bottom w:w="0" w:type="dxa"/>
                    <w:right w:w="0" w:type="dxa"/>
                  </w:tcMar>
                  <w:vAlign w:val="center"/>
                </w:tcPr>
                <w:p w14:paraId="4ED45DDF">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符合</w:t>
                  </w:r>
                </w:p>
              </w:tc>
            </w:tr>
            <w:tr w14:paraId="4BC6BC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vMerge w:val="continue"/>
                  <w:tcBorders>
                    <w:tl2br w:val="nil"/>
                    <w:tr2bl w:val="nil"/>
                  </w:tcBorders>
                  <w:tcMar>
                    <w:top w:w="0" w:type="dxa"/>
                    <w:left w:w="0" w:type="dxa"/>
                    <w:bottom w:w="0" w:type="dxa"/>
                    <w:right w:w="0" w:type="dxa"/>
                  </w:tcMar>
                  <w:vAlign w:val="center"/>
                </w:tcPr>
                <w:p w14:paraId="1F8273A1">
                  <w:pPr>
                    <w:pStyle w:val="109"/>
                    <w:adjustRightInd w:val="0"/>
                    <w:snapToGrid w:val="0"/>
                    <w:spacing w:line="300" w:lineRule="exact"/>
                    <w:rPr>
                      <w:rFonts w:ascii="Times New Roman" w:hAnsi="Times New Roman" w:eastAsia="宋体"/>
                      <w:color w:val="auto"/>
                      <w:lang w:bidi="ar"/>
                    </w:rPr>
                  </w:pPr>
                </w:p>
              </w:tc>
              <w:tc>
                <w:tcPr>
                  <w:tcW w:w="2943" w:type="pct"/>
                  <w:tcBorders>
                    <w:tl2br w:val="nil"/>
                    <w:tr2bl w:val="nil"/>
                  </w:tcBorders>
                  <w:vAlign w:val="center"/>
                </w:tcPr>
                <w:p w14:paraId="3A2F4410">
                  <w:pPr>
                    <w:pStyle w:val="109"/>
                    <w:spacing w:line="300" w:lineRule="exact"/>
                    <w:rPr>
                      <w:rFonts w:ascii="Times New Roman" w:hAnsi="Times New Roman" w:eastAsia="宋体"/>
                      <w:color w:val="auto"/>
                      <w:lang w:bidi="ar"/>
                    </w:rPr>
                  </w:pPr>
                  <w:r>
                    <w:rPr>
                      <w:rFonts w:hint="eastAsia" w:ascii="Times New Roman" w:hAnsi="Times New Roman" w:eastAsia="宋体"/>
                      <w:color w:val="auto"/>
                      <w:lang w:bidi="ar"/>
                    </w:rPr>
                    <w:t>在园区以及各企业实行地下水分区管理，使用及生产危险化学品企业的生产车间及装置区、原料及成品仓库、罐区、油库、危险废物暂存库、企业污水处理站等为重点防渗区；一般固废堆存库、一般生产车间及装置区等为一般防渗区，其他区域为非防渗区</w:t>
                  </w:r>
                </w:p>
              </w:tc>
              <w:tc>
                <w:tcPr>
                  <w:tcW w:w="1472" w:type="pct"/>
                  <w:tcBorders>
                    <w:tl2br w:val="nil"/>
                    <w:tr2bl w:val="nil"/>
                  </w:tcBorders>
                  <w:tcMar>
                    <w:top w:w="0" w:type="dxa"/>
                    <w:left w:w="0" w:type="dxa"/>
                    <w:bottom w:w="0" w:type="dxa"/>
                    <w:right w:w="0" w:type="dxa"/>
                  </w:tcMar>
                  <w:vAlign w:val="center"/>
                </w:tcPr>
                <w:p w14:paraId="5A68CA3F">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厂区进行了分区防渗，</w:t>
                  </w:r>
                  <w:r>
                    <w:rPr>
                      <w:rFonts w:hint="eastAsia" w:ascii="Times New Roman" w:hAnsi="Times New Roman" w:eastAsia="宋体"/>
                      <w:color w:val="auto"/>
                      <w:lang w:val="en-US" w:eastAsia="zh-CN" w:bidi="ar"/>
                    </w:rPr>
                    <w:t>危险废物暂存库</w:t>
                  </w:r>
                  <w:r>
                    <w:rPr>
                      <w:rFonts w:hint="eastAsia" w:ascii="Times New Roman" w:hAnsi="Times New Roman" w:eastAsia="宋体"/>
                      <w:color w:val="auto"/>
                      <w:lang w:bidi="ar"/>
                    </w:rPr>
                    <w:t>为重点防渗区，生活区和厂区道路为简单防渗区</w:t>
                  </w:r>
                </w:p>
              </w:tc>
              <w:tc>
                <w:tcPr>
                  <w:tcW w:w="379" w:type="pct"/>
                  <w:tcBorders>
                    <w:tl2br w:val="nil"/>
                    <w:tr2bl w:val="nil"/>
                  </w:tcBorders>
                  <w:tcMar>
                    <w:top w:w="0" w:type="dxa"/>
                    <w:left w:w="0" w:type="dxa"/>
                    <w:bottom w:w="0" w:type="dxa"/>
                    <w:right w:w="0" w:type="dxa"/>
                  </w:tcMar>
                  <w:vAlign w:val="center"/>
                </w:tcPr>
                <w:p w14:paraId="6D98998D">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符合</w:t>
                  </w:r>
                </w:p>
              </w:tc>
            </w:tr>
            <w:tr w14:paraId="41F4AF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vMerge w:val="restart"/>
                  <w:tcBorders>
                    <w:tl2br w:val="nil"/>
                    <w:tr2bl w:val="nil"/>
                  </w:tcBorders>
                  <w:tcMar>
                    <w:top w:w="0" w:type="dxa"/>
                    <w:left w:w="0" w:type="dxa"/>
                    <w:bottom w:w="0" w:type="dxa"/>
                    <w:right w:w="0" w:type="dxa"/>
                  </w:tcMar>
                  <w:vAlign w:val="center"/>
                </w:tcPr>
                <w:p w14:paraId="3388B2DF">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大气</w:t>
                  </w:r>
                </w:p>
                <w:p w14:paraId="58A90D8C">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环境</w:t>
                  </w:r>
                </w:p>
              </w:tc>
              <w:tc>
                <w:tcPr>
                  <w:tcW w:w="2943" w:type="pct"/>
                  <w:tcBorders>
                    <w:tl2br w:val="nil"/>
                    <w:tr2bl w:val="nil"/>
                  </w:tcBorders>
                  <w:vAlign w:val="center"/>
                </w:tcPr>
                <w:p w14:paraId="208D2A86">
                  <w:pPr>
                    <w:pStyle w:val="109"/>
                    <w:spacing w:line="300" w:lineRule="exact"/>
                    <w:rPr>
                      <w:rFonts w:ascii="Times New Roman" w:hAnsi="Times New Roman" w:eastAsia="宋体"/>
                      <w:color w:val="auto"/>
                      <w:highlight w:val="yellow"/>
                      <w:lang w:bidi="ar"/>
                    </w:rPr>
                  </w:pPr>
                  <w:r>
                    <w:rPr>
                      <w:rFonts w:hint="eastAsia" w:ascii="Times New Roman" w:hAnsi="Times New Roman" w:eastAsia="宋体"/>
                      <w:color w:val="auto"/>
                      <w:lang w:bidi="ar"/>
                    </w:rPr>
                    <w:t>区内实施集中供热，进驻企业生产所需的蒸汽必须由热源供给，集中供热单位及管网建成后不得自建普通蒸汽锅炉，如进区企业需自己用热和其他加热用途（如自建导热油炉或特殊蒸汽锅炉时），必须采用清洁能源如电、天然气等</w:t>
                  </w:r>
                </w:p>
              </w:tc>
              <w:tc>
                <w:tcPr>
                  <w:tcW w:w="1472" w:type="pct"/>
                  <w:tcBorders>
                    <w:tl2br w:val="nil"/>
                    <w:tr2bl w:val="nil"/>
                  </w:tcBorders>
                  <w:tcMar>
                    <w:top w:w="0" w:type="dxa"/>
                    <w:left w:w="0" w:type="dxa"/>
                    <w:bottom w:w="0" w:type="dxa"/>
                    <w:right w:w="0" w:type="dxa"/>
                  </w:tcMar>
                  <w:vAlign w:val="center"/>
                </w:tcPr>
                <w:p w14:paraId="1059648B">
                  <w:pPr>
                    <w:pStyle w:val="109"/>
                    <w:adjustRightInd w:val="0"/>
                    <w:snapToGrid w:val="0"/>
                    <w:spacing w:line="300" w:lineRule="exact"/>
                    <w:rPr>
                      <w:rFonts w:ascii="Times New Roman" w:hAnsi="Times New Roman" w:eastAsia="宋体"/>
                      <w:color w:val="auto"/>
                      <w:highlight w:val="yellow"/>
                      <w:lang w:bidi="ar"/>
                    </w:rPr>
                  </w:pPr>
                  <w:r>
                    <w:rPr>
                      <w:rFonts w:hint="eastAsia" w:ascii="Times New Roman" w:hAnsi="Times New Roman" w:eastAsia="宋体"/>
                      <w:color w:val="auto"/>
                      <w:lang w:bidi="ar"/>
                    </w:rPr>
                    <w:t>厂区不供热，园区不提供蒸汽，本项目不使用蒸汽，办公区用电采暖</w:t>
                  </w:r>
                </w:p>
              </w:tc>
              <w:tc>
                <w:tcPr>
                  <w:tcW w:w="379" w:type="pct"/>
                  <w:tcBorders>
                    <w:tl2br w:val="nil"/>
                    <w:tr2bl w:val="nil"/>
                  </w:tcBorders>
                  <w:tcMar>
                    <w:top w:w="0" w:type="dxa"/>
                    <w:left w:w="0" w:type="dxa"/>
                    <w:bottom w:w="0" w:type="dxa"/>
                    <w:right w:w="0" w:type="dxa"/>
                  </w:tcMar>
                  <w:vAlign w:val="center"/>
                </w:tcPr>
                <w:p w14:paraId="647B5336">
                  <w:pPr>
                    <w:pStyle w:val="109"/>
                    <w:adjustRightInd w:val="0"/>
                    <w:snapToGrid w:val="0"/>
                    <w:spacing w:line="300" w:lineRule="exact"/>
                    <w:rPr>
                      <w:rFonts w:ascii="Times New Roman" w:hAnsi="Times New Roman" w:eastAsia="宋体"/>
                      <w:color w:val="auto"/>
                      <w:highlight w:val="yellow"/>
                      <w:lang w:bidi="ar"/>
                    </w:rPr>
                  </w:pPr>
                  <w:r>
                    <w:rPr>
                      <w:rFonts w:hint="eastAsia" w:ascii="Times New Roman" w:hAnsi="Times New Roman" w:eastAsia="宋体"/>
                      <w:color w:val="auto"/>
                      <w:lang w:bidi="ar"/>
                    </w:rPr>
                    <w:t>符合</w:t>
                  </w:r>
                </w:p>
              </w:tc>
            </w:tr>
            <w:tr w14:paraId="2F99568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vMerge w:val="continue"/>
                  <w:tcBorders>
                    <w:tl2br w:val="nil"/>
                    <w:tr2bl w:val="nil"/>
                  </w:tcBorders>
                  <w:tcMar>
                    <w:top w:w="0" w:type="dxa"/>
                    <w:left w:w="0" w:type="dxa"/>
                    <w:bottom w:w="0" w:type="dxa"/>
                    <w:right w:w="0" w:type="dxa"/>
                  </w:tcMar>
                  <w:vAlign w:val="center"/>
                </w:tcPr>
                <w:p w14:paraId="556208FC">
                  <w:pPr>
                    <w:pStyle w:val="109"/>
                    <w:adjustRightInd w:val="0"/>
                    <w:snapToGrid w:val="0"/>
                    <w:spacing w:line="300" w:lineRule="exact"/>
                    <w:rPr>
                      <w:rFonts w:ascii="Times New Roman" w:hAnsi="Times New Roman" w:eastAsia="宋体"/>
                      <w:color w:val="auto"/>
                      <w:lang w:bidi="ar"/>
                    </w:rPr>
                  </w:pPr>
                </w:p>
              </w:tc>
              <w:tc>
                <w:tcPr>
                  <w:tcW w:w="2943" w:type="pct"/>
                  <w:tcBorders>
                    <w:tl2br w:val="nil"/>
                    <w:tr2bl w:val="nil"/>
                  </w:tcBorders>
                  <w:vAlign w:val="center"/>
                </w:tcPr>
                <w:p w14:paraId="2235C871">
                  <w:pPr>
                    <w:pStyle w:val="109"/>
                    <w:spacing w:line="300" w:lineRule="exact"/>
                    <w:rPr>
                      <w:rFonts w:ascii="Times New Roman" w:hAnsi="Times New Roman" w:eastAsia="宋体"/>
                      <w:color w:val="auto"/>
                      <w:lang w:bidi="ar"/>
                    </w:rPr>
                  </w:pPr>
                  <w:r>
                    <w:rPr>
                      <w:rFonts w:hint="eastAsia" w:ascii="Times New Roman" w:hAnsi="Times New Roman" w:eastAsia="宋体"/>
                      <w:color w:val="auto"/>
                      <w:lang w:bidi="ar"/>
                    </w:rPr>
                    <w:t>进驻企业的厂址选择，必须符合园区规划布局。针对进驻项目排放的工艺尾气情况，通过环境影响评价，合理布局和调整厂区平面布置，以便减少其对环境特别是对周边环境较为敏感的大气污染影响；入区企业凡存在有组织排放工艺尾气的，应采取治理措施，处理后的废气排放必须达到相应的国家排放标准；加强无组织废气排放的管理；进区企业排放的大气污染物，必须实现达标排放，必要时应采取治理措施，排气筒高度需满足相关标准要求</w:t>
                  </w:r>
                </w:p>
              </w:tc>
              <w:tc>
                <w:tcPr>
                  <w:tcW w:w="1472" w:type="pct"/>
                  <w:tcBorders>
                    <w:tl2br w:val="nil"/>
                    <w:tr2bl w:val="nil"/>
                  </w:tcBorders>
                  <w:tcMar>
                    <w:top w:w="0" w:type="dxa"/>
                    <w:left w:w="0" w:type="dxa"/>
                    <w:bottom w:w="0" w:type="dxa"/>
                    <w:right w:w="0" w:type="dxa"/>
                  </w:tcMar>
                  <w:vAlign w:val="center"/>
                </w:tcPr>
                <w:p w14:paraId="229B4B16">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本项目产生的各类粉尘通过布袋除尘器处理达标后排放</w:t>
                  </w:r>
                </w:p>
              </w:tc>
              <w:tc>
                <w:tcPr>
                  <w:tcW w:w="379" w:type="pct"/>
                  <w:tcBorders>
                    <w:tl2br w:val="nil"/>
                    <w:tr2bl w:val="nil"/>
                  </w:tcBorders>
                  <w:tcMar>
                    <w:top w:w="0" w:type="dxa"/>
                    <w:left w:w="0" w:type="dxa"/>
                    <w:bottom w:w="0" w:type="dxa"/>
                    <w:right w:w="0" w:type="dxa"/>
                  </w:tcMar>
                  <w:vAlign w:val="center"/>
                </w:tcPr>
                <w:p w14:paraId="7669CBCB">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符合</w:t>
                  </w:r>
                </w:p>
              </w:tc>
            </w:tr>
            <w:tr w14:paraId="2F3219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vMerge w:val="continue"/>
                  <w:tcBorders>
                    <w:tl2br w:val="nil"/>
                    <w:tr2bl w:val="nil"/>
                  </w:tcBorders>
                  <w:tcMar>
                    <w:top w:w="0" w:type="dxa"/>
                    <w:left w:w="0" w:type="dxa"/>
                    <w:bottom w:w="0" w:type="dxa"/>
                    <w:right w:w="0" w:type="dxa"/>
                  </w:tcMar>
                  <w:vAlign w:val="center"/>
                </w:tcPr>
                <w:p w14:paraId="7880F7DF">
                  <w:pPr>
                    <w:pStyle w:val="109"/>
                    <w:adjustRightInd w:val="0"/>
                    <w:snapToGrid w:val="0"/>
                    <w:spacing w:line="300" w:lineRule="exact"/>
                    <w:rPr>
                      <w:rFonts w:ascii="Times New Roman" w:hAnsi="Times New Roman" w:eastAsia="宋体"/>
                      <w:color w:val="auto"/>
                      <w:lang w:bidi="ar"/>
                    </w:rPr>
                  </w:pPr>
                </w:p>
              </w:tc>
              <w:tc>
                <w:tcPr>
                  <w:tcW w:w="2943" w:type="pct"/>
                  <w:tcBorders>
                    <w:tl2br w:val="nil"/>
                    <w:tr2bl w:val="nil"/>
                  </w:tcBorders>
                  <w:vAlign w:val="center"/>
                </w:tcPr>
                <w:p w14:paraId="0DCA1C9F">
                  <w:pPr>
                    <w:pStyle w:val="109"/>
                    <w:spacing w:line="300" w:lineRule="exact"/>
                    <w:rPr>
                      <w:rFonts w:ascii="Times New Roman" w:hAnsi="Times New Roman" w:eastAsia="宋体"/>
                      <w:color w:val="auto"/>
                      <w:lang w:bidi="ar"/>
                    </w:rPr>
                  </w:pPr>
                  <w:r>
                    <w:rPr>
                      <w:rFonts w:hint="eastAsia" w:ascii="Times New Roman" w:hAnsi="Times New Roman" w:eastAsia="宋体"/>
                      <w:color w:val="auto"/>
                      <w:lang w:bidi="ar"/>
                    </w:rPr>
                    <w:t>加强消防和风险事故防范意识，对废气处理设施定期维护和检查，制定各类风险事故应急预案，并在化工区开展经常性的演练。</w:t>
                  </w:r>
                </w:p>
              </w:tc>
              <w:tc>
                <w:tcPr>
                  <w:tcW w:w="1472" w:type="pct"/>
                  <w:tcBorders>
                    <w:tl2br w:val="nil"/>
                    <w:tr2bl w:val="nil"/>
                  </w:tcBorders>
                  <w:tcMar>
                    <w:top w:w="0" w:type="dxa"/>
                    <w:left w:w="0" w:type="dxa"/>
                    <w:bottom w:w="0" w:type="dxa"/>
                    <w:right w:w="0" w:type="dxa"/>
                  </w:tcMar>
                  <w:vAlign w:val="center"/>
                </w:tcPr>
                <w:p w14:paraId="3C9DFBAE">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建设单位编制突发环境事件应急源，并定期演练</w:t>
                  </w:r>
                </w:p>
              </w:tc>
              <w:tc>
                <w:tcPr>
                  <w:tcW w:w="379" w:type="pct"/>
                  <w:tcBorders>
                    <w:tl2br w:val="nil"/>
                    <w:tr2bl w:val="nil"/>
                  </w:tcBorders>
                  <w:tcMar>
                    <w:top w:w="0" w:type="dxa"/>
                    <w:left w:w="0" w:type="dxa"/>
                    <w:bottom w:w="0" w:type="dxa"/>
                    <w:right w:w="0" w:type="dxa"/>
                  </w:tcMar>
                  <w:vAlign w:val="center"/>
                </w:tcPr>
                <w:p w14:paraId="4D193114">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符合</w:t>
                  </w:r>
                </w:p>
              </w:tc>
            </w:tr>
            <w:tr w14:paraId="36AED6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tcBorders>
                    <w:tl2br w:val="nil"/>
                    <w:tr2bl w:val="nil"/>
                  </w:tcBorders>
                  <w:tcMar>
                    <w:top w:w="0" w:type="dxa"/>
                    <w:left w:w="0" w:type="dxa"/>
                    <w:bottom w:w="0" w:type="dxa"/>
                    <w:right w:w="0" w:type="dxa"/>
                  </w:tcMar>
                  <w:vAlign w:val="center"/>
                </w:tcPr>
                <w:p w14:paraId="2F0CA085">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噪声</w:t>
                  </w:r>
                </w:p>
              </w:tc>
              <w:tc>
                <w:tcPr>
                  <w:tcW w:w="2943" w:type="pct"/>
                  <w:tcBorders>
                    <w:tl2br w:val="nil"/>
                    <w:tr2bl w:val="nil"/>
                  </w:tcBorders>
                  <w:vAlign w:val="center"/>
                </w:tcPr>
                <w:p w14:paraId="71E79F8E">
                  <w:pPr>
                    <w:pStyle w:val="109"/>
                    <w:spacing w:line="300" w:lineRule="exact"/>
                    <w:rPr>
                      <w:rFonts w:ascii="Times New Roman" w:hAnsi="Times New Roman" w:eastAsia="宋体"/>
                      <w:color w:val="auto"/>
                      <w:lang w:bidi="ar"/>
                    </w:rPr>
                  </w:pPr>
                  <w:r>
                    <w:rPr>
                      <w:rFonts w:hint="eastAsia" w:ascii="Times New Roman" w:hAnsi="Times New Roman" w:eastAsia="宋体"/>
                      <w:color w:val="auto"/>
                      <w:lang w:bidi="ar"/>
                    </w:rPr>
                    <w:t>进区项目必须确保厂界噪声达标。对各种工业噪声源分别采用隔声、吸声和消声等措施，必要时应增加设置隔声罩、隔声屏障等措施，降低噪声源强，减少对周围环境的影响；各项目的总平面布置上应充分考虑高噪声设备的安装位置，将其布置在远离厂界处，以保证厂界噪声达标；加强厂区绿化，特别在有高噪声设备处和厂界之间设置绿化带，利用树木的吸声、消声作用减小对厂界的噪声影响</w:t>
                  </w:r>
                </w:p>
              </w:tc>
              <w:tc>
                <w:tcPr>
                  <w:tcW w:w="1472" w:type="pct"/>
                  <w:tcBorders>
                    <w:tl2br w:val="nil"/>
                    <w:tr2bl w:val="nil"/>
                  </w:tcBorders>
                  <w:tcMar>
                    <w:top w:w="0" w:type="dxa"/>
                    <w:left w:w="0" w:type="dxa"/>
                    <w:bottom w:w="0" w:type="dxa"/>
                    <w:right w:w="0" w:type="dxa"/>
                  </w:tcMar>
                  <w:vAlign w:val="center"/>
                </w:tcPr>
                <w:p w14:paraId="1B931AAC">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厂界噪声可以实现达标排放，总平面布置上将高噪声设备置于厂房内，选用低噪声设备、基础减振；厂区内进行了绿化，利用树木的吸声、消声作用减少了对厂界的噪声影响</w:t>
                  </w:r>
                </w:p>
              </w:tc>
              <w:tc>
                <w:tcPr>
                  <w:tcW w:w="379" w:type="pct"/>
                  <w:tcBorders>
                    <w:tl2br w:val="nil"/>
                    <w:tr2bl w:val="nil"/>
                  </w:tcBorders>
                  <w:tcMar>
                    <w:top w:w="0" w:type="dxa"/>
                    <w:left w:w="0" w:type="dxa"/>
                    <w:bottom w:w="0" w:type="dxa"/>
                    <w:right w:w="0" w:type="dxa"/>
                  </w:tcMar>
                  <w:vAlign w:val="center"/>
                </w:tcPr>
                <w:p w14:paraId="77275BB9">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符合</w:t>
                  </w:r>
                </w:p>
              </w:tc>
            </w:tr>
            <w:tr w14:paraId="30973B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tcBorders>
                    <w:tl2br w:val="nil"/>
                    <w:tr2bl w:val="nil"/>
                  </w:tcBorders>
                  <w:tcMar>
                    <w:top w:w="0" w:type="dxa"/>
                    <w:left w:w="0" w:type="dxa"/>
                    <w:bottom w:w="0" w:type="dxa"/>
                    <w:right w:w="0" w:type="dxa"/>
                  </w:tcMar>
                  <w:vAlign w:val="center"/>
                </w:tcPr>
                <w:p w14:paraId="0966EE7B">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固体废物</w:t>
                  </w:r>
                </w:p>
              </w:tc>
              <w:tc>
                <w:tcPr>
                  <w:tcW w:w="2943" w:type="pct"/>
                  <w:tcBorders>
                    <w:tl2br w:val="nil"/>
                    <w:tr2bl w:val="nil"/>
                  </w:tcBorders>
                  <w:vAlign w:val="center"/>
                </w:tcPr>
                <w:p w14:paraId="10C2E7D0">
                  <w:pPr>
                    <w:pStyle w:val="109"/>
                    <w:spacing w:line="300" w:lineRule="exact"/>
                    <w:rPr>
                      <w:rFonts w:ascii="Times New Roman" w:hAnsi="Times New Roman" w:eastAsia="宋体"/>
                      <w:color w:val="auto"/>
                      <w:lang w:bidi="ar"/>
                    </w:rPr>
                  </w:pPr>
                  <w:r>
                    <w:rPr>
                      <w:rFonts w:hint="eastAsia" w:ascii="Times New Roman" w:hAnsi="Times New Roman" w:eastAsia="宋体"/>
                      <w:color w:val="auto"/>
                      <w:lang w:bidi="ar"/>
                    </w:rPr>
                    <w:t>一般废物中燃煤灰渣占主要部分，考虑进行综合利用，托克逊规划建设新型建材产业园，主要是利用粉煤灰、灰渣等进行生产建材；其他垃圾考虑送县垃圾填埋场处置。</w:t>
                  </w:r>
                </w:p>
              </w:tc>
              <w:tc>
                <w:tcPr>
                  <w:tcW w:w="1472" w:type="pct"/>
                  <w:tcBorders>
                    <w:tl2br w:val="nil"/>
                    <w:tr2bl w:val="nil"/>
                  </w:tcBorders>
                  <w:tcMar>
                    <w:top w:w="0" w:type="dxa"/>
                    <w:left w:w="0" w:type="dxa"/>
                    <w:bottom w:w="0" w:type="dxa"/>
                    <w:right w:w="0" w:type="dxa"/>
                  </w:tcMar>
                  <w:vAlign w:val="center"/>
                </w:tcPr>
                <w:p w14:paraId="0BD32E73">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一般固体废物</w:t>
                  </w:r>
                  <w:r>
                    <w:rPr>
                      <w:rFonts w:hint="eastAsia"/>
                      <w:color w:val="auto"/>
                    </w:rPr>
                    <w:t>：炉渣、废边角料、残次品及除尘灰收集后回用；废金属模具厂家回收，以旧换新；脱模剂外包装交由废品回收站处理；危险废物：废机油、废乳化液、废液压油按危废贮存要求存放，委托具有相应资质单位处置；</w:t>
                  </w:r>
                  <w:r>
                    <w:rPr>
                      <w:rFonts w:hint="eastAsia" w:ascii="Times New Roman" w:hAnsi="Times New Roman" w:eastAsia="宋体"/>
                      <w:color w:val="auto"/>
                      <w:lang w:bidi="ar"/>
                    </w:rPr>
                    <w:t>生活垃圾集中收集后送至托克逊县生活垃圾填埋场处理</w:t>
                  </w:r>
                </w:p>
              </w:tc>
              <w:tc>
                <w:tcPr>
                  <w:tcW w:w="379" w:type="pct"/>
                  <w:tcBorders>
                    <w:tl2br w:val="nil"/>
                    <w:tr2bl w:val="nil"/>
                  </w:tcBorders>
                  <w:tcMar>
                    <w:top w:w="0" w:type="dxa"/>
                    <w:left w:w="0" w:type="dxa"/>
                    <w:bottom w:w="0" w:type="dxa"/>
                    <w:right w:w="0" w:type="dxa"/>
                  </w:tcMar>
                  <w:vAlign w:val="center"/>
                </w:tcPr>
                <w:p w14:paraId="66BB22D8">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符合</w:t>
                  </w:r>
                </w:p>
              </w:tc>
            </w:tr>
            <w:tr w14:paraId="507B32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148" w:type="pct"/>
                  <w:gridSpan w:val="2"/>
                  <w:tcBorders>
                    <w:tl2br w:val="nil"/>
                    <w:tr2bl w:val="nil"/>
                  </w:tcBorders>
                  <w:tcMar>
                    <w:top w:w="0" w:type="dxa"/>
                    <w:left w:w="0" w:type="dxa"/>
                    <w:bottom w:w="0" w:type="dxa"/>
                    <w:right w:w="0" w:type="dxa"/>
                  </w:tcMar>
                  <w:vAlign w:val="center"/>
                </w:tcPr>
                <w:p w14:paraId="35D589F7">
                  <w:pPr>
                    <w:pStyle w:val="109"/>
                    <w:spacing w:line="300" w:lineRule="exact"/>
                    <w:rPr>
                      <w:rFonts w:ascii="Times New Roman" w:hAnsi="Times New Roman" w:eastAsia="宋体"/>
                      <w:color w:val="auto"/>
                      <w:lang w:bidi="ar"/>
                    </w:rPr>
                  </w:pPr>
                  <w:r>
                    <w:rPr>
                      <w:rFonts w:hint="eastAsia" w:ascii="Times New Roman" w:hAnsi="Times New Roman" w:eastAsia="宋体"/>
                      <w:color w:val="auto"/>
                      <w:lang w:bidi="ar"/>
                    </w:rPr>
                    <w:t>规划环评审查意见要求</w:t>
                  </w:r>
                </w:p>
              </w:tc>
              <w:tc>
                <w:tcPr>
                  <w:tcW w:w="1472" w:type="pct"/>
                  <w:tcBorders>
                    <w:tl2br w:val="nil"/>
                    <w:tr2bl w:val="nil"/>
                  </w:tcBorders>
                  <w:tcMar>
                    <w:top w:w="0" w:type="dxa"/>
                    <w:left w:w="0" w:type="dxa"/>
                    <w:bottom w:w="0" w:type="dxa"/>
                    <w:right w:w="0" w:type="dxa"/>
                  </w:tcMar>
                  <w:vAlign w:val="center"/>
                </w:tcPr>
                <w:p w14:paraId="19834CC7">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本项目情况</w:t>
                  </w:r>
                </w:p>
              </w:tc>
              <w:tc>
                <w:tcPr>
                  <w:tcW w:w="379" w:type="pct"/>
                  <w:tcBorders>
                    <w:tl2br w:val="nil"/>
                    <w:tr2bl w:val="nil"/>
                  </w:tcBorders>
                  <w:tcMar>
                    <w:top w:w="0" w:type="dxa"/>
                    <w:left w:w="0" w:type="dxa"/>
                    <w:bottom w:w="0" w:type="dxa"/>
                    <w:right w:w="0" w:type="dxa"/>
                  </w:tcMar>
                  <w:vAlign w:val="center"/>
                </w:tcPr>
                <w:p w14:paraId="1AB111A5">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符合性分析</w:t>
                  </w:r>
                </w:p>
              </w:tc>
            </w:tr>
            <w:tr w14:paraId="455E5C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148" w:type="pct"/>
                  <w:gridSpan w:val="2"/>
                  <w:tcBorders>
                    <w:tl2br w:val="nil"/>
                    <w:tr2bl w:val="nil"/>
                  </w:tcBorders>
                  <w:tcMar>
                    <w:top w:w="0" w:type="dxa"/>
                    <w:left w:w="0" w:type="dxa"/>
                    <w:bottom w:w="0" w:type="dxa"/>
                    <w:right w:w="0" w:type="dxa"/>
                  </w:tcMar>
                  <w:vAlign w:val="center"/>
                </w:tcPr>
                <w:p w14:paraId="323092F9">
                  <w:pPr>
                    <w:pStyle w:val="109"/>
                    <w:spacing w:line="300" w:lineRule="exact"/>
                    <w:rPr>
                      <w:rFonts w:ascii="Times New Roman" w:hAnsi="Times New Roman" w:eastAsia="宋体"/>
                      <w:color w:val="auto"/>
                      <w:lang w:bidi="ar"/>
                    </w:rPr>
                  </w:pPr>
                  <w:r>
                    <w:rPr>
                      <w:rFonts w:ascii="Times New Roman" w:hAnsi="Times New Roman" w:eastAsia="宋体"/>
                      <w:color w:val="auto"/>
                      <w:lang w:bidi="ar"/>
                    </w:rPr>
                    <w:t>坚守环境质量底线，根据规划</w:t>
                  </w:r>
                  <w:r>
                    <w:rPr>
                      <w:rFonts w:hint="eastAsia" w:ascii="Times New Roman" w:hAnsi="Times New Roman" w:eastAsia="宋体"/>
                      <w:color w:val="auto"/>
                      <w:lang w:bidi="ar"/>
                    </w:rPr>
                    <w:t>区域及周边环境质量现状和目标，确定区域污染物排放总量上限。落实园区煤炭及其他颗粒状物料储运全封闭防尘措施，采取有效措施减少二氧化硫、氮氧化物、挥发性有机物、颗粒物、化学需氧量、氨氦、铅等污染物的排放量，确保实现区域环境质量改善目标。强化园区内挥发性有机物、铅和恶臭污染物等有毒有害废气防治，推进工艺技术和污染治理技术改造，各类大气污染物排放须满足国家和自治区最新污染物排放标准要求</w:t>
                  </w:r>
                </w:p>
              </w:tc>
              <w:tc>
                <w:tcPr>
                  <w:tcW w:w="1472" w:type="pct"/>
                  <w:tcBorders>
                    <w:tl2br w:val="nil"/>
                    <w:tr2bl w:val="nil"/>
                  </w:tcBorders>
                  <w:tcMar>
                    <w:top w:w="0" w:type="dxa"/>
                    <w:left w:w="0" w:type="dxa"/>
                    <w:bottom w:w="0" w:type="dxa"/>
                    <w:right w:w="0" w:type="dxa"/>
                  </w:tcMar>
                  <w:vAlign w:val="center"/>
                </w:tcPr>
                <w:p w14:paraId="14AF64F6">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本项目所用原材料储存在封闭厂房内，本项目产生的颗粒物采取了相应的污染防治设，产生的废气均可实现达标排放</w:t>
                  </w:r>
                </w:p>
              </w:tc>
              <w:tc>
                <w:tcPr>
                  <w:tcW w:w="379" w:type="pct"/>
                  <w:tcBorders>
                    <w:tl2br w:val="nil"/>
                    <w:tr2bl w:val="nil"/>
                  </w:tcBorders>
                  <w:tcMar>
                    <w:top w:w="0" w:type="dxa"/>
                    <w:left w:w="0" w:type="dxa"/>
                    <w:bottom w:w="0" w:type="dxa"/>
                    <w:right w:w="0" w:type="dxa"/>
                  </w:tcMar>
                  <w:vAlign w:val="center"/>
                </w:tcPr>
                <w:p w14:paraId="4C8065B0">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符合</w:t>
                  </w:r>
                </w:p>
              </w:tc>
            </w:tr>
            <w:tr w14:paraId="0D869A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148" w:type="pct"/>
                  <w:gridSpan w:val="2"/>
                  <w:tcBorders>
                    <w:tl2br w:val="nil"/>
                    <w:tr2bl w:val="nil"/>
                  </w:tcBorders>
                  <w:tcMar>
                    <w:top w:w="0" w:type="dxa"/>
                    <w:left w:w="0" w:type="dxa"/>
                    <w:bottom w:w="0" w:type="dxa"/>
                    <w:right w:w="0" w:type="dxa"/>
                  </w:tcMar>
                  <w:vAlign w:val="center"/>
                </w:tcPr>
                <w:p w14:paraId="1F3F2006">
                  <w:pPr>
                    <w:pStyle w:val="109"/>
                    <w:spacing w:line="300" w:lineRule="exact"/>
                    <w:rPr>
                      <w:rFonts w:ascii="Times New Roman" w:hAnsi="Times New Roman" w:eastAsia="宋体"/>
                      <w:color w:val="auto"/>
                      <w:lang w:bidi="ar"/>
                    </w:rPr>
                  </w:pPr>
                  <w:r>
                    <w:rPr>
                      <w:rFonts w:ascii="Times New Roman" w:hAnsi="Times New Roman" w:eastAsia="宋体"/>
                      <w:color w:val="auto"/>
                      <w:lang w:bidi="ar"/>
                    </w:rPr>
                    <w:t>完善园区污水处理、固废集中处置(理)、集中供热等</w:t>
                  </w:r>
                  <w:r>
                    <w:rPr>
                      <w:rFonts w:hint="eastAsia" w:ascii="Times New Roman" w:hAnsi="Times New Roman" w:eastAsia="宋体"/>
                      <w:color w:val="auto"/>
                      <w:lang w:bidi="ar"/>
                    </w:rPr>
                    <w:t>环境基础设施。按照“雨污分流”、“清污分流”、“污污分治”原则规划、设计和建设园区排水系统、废</w:t>
                  </w:r>
                  <w:r>
                    <w:rPr>
                      <w:rFonts w:ascii="Times New Roman" w:hAnsi="Times New Roman" w:eastAsia="宋体"/>
                      <w:color w:val="auto"/>
                      <w:lang w:bidi="ar"/>
                    </w:rPr>
                    <w:t>(污)水处理系统和中水</w:t>
                  </w:r>
                  <w:r>
                    <w:rPr>
                      <w:rFonts w:hint="eastAsia" w:ascii="Times New Roman" w:hAnsi="Times New Roman" w:eastAsia="宋体"/>
                      <w:color w:val="auto"/>
                      <w:lang w:bidi="ar"/>
                    </w:rPr>
                    <w:t>回用系统，逐步建成完整的排水和中水回用体系。加快集中供热设施建设，依法淘汰取缔不符合环保准入条件的小型燃煤锅炉。制定切实可行的一般固体废弃物综合利用方案，配套建设工业固废处置场</w:t>
                  </w:r>
                  <w:r>
                    <w:rPr>
                      <w:rFonts w:ascii="Times New Roman" w:hAnsi="Times New Roman" w:eastAsia="宋体"/>
                      <w:color w:val="auto"/>
                      <w:lang w:bidi="ar"/>
                    </w:rPr>
                    <w:t>;严格按照国家有关规定进行危险废物贮存、处置和处</w:t>
                  </w:r>
                  <w:r>
                    <w:rPr>
                      <w:rFonts w:hint="eastAsia" w:ascii="Times New Roman" w:hAnsi="Times New Roman" w:eastAsia="宋体"/>
                      <w:color w:val="auto"/>
                      <w:lang w:bidi="ar"/>
                    </w:rPr>
                    <w:t>理。园区污水处理、固废集中处置</w:t>
                  </w:r>
                  <w:r>
                    <w:rPr>
                      <w:rFonts w:ascii="Times New Roman" w:hAnsi="Times New Roman" w:eastAsia="宋体"/>
                      <w:color w:val="auto"/>
                      <w:lang w:bidi="ar"/>
                    </w:rPr>
                    <w:t>(理)、集中供热站等环境基础</w:t>
                  </w:r>
                  <w:r>
                    <w:rPr>
                      <w:rFonts w:hint="eastAsia" w:ascii="Times New Roman" w:hAnsi="Times New Roman" w:eastAsia="宋体"/>
                      <w:color w:val="auto"/>
                      <w:lang w:bidi="ar"/>
                    </w:rPr>
                    <w:t>设施须在企业入园前建设完成。</w:t>
                  </w:r>
                </w:p>
              </w:tc>
              <w:tc>
                <w:tcPr>
                  <w:tcW w:w="1472" w:type="pct"/>
                  <w:tcBorders>
                    <w:tl2br w:val="nil"/>
                    <w:tr2bl w:val="nil"/>
                  </w:tcBorders>
                  <w:tcMar>
                    <w:top w:w="0" w:type="dxa"/>
                    <w:left w:w="0" w:type="dxa"/>
                    <w:bottom w:w="0" w:type="dxa"/>
                    <w:right w:w="0" w:type="dxa"/>
                  </w:tcMar>
                  <w:vAlign w:val="center"/>
                </w:tcPr>
                <w:p w14:paraId="7C157FD9">
                  <w:pPr>
                    <w:pStyle w:val="109"/>
                    <w:adjustRightInd w:val="0"/>
                    <w:snapToGrid w:val="0"/>
                    <w:spacing w:line="300" w:lineRule="exact"/>
                    <w:rPr>
                      <w:rFonts w:ascii="Times New Roman" w:hAnsi="Times New Roman"/>
                      <w:color w:val="auto"/>
                      <w:lang w:bidi="ar"/>
                    </w:rPr>
                  </w:pPr>
                  <w:r>
                    <w:rPr>
                      <w:rFonts w:hint="eastAsia" w:ascii="Times New Roman" w:hAnsi="Times New Roman" w:eastAsia="宋体"/>
                      <w:color w:val="auto"/>
                      <w:lang w:bidi="ar"/>
                    </w:rPr>
                    <w:t>生活污水排至园区污水处理厂处理；一般固体废物</w:t>
                  </w:r>
                  <w:r>
                    <w:rPr>
                      <w:rFonts w:hint="eastAsia"/>
                      <w:color w:val="auto"/>
                    </w:rPr>
                    <w:t>：炉渣、废边角料、残次品及除尘灰收集后回用；废金属模具厂家回收，以旧换新；脱模剂外包装交由废品回收站处理；危险废物：废机油、废乳化液、废液压油按危废贮存要求存放，委托具有相应资质单位处置；</w:t>
                  </w:r>
                  <w:r>
                    <w:rPr>
                      <w:rFonts w:hint="eastAsia" w:ascii="Times New Roman" w:hAnsi="Times New Roman" w:eastAsia="宋体"/>
                      <w:color w:val="auto"/>
                      <w:lang w:bidi="ar"/>
                    </w:rPr>
                    <w:t>生活垃圾集中收集后送至托克逊县生活垃圾填埋场处理</w:t>
                  </w:r>
                </w:p>
              </w:tc>
              <w:tc>
                <w:tcPr>
                  <w:tcW w:w="379" w:type="pct"/>
                  <w:tcBorders>
                    <w:tl2br w:val="nil"/>
                    <w:tr2bl w:val="nil"/>
                  </w:tcBorders>
                  <w:tcMar>
                    <w:top w:w="0" w:type="dxa"/>
                    <w:left w:w="0" w:type="dxa"/>
                    <w:bottom w:w="0" w:type="dxa"/>
                    <w:right w:w="0" w:type="dxa"/>
                  </w:tcMar>
                  <w:vAlign w:val="center"/>
                </w:tcPr>
                <w:p w14:paraId="6FBEEE66">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符合</w:t>
                  </w:r>
                </w:p>
              </w:tc>
            </w:tr>
            <w:tr w14:paraId="50EFC3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148" w:type="pct"/>
                  <w:gridSpan w:val="2"/>
                  <w:tcBorders>
                    <w:tl2br w:val="nil"/>
                    <w:tr2bl w:val="nil"/>
                  </w:tcBorders>
                  <w:tcMar>
                    <w:top w:w="0" w:type="dxa"/>
                    <w:left w:w="0" w:type="dxa"/>
                    <w:bottom w:w="0" w:type="dxa"/>
                    <w:right w:w="0" w:type="dxa"/>
                  </w:tcMar>
                  <w:vAlign w:val="center"/>
                </w:tcPr>
                <w:p w14:paraId="36BEE7C8">
                  <w:pPr>
                    <w:pStyle w:val="109"/>
                    <w:spacing w:line="300" w:lineRule="exact"/>
                    <w:rPr>
                      <w:rFonts w:ascii="Times New Roman" w:hAnsi="Times New Roman" w:eastAsia="宋体"/>
                      <w:color w:val="auto"/>
                      <w:lang w:bidi="ar"/>
                    </w:rPr>
                  </w:pPr>
                  <w:r>
                    <w:rPr>
                      <w:rFonts w:ascii="Times New Roman" w:hAnsi="Times New Roman" w:eastAsia="宋体"/>
                      <w:color w:val="auto"/>
                      <w:lang w:bidi="ar"/>
                    </w:rPr>
                    <w:t>实施清洁生产，提高资源综合利用水平。引进项目的</w:t>
                  </w:r>
                  <w:r>
                    <w:rPr>
                      <w:rFonts w:hint="eastAsia" w:ascii="Times New Roman" w:hAnsi="Times New Roman" w:eastAsia="宋体"/>
                      <w:color w:val="auto"/>
                      <w:lang w:bidi="ar"/>
                    </w:rPr>
                    <w:t>生产工艺、设备、污染治理技术，以及单位产品能耗、物耗、污染物排放和资源利用率均应达到同行业国际国内先进水平</w:t>
                  </w:r>
                </w:p>
              </w:tc>
              <w:tc>
                <w:tcPr>
                  <w:tcW w:w="1472" w:type="pct"/>
                  <w:tcBorders>
                    <w:tl2br w:val="nil"/>
                    <w:tr2bl w:val="nil"/>
                  </w:tcBorders>
                  <w:tcMar>
                    <w:top w:w="0" w:type="dxa"/>
                    <w:left w:w="0" w:type="dxa"/>
                    <w:bottom w:w="0" w:type="dxa"/>
                    <w:right w:w="0" w:type="dxa"/>
                  </w:tcMar>
                  <w:vAlign w:val="center"/>
                </w:tcPr>
                <w:p w14:paraId="43FA0DED">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val="en-US" w:eastAsia="zh-CN" w:bidi="ar"/>
                    </w:rPr>
                    <w:t>项目</w:t>
                  </w:r>
                  <w:r>
                    <w:rPr>
                      <w:rFonts w:hint="eastAsia" w:ascii="Times New Roman" w:hAnsi="Times New Roman" w:eastAsia="宋体"/>
                      <w:color w:val="auto"/>
                      <w:lang w:bidi="ar"/>
                    </w:rPr>
                    <w:t>清洁生产水平达到国内先进水平采用的生产工艺、设备。污染治理技术、单位产品能耗、物耗、污染物排放和资源利用效率均达到国内先进水平</w:t>
                  </w:r>
                </w:p>
              </w:tc>
              <w:tc>
                <w:tcPr>
                  <w:tcW w:w="379" w:type="pct"/>
                  <w:tcBorders>
                    <w:tl2br w:val="nil"/>
                    <w:tr2bl w:val="nil"/>
                  </w:tcBorders>
                  <w:tcMar>
                    <w:top w:w="0" w:type="dxa"/>
                    <w:left w:w="0" w:type="dxa"/>
                    <w:bottom w:w="0" w:type="dxa"/>
                    <w:right w:w="0" w:type="dxa"/>
                  </w:tcMar>
                  <w:vAlign w:val="center"/>
                </w:tcPr>
                <w:p w14:paraId="39D10AA4">
                  <w:pPr>
                    <w:pStyle w:val="109"/>
                    <w:adjustRightInd w:val="0"/>
                    <w:snapToGrid w:val="0"/>
                    <w:spacing w:line="300" w:lineRule="exact"/>
                    <w:rPr>
                      <w:rFonts w:ascii="Times New Roman" w:hAnsi="Times New Roman" w:eastAsia="宋体"/>
                      <w:color w:val="auto"/>
                      <w:lang w:bidi="ar"/>
                    </w:rPr>
                  </w:pPr>
                  <w:r>
                    <w:rPr>
                      <w:rFonts w:hint="eastAsia" w:ascii="Times New Roman" w:hAnsi="Times New Roman" w:eastAsia="宋体"/>
                      <w:color w:val="auto"/>
                      <w:lang w:bidi="ar"/>
                    </w:rPr>
                    <w:t>符合</w:t>
                  </w:r>
                </w:p>
              </w:tc>
            </w:tr>
          </w:tbl>
          <w:p w14:paraId="0379C4B5">
            <w:pPr>
              <w:autoSpaceDE w:val="0"/>
              <w:autoSpaceDN w:val="0"/>
              <w:adjustRightInd w:val="0"/>
              <w:snapToGrid w:val="0"/>
              <w:spacing w:line="360" w:lineRule="auto"/>
              <w:ind w:firstLine="480" w:firstLineChars="200"/>
              <w:rPr>
                <w:color w:val="auto"/>
                <w:sz w:val="24"/>
              </w:rPr>
            </w:pPr>
            <w:r>
              <w:rPr>
                <w:rFonts w:hint="eastAsia"/>
                <w:color w:val="auto"/>
                <w:sz w:val="24"/>
              </w:rPr>
              <w:t>综上所述，本项目符合托克逊能源重化工工业园产业定位，与托克逊能源重化工工业园规划环评及审查意见相符。</w:t>
            </w:r>
          </w:p>
        </w:tc>
      </w:tr>
      <w:tr w14:paraId="4E094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26" w:type="dxa"/>
            <w:vAlign w:val="center"/>
          </w:tcPr>
          <w:p w14:paraId="34EE70ED">
            <w:pPr>
              <w:autoSpaceDE w:val="0"/>
              <w:autoSpaceDN w:val="0"/>
              <w:adjustRightInd w:val="0"/>
              <w:snapToGrid w:val="0"/>
              <w:jc w:val="center"/>
              <w:rPr>
                <w:rFonts w:cs="宋体"/>
                <w:color w:val="auto"/>
                <w:kern w:val="0"/>
                <w:sz w:val="24"/>
              </w:rPr>
            </w:pPr>
            <w:r>
              <w:rPr>
                <w:rFonts w:hint="eastAsia" w:cs="宋体"/>
                <w:color w:val="auto"/>
                <w:kern w:val="0"/>
                <w:sz w:val="24"/>
              </w:rPr>
              <w:t>其他符合性分析</w:t>
            </w:r>
          </w:p>
        </w:tc>
        <w:tc>
          <w:tcPr>
            <w:tcW w:w="7544" w:type="dxa"/>
            <w:gridSpan w:val="3"/>
            <w:vAlign w:val="center"/>
          </w:tcPr>
          <w:p w14:paraId="3C7758F6">
            <w:pPr>
              <w:adjustRightInd w:val="0"/>
              <w:snapToGrid w:val="0"/>
              <w:spacing w:line="360" w:lineRule="auto"/>
              <w:ind w:firstLine="482" w:firstLineChars="200"/>
              <w:rPr>
                <w:b/>
                <w:bCs/>
                <w:color w:val="auto"/>
                <w:sz w:val="24"/>
              </w:rPr>
            </w:pPr>
            <w:r>
              <w:rPr>
                <w:b/>
                <w:bCs/>
                <w:color w:val="auto"/>
                <w:sz w:val="24"/>
              </w:rPr>
              <w:t>1、产业政策合理性分析</w:t>
            </w:r>
          </w:p>
          <w:p w14:paraId="4B1E6231">
            <w:pPr>
              <w:autoSpaceDE w:val="0"/>
              <w:autoSpaceDN w:val="0"/>
              <w:adjustRightInd w:val="0"/>
              <w:snapToGrid w:val="0"/>
              <w:spacing w:line="360" w:lineRule="auto"/>
              <w:ind w:firstLine="480" w:firstLineChars="200"/>
              <w:rPr>
                <w:rFonts w:hint="eastAsia" w:eastAsia="宋体"/>
                <w:color w:val="auto"/>
                <w:kern w:val="0"/>
                <w:sz w:val="24"/>
                <w:lang w:val="en-US" w:eastAsia="zh-CN"/>
              </w:rPr>
            </w:pPr>
            <w:r>
              <w:rPr>
                <w:rFonts w:hint="eastAsia"/>
                <w:color w:val="auto"/>
                <w:kern w:val="0"/>
                <w:sz w:val="24"/>
              </w:rPr>
              <w:t>根据中华人民共和国国家发展和改革委员会2023年12月27日发布的 《产业结构调整指导目录（2024年本）</w:t>
            </w:r>
            <w:r>
              <w:rPr>
                <w:rFonts w:hint="eastAsia"/>
                <w:color w:val="auto"/>
                <w:kern w:val="0"/>
                <w:sz w:val="24"/>
                <w:lang w:eastAsia="zh-CN"/>
              </w:rPr>
              <w:t>》：</w:t>
            </w:r>
            <w:r>
              <w:rPr>
                <w:rFonts w:hint="eastAsia"/>
                <w:color w:val="auto"/>
                <w:kern w:val="0"/>
                <w:sz w:val="24"/>
              </w:rPr>
              <w:t>本项目</w:t>
            </w:r>
            <w:r>
              <w:rPr>
                <w:rFonts w:hint="eastAsia"/>
                <w:color w:val="auto"/>
                <w:kern w:val="0"/>
                <w:sz w:val="24"/>
                <w:lang w:val="en-US" w:eastAsia="zh-CN"/>
              </w:rPr>
              <w:t>所属的</w:t>
            </w:r>
            <w:r>
              <w:rPr>
                <w:rFonts w:hint="eastAsia"/>
                <w:color w:val="auto"/>
                <w:kern w:val="0"/>
                <w:sz w:val="24"/>
              </w:rPr>
              <w:t>金属制品制造行业，不属于鼓励类、限制类和淘汰类建设项目</w:t>
            </w:r>
            <w:r>
              <w:rPr>
                <w:rFonts w:hint="eastAsia"/>
                <w:color w:val="auto"/>
                <w:kern w:val="0"/>
                <w:sz w:val="24"/>
                <w:lang w:eastAsia="zh-CN"/>
              </w:rPr>
              <w:t>，</w:t>
            </w:r>
            <w:r>
              <w:rPr>
                <w:rFonts w:hint="eastAsia"/>
                <w:color w:val="auto"/>
                <w:kern w:val="0"/>
                <w:sz w:val="24"/>
              </w:rPr>
              <w:t>根据国务院关于发布实施《促进产业结构调整暂行规定》的决定第三章产业结构调整指导目录第十三条“不属于鼓励类、限制类 和淘汰类，且符合国家有关法律、法规和政策规定的，视为允许类”</w:t>
            </w:r>
            <w:r>
              <w:rPr>
                <w:rFonts w:hint="eastAsia"/>
                <w:color w:val="auto"/>
                <w:kern w:val="0"/>
                <w:sz w:val="24"/>
                <w:lang w:eastAsia="zh-CN"/>
              </w:rPr>
              <w:t>；</w:t>
            </w:r>
            <w:r>
              <w:rPr>
                <w:rFonts w:hint="eastAsia"/>
                <w:color w:val="auto"/>
                <w:kern w:val="0"/>
                <w:sz w:val="24"/>
              </w:rPr>
              <w:t>本项目</w:t>
            </w:r>
            <w:r>
              <w:rPr>
                <w:rFonts w:hint="eastAsia"/>
                <w:color w:val="auto"/>
                <w:kern w:val="0"/>
                <w:sz w:val="24"/>
                <w:lang w:val="en-US" w:eastAsia="zh-CN"/>
              </w:rPr>
              <w:t>所属的</w:t>
            </w:r>
            <w:r>
              <w:rPr>
                <w:rFonts w:hint="eastAsia"/>
                <w:color w:val="auto"/>
                <w:kern w:val="0"/>
                <w:sz w:val="24"/>
              </w:rPr>
              <w:t>金属废料和碎屑加工处理，</w:t>
            </w:r>
            <w:r>
              <w:rPr>
                <w:rFonts w:hint="eastAsia"/>
                <w:color w:val="auto"/>
                <w:kern w:val="0"/>
                <w:sz w:val="24"/>
                <w:lang w:val="en-US" w:eastAsia="zh-CN"/>
              </w:rPr>
              <w:t>是国家</w:t>
            </w:r>
            <w:r>
              <w:rPr>
                <w:rFonts w:hint="eastAsia"/>
                <w:color w:val="auto"/>
                <w:kern w:val="0"/>
                <w:sz w:val="24"/>
              </w:rPr>
              <w:t>鼓励类建设项目</w:t>
            </w:r>
            <w:r>
              <w:rPr>
                <w:rFonts w:hint="eastAsia"/>
                <w:color w:val="auto"/>
                <w:kern w:val="0"/>
                <w:sz w:val="24"/>
                <w:lang w:eastAsia="zh-CN"/>
              </w:rPr>
              <w:t>。</w:t>
            </w:r>
            <w:r>
              <w:rPr>
                <w:rFonts w:hint="eastAsia"/>
                <w:color w:val="auto"/>
                <w:kern w:val="0"/>
                <w:sz w:val="24"/>
              </w:rPr>
              <w:t>因此本项目的建设符合国家产业政策的要求。</w:t>
            </w:r>
          </w:p>
          <w:p w14:paraId="00D38843">
            <w:pPr>
              <w:autoSpaceDE w:val="0"/>
              <w:autoSpaceDN w:val="0"/>
              <w:adjustRightInd w:val="0"/>
              <w:snapToGrid w:val="0"/>
              <w:spacing w:line="360" w:lineRule="auto"/>
              <w:ind w:firstLine="482" w:firstLineChars="200"/>
              <w:rPr>
                <w:b/>
                <w:color w:val="auto"/>
                <w:kern w:val="0"/>
                <w:sz w:val="24"/>
              </w:rPr>
            </w:pPr>
            <w:r>
              <w:rPr>
                <w:rFonts w:hint="eastAsia"/>
                <w:b/>
                <w:color w:val="auto"/>
                <w:kern w:val="0"/>
                <w:sz w:val="24"/>
                <w:lang w:val="en-US" w:eastAsia="zh-CN"/>
              </w:rPr>
              <w:t>2</w:t>
            </w:r>
            <w:r>
              <w:rPr>
                <w:rFonts w:hint="eastAsia"/>
                <w:b/>
                <w:color w:val="auto"/>
                <w:kern w:val="0"/>
                <w:sz w:val="24"/>
              </w:rPr>
              <w:t>、“三线一单”的符合性分析</w:t>
            </w:r>
          </w:p>
          <w:p w14:paraId="4499BA4E">
            <w:pPr>
              <w:spacing w:line="360" w:lineRule="auto"/>
              <w:ind w:firstLine="480"/>
              <w:rPr>
                <w:color w:val="auto"/>
                <w:sz w:val="24"/>
              </w:rPr>
            </w:pPr>
            <w:r>
              <w:rPr>
                <w:color w:val="auto"/>
                <w:sz w:val="24"/>
              </w:rPr>
              <w:t>（1）生态保护红线</w:t>
            </w:r>
          </w:p>
          <w:p w14:paraId="586B652B">
            <w:pPr>
              <w:spacing w:line="360" w:lineRule="auto"/>
              <w:ind w:firstLine="480"/>
              <w:rPr>
                <w:color w:val="auto"/>
                <w:sz w:val="24"/>
              </w:rPr>
            </w:pPr>
            <w:r>
              <w:rPr>
                <w:color w:val="auto"/>
                <w:sz w:val="24"/>
              </w:rPr>
              <w:t>本项目位于托克逊能源重化工工业园区，项目位于托克逊县重点管控单元，管控单元名称为托克逊县能源重化工工业园及建材产业园</w:t>
            </w:r>
            <w:r>
              <w:rPr>
                <w:rFonts w:hint="eastAsia"/>
                <w:color w:val="auto"/>
                <w:sz w:val="24"/>
              </w:rPr>
              <w:t>重点管控单元</w:t>
            </w:r>
            <w:r>
              <w:rPr>
                <w:color w:val="auto"/>
                <w:sz w:val="24"/>
              </w:rPr>
              <w:t>；项目区周围无居民区、学校、医院、自然保护区、风景名胜区、水源保护区等环境保护目标。本项目不涉及生态保护红线。</w:t>
            </w:r>
          </w:p>
          <w:p w14:paraId="266FA72E">
            <w:pPr>
              <w:spacing w:line="360" w:lineRule="auto"/>
              <w:ind w:firstLine="480"/>
              <w:rPr>
                <w:color w:val="auto"/>
                <w:sz w:val="24"/>
              </w:rPr>
            </w:pPr>
            <w:r>
              <w:rPr>
                <w:color w:val="auto"/>
                <w:sz w:val="24"/>
              </w:rPr>
              <w:t>（2）环境质量底线</w:t>
            </w:r>
          </w:p>
          <w:p w14:paraId="28855285">
            <w:pPr>
              <w:spacing w:line="360" w:lineRule="auto"/>
              <w:ind w:firstLine="480"/>
              <w:rPr>
                <w:color w:val="auto"/>
                <w:sz w:val="24"/>
              </w:rPr>
            </w:pPr>
            <w:r>
              <w:rPr>
                <w:color w:val="auto"/>
                <w:sz w:val="24"/>
              </w:rPr>
              <w:t>大气环境质量底线就是在符合大气环境区域功能区划和大气环境管理的基础上，确保大气污染物排放不对区域功能区划造成影响，污染物排放总量低于大气环境容量。本项目全厂废气排放全部实现达标排放，</w:t>
            </w:r>
            <w:r>
              <w:rPr>
                <w:rFonts w:hint="eastAsia"/>
                <w:color w:val="auto"/>
                <w:sz w:val="24"/>
              </w:rPr>
              <w:t>污染物排放量较小，</w:t>
            </w:r>
            <w:r>
              <w:rPr>
                <w:color w:val="auto"/>
                <w:sz w:val="24"/>
              </w:rPr>
              <w:t>项目的建设不会对区域环境质量造成大的影响。</w:t>
            </w:r>
          </w:p>
          <w:p w14:paraId="70BF78E3">
            <w:pPr>
              <w:spacing w:line="360" w:lineRule="auto"/>
              <w:ind w:firstLine="480"/>
              <w:rPr>
                <w:color w:val="auto"/>
                <w:sz w:val="24"/>
              </w:rPr>
            </w:pPr>
            <w:r>
              <w:rPr>
                <w:color w:val="auto"/>
                <w:sz w:val="24"/>
              </w:rPr>
              <w:t>本项目</w:t>
            </w:r>
            <w:r>
              <w:rPr>
                <w:rFonts w:hint="eastAsia"/>
                <w:color w:val="auto"/>
                <w:sz w:val="24"/>
              </w:rPr>
              <w:t>冷却水</w:t>
            </w:r>
            <w:r>
              <w:rPr>
                <w:color w:val="auto"/>
                <w:sz w:val="24"/>
              </w:rPr>
              <w:t>循环使用，不外排；生活污水排至化粪池，沉淀后经园区排水管网排入园区污水处理厂处理，不直接排入外环境水体，不会影响区域水环境质量。本项目产生的</w:t>
            </w:r>
            <w:r>
              <w:rPr>
                <w:rFonts w:hint="eastAsia"/>
                <w:color w:val="auto"/>
                <w:sz w:val="24"/>
              </w:rPr>
              <w:t>炉渣、废边角料、残次品及除尘灰回收综合利用，废金属模具厂家回收以旧换新，脱模剂外包装交由废品回收站处理，</w:t>
            </w:r>
            <w:r>
              <w:rPr>
                <w:rFonts w:hint="eastAsia"/>
                <w:color w:val="auto"/>
                <w:sz w:val="24"/>
                <w:szCs w:val="24"/>
              </w:rPr>
              <w:t>废机油、废乳化液、废液压油按危废贮存要求存放，委托具有相应资质单位处置；</w:t>
            </w:r>
            <w:r>
              <w:rPr>
                <w:rFonts w:hint="eastAsia"/>
                <w:color w:val="auto"/>
                <w:sz w:val="24"/>
                <w:szCs w:val="24"/>
                <w:lang w:bidi="ar"/>
              </w:rPr>
              <w:t>生活垃圾集中收集后送至托克逊县生活垃圾填埋场处理。</w:t>
            </w:r>
          </w:p>
          <w:p w14:paraId="666A9B37">
            <w:pPr>
              <w:spacing w:line="360" w:lineRule="auto"/>
              <w:ind w:firstLine="480"/>
              <w:rPr>
                <w:color w:val="auto"/>
                <w:sz w:val="24"/>
              </w:rPr>
            </w:pPr>
            <w:r>
              <w:rPr>
                <w:color w:val="auto"/>
                <w:sz w:val="24"/>
              </w:rPr>
              <w:t>上述措施能确保拟建项目污染物对环境质量的影响降到最小，不突破所在区域环境质量底线。</w:t>
            </w:r>
          </w:p>
          <w:p w14:paraId="78A4C79C">
            <w:pPr>
              <w:spacing w:line="360" w:lineRule="auto"/>
              <w:ind w:firstLine="480"/>
              <w:rPr>
                <w:color w:val="auto"/>
                <w:sz w:val="24"/>
              </w:rPr>
            </w:pPr>
            <w:r>
              <w:rPr>
                <w:color w:val="auto"/>
                <w:sz w:val="24"/>
              </w:rPr>
              <w:t>（3）资源利用上线</w:t>
            </w:r>
          </w:p>
          <w:p w14:paraId="11035318">
            <w:pPr>
              <w:spacing w:line="360" w:lineRule="auto"/>
              <w:ind w:firstLine="480"/>
              <w:rPr>
                <w:color w:val="auto"/>
                <w:sz w:val="24"/>
              </w:rPr>
            </w:pPr>
            <w:r>
              <w:rPr>
                <w:color w:val="auto"/>
                <w:sz w:val="24"/>
              </w:rPr>
              <w:t>本项目</w:t>
            </w:r>
            <w:r>
              <w:rPr>
                <w:rFonts w:hint="eastAsia"/>
                <w:color w:val="auto"/>
                <w:sz w:val="24"/>
              </w:rPr>
              <w:t>原材料为废钢</w:t>
            </w:r>
            <w:r>
              <w:rPr>
                <w:color w:val="auto"/>
                <w:sz w:val="24"/>
              </w:rPr>
              <w:t>材，生产过程中主要能耗为电能和水资源，电能和水资源用量相对区域资源利用</w:t>
            </w:r>
            <w:bookmarkStart w:id="9" w:name="_GoBack"/>
            <w:r>
              <w:rPr>
                <w:color w:val="auto"/>
                <w:sz w:val="24"/>
              </w:rPr>
              <w:t>总量</w:t>
            </w:r>
            <w:bookmarkEnd w:id="9"/>
            <w:r>
              <w:rPr>
                <w:color w:val="auto"/>
                <w:sz w:val="24"/>
              </w:rPr>
              <w:t>较少，不会突破资源利用上线。</w:t>
            </w:r>
          </w:p>
          <w:p w14:paraId="7ABC65DA">
            <w:pPr>
              <w:spacing w:line="360" w:lineRule="auto"/>
              <w:ind w:firstLine="480"/>
              <w:rPr>
                <w:color w:val="auto"/>
                <w:sz w:val="24"/>
              </w:rPr>
            </w:pPr>
            <w:r>
              <w:rPr>
                <w:color w:val="auto"/>
                <w:sz w:val="24"/>
              </w:rPr>
              <w:t>（4）生态环境准入清单</w:t>
            </w:r>
          </w:p>
          <w:p w14:paraId="5A8D2B1B">
            <w:pPr>
              <w:spacing w:line="360" w:lineRule="auto"/>
              <w:ind w:firstLine="480"/>
              <w:rPr>
                <w:color w:val="auto"/>
                <w:sz w:val="24"/>
                <w:lang w:bidi="ar"/>
              </w:rPr>
            </w:pPr>
            <w:r>
              <w:rPr>
                <w:rFonts w:hint="eastAsia" w:ascii="宋体" w:hAnsi="宋体" w:cs="宋体"/>
                <w:color w:val="auto"/>
                <w:sz w:val="24"/>
              </w:rPr>
              <w:t>①</w:t>
            </w:r>
            <w:r>
              <w:rPr>
                <w:color w:val="auto"/>
                <w:sz w:val="24"/>
                <w:lang w:bidi="ar"/>
              </w:rPr>
              <w:t>与</w:t>
            </w:r>
            <w:bookmarkStart w:id="2" w:name="_Hlk80047881"/>
            <w:r>
              <w:rPr>
                <w:color w:val="auto"/>
                <w:sz w:val="24"/>
                <w:lang w:bidi="ar"/>
              </w:rPr>
              <w:t>《新疆维吾尔自治区</w:t>
            </w:r>
            <w:r>
              <w:rPr>
                <w:rFonts w:hint="eastAsia"/>
                <w:color w:val="auto"/>
                <w:sz w:val="24"/>
                <w:lang w:bidi="ar"/>
              </w:rPr>
              <w:t>“</w:t>
            </w:r>
            <w:r>
              <w:rPr>
                <w:color w:val="auto"/>
                <w:sz w:val="24"/>
                <w:lang w:bidi="ar"/>
              </w:rPr>
              <w:t>三线一单</w:t>
            </w:r>
            <w:r>
              <w:rPr>
                <w:rFonts w:hint="eastAsia"/>
                <w:color w:val="auto"/>
                <w:sz w:val="24"/>
                <w:lang w:bidi="ar"/>
              </w:rPr>
              <w:t>”</w:t>
            </w:r>
            <w:r>
              <w:rPr>
                <w:color w:val="auto"/>
                <w:sz w:val="24"/>
                <w:lang w:bidi="ar"/>
              </w:rPr>
              <w:t>生态环境分区管控方案》</w:t>
            </w:r>
            <w:bookmarkStart w:id="3" w:name="_Hlk80045814"/>
            <w:r>
              <w:rPr>
                <w:color w:val="auto"/>
                <w:sz w:val="24"/>
                <w:lang w:bidi="ar"/>
              </w:rPr>
              <w:t>（新政发〔2021〕18号）符合性分析</w:t>
            </w:r>
          </w:p>
          <w:bookmarkEnd w:id="2"/>
          <w:bookmarkEnd w:id="3"/>
          <w:p w14:paraId="056BE7D7">
            <w:pPr>
              <w:spacing w:line="360" w:lineRule="auto"/>
              <w:ind w:firstLine="480"/>
              <w:rPr>
                <w:color w:val="auto"/>
                <w:sz w:val="24"/>
                <w:lang w:bidi="ar"/>
              </w:rPr>
            </w:pPr>
            <w:r>
              <w:rPr>
                <w:color w:val="auto"/>
                <w:sz w:val="24"/>
                <w:lang w:bidi="ar"/>
              </w:rPr>
              <w:t>根据《新疆维吾尔自治区</w:t>
            </w:r>
            <w:r>
              <w:rPr>
                <w:rFonts w:hint="eastAsia"/>
                <w:color w:val="auto"/>
                <w:sz w:val="24"/>
                <w:lang w:bidi="ar"/>
              </w:rPr>
              <w:t>“</w:t>
            </w:r>
            <w:r>
              <w:rPr>
                <w:color w:val="auto"/>
                <w:sz w:val="24"/>
                <w:lang w:bidi="ar"/>
              </w:rPr>
              <w:t>三线一单</w:t>
            </w:r>
            <w:r>
              <w:rPr>
                <w:rFonts w:hint="eastAsia"/>
                <w:color w:val="auto"/>
                <w:sz w:val="24"/>
                <w:lang w:bidi="ar"/>
              </w:rPr>
              <w:t>”</w:t>
            </w:r>
            <w:r>
              <w:rPr>
                <w:color w:val="auto"/>
                <w:sz w:val="24"/>
                <w:lang w:bidi="ar"/>
              </w:rPr>
              <w:t>生态环境分区管控方案》，本项目属于吐哈</w:t>
            </w:r>
            <w:r>
              <w:rPr>
                <w:rFonts w:hint="eastAsia"/>
                <w:color w:val="auto"/>
                <w:sz w:val="24"/>
                <w:lang w:bidi="ar"/>
              </w:rPr>
              <w:t>片区</w:t>
            </w:r>
            <w:r>
              <w:rPr>
                <w:color w:val="auto"/>
                <w:sz w:val="24"/>
                <w:lang w:bidi="ar"/>
              </w:rPr>
              <w:t>，该区管控要求为：强化吐哈盆地文物古迹、坎儿井、基本农田、荒漠植被、砾幕、城镇人居环境保护。落实最严格的水资源管理制度，提高水资源集约节约高效利用水平。积极推进吐鲁番鄯善超采区、托克逊超采区和哈密超采区的地下水超采治理，逐步压减超采量，实现地下水采补平衡。强化油(气)资源开发区土壤环境污染综合整治。加强涉重金属行业污染防控与工业废物处理处置。煤炭、石油、天然气开发单位应当制定生态保护和恢复治理方案，并予以实施。生态保护和恢复治理方案内容应当向社会公布，接受社会监督。本项目为</w:t>
            </w:r>
            <w:r>
              <w:rPr>
                <w:rFonts w:hint="eastAsia"/>
                <w:color w:val="auto"/>
                <w:sz w:val="24"/>
                <w:lang w:bidi="ar"/>
              </w:rPr>
              <w:t>光伏管桩端板头生产线建设项目</w:t>
            </w:r>
            <w:r>
              <w:rPr>
                <w:color w:val="auto"/>
                <w:sz w:val="24"/>
                <w:lang w:bidi="ar"/>
              </w:rPr>
              <w:t>，运营期</w:t>
            </w:r>
            <w:r>
              <w:rPr>
                <w:rFonts w:hint="eastAsia"/>
                <w:color w:val="auto"/>
                <w:sz w:val="24"/>
                <w:lang w:bidi="ar"/>
              </w:rPr>
              <w:t>冷却水循环使用</w:t>
            </w:r>
            <w:r>
              <w:rPr>
                <w:color w:val="auto"/>
                <w:sz w:val="24"/>
                <w:lang w:bidi="ar"/>
              </w:rPr>
              <w:t>，不外排，符合管控要求。</w:t>
            </w:r>
          </w:p>
          <w:p w14:paraId="7D808BFD">
            <w:pPr>
              <w:spacing w:line="360" w:lineRule="auto"/>
              <w:ind w:firstLine="480"/>
              <w:rPr>
                <w:rFonts w:ascii="宋体" w:hAnsi="宋体"/>
                <w:color w:val="auto"/>
                <w:sz w:val="24"/>
              </w:rPr>
            </w:pPr>
            <w:r>
              <w:rPr>
                <w:rFonts w:hint="eastAsia" w:ascii="宋体" w:hAnsi="宋体" w:cs="宋体"/>
                <w:color w:val="auto"/>
                <w:sz w:val="24"/>
              </w:rPr>
              <w:t>②</w:t>
            </w:r>
            <w:r>
              <w:rPr>
                <w:color w:val="auto"/>
                <w:sz w:val="24"/>
              </w:rPr>
              <w:t>与《</w:t>
            </w:r>
            <w:r>
              <w:rPr>
                <w:rFonts w:ascii="宋体" w:hAnsi="宋体"/>
                <w:color w:val="auto"/>
                <w:sz w:val="24"/>
              </w:rPr>
              <w:t>吐鲁番市“三线一单”生态环境分区管控方案》的符合性分析</w:t>
            </w:r>
          </w:p>
          <w:p w14:paraId="25C73795">
            <w:pPr>
              <w:spacing w:line="360" w:lineRule="auto"/>
              <w:ind w:firstLine="480"/>
              <w:rPr>
                <w:color w:val="auto"/>
                <w:sz w:val="24"/>
              </w:rPr>
            </w:pPr>
            <w:r>
              <w:rPr>
                <w:rFonts w:ascii="宋体" w:hAnsi="宋体"/>
                <w:color w:val="auto"/>
                <w:sz w:val="24"/>
              </w:rPr>
              <w:t>根据《关于印发&lt;吐鲁番市“三线一单”生态环境分</w:t>
            </w:r>
            <w:r>
              <w:rPr>
                <w:color w:val="auto"/>
                <w:sz w:val="24"/>
              </w:rPr>
              <w:t>区管控方案&gt;的通知》（吐政办〔2021〕24号）可知，项目位于</w:t>
            </w:r>
            <w:bookmarkStart w:id="4" w:name="_Hlk98882364"/>
            <w:r>
              <w:rPr>
                <w:color w:val="auto"/>
                <w:sz w:val="24"/>
              </w:rPr>
              <w:t>托克逊县重点管控单元，管控单元名称为托克逊县能源重化工工业园及建材产业园-再生资源产业园重点管控单元</w:t>
            </w:r>
            <w:bookmarkEnd w:id="4"/>
            <w:r>
              <w:rPr>
                <w:color w:val="auto"/>
                <w:sz w:val="24"/>
              </w:rPr>
              <w:t>，管控编码为ZH65042220003，具体位置见</w:t>
            </w:r>
            <w:r>
              <w:rPr>
                <w:rFonts w:hint="eastAsia"/>
                <w:color w:val="auto"/>
                <w:sz w:val="24"/>
              </w:rPr>
              <w:t>附图</w:t>
            </w:r>
            <w:r>
              <w:rPr>
                <w:color w:val="auto"/>
                <w:sz w:val="24"/>
              </w:rPr>
              <w:t>。本项目建设符合重点管控单元的要求，具体见</w:t>
            </w:r>
            <w:r>
              <w:rPr>
                <w:rFonts w:hint="eastAsia"/>
                <w:color w:val="auto"/>
                <w:sz w:val="24"/>
              </w:rPr>
              <w:t>表1-</w:t>
            </w:r>
            <w:r>
              <w:rPr>
                <w:color w:val="auto"/>
                <w:sz w:val="24"/>
              </w:rPr>
              <w:t>2</w:t>
            </w:r>
            <w:r>
              <w:rPr>
                <w:rFonts w:hint="eastAsia"/>
                <w:color w:val="auto"/>
                <w:sz w:val="24"/>
              </w:rPr>
              <w:t>。</w:t>
            </w:r>
          </w:p>
          <w:p w14:paraId="27268F3C">
            <w:pPr>
              <w:spacing w:line="360" w:lineRule="auto"/>
              <w:rPr>
                <w:b/>
                <w:bCs/>
                <w:color w:val="auto"/>
                <w:szCs w:val="21"/>
              </w:rPr>
            </w:pPr>
            <w:r>
              <w:rPr>
                <w:b/>
                <w:bCs/>
                <w:color w:val="auto"/>
                <w:szCs w:val="21"/>
              </w:rPr>
              <w:t>表</w:t>
            </w:r>
            <w:r>
              <w:rPr>
                <w:rFonts w:hint="eastAsia"/>
                <w:b/>
                <w:bCs/>
                <w:color w:val="auto"/>
                <w:szCs w:val="21"/>
              </w:rPr>
              <w:t>1-</w:t>
            </w:r>
            <w:r>
              <w:rPr>
                <w:b/>
                <w:bCs/>
                <w:color w:val="auto"/>
                <w:szCs w:val="21"/>
              </w:rPr>
              <w:t xml:space="preserve">2 </w:t>
            </w:r>
            <w:r>
              <w:rPr>
                <w:rFonts w:ascii="宋体" w:hAnsi="宋体"/>
                <w:b/>
                <w:bCs/>
                <w:color w:val="auto"/>
                <w:szCs w:val="21"/>
              </w:rPr>
              <w:t xml:space="preserve"> 项目与吐鲁番市“三线一单”</w:t>
            </w:r>
            <w:r>
              <w:rPr>
                <w:rFonts w:hint="eastAsia" w:ascii="宋体" w:hAnsi="宋体"/>
                <w:b/>
                <w:bCs/>
                <w:color w:val="auto"/>
                <w:szCs w:val="21"/>
              </w:rPr>
              <w:t>（托克逊县生态环境准入清单）</w:t>
            </w:r>
            <w:r>
              <w:rPr>
                <w:rFonts w:ascii="宋体" w:hAnsi="宋体"/>
                <w:b/>
                <w:bCs/>
                <w:color w:val="auto"/>
                <w:szCs w:val="21"/>
              </w:rPr>
              <w:t>符合性分析表</w:t>
            </w:r>
          </w:p>
          <w:tbl>
            <w:tblPr>
              <w:tblStyle w:val="24"/>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346"/>
              <w:gridCol w:w="3970"/>
              <w:gridCol w:w="936"/>
              <w:gridCol w:w="216"/>
            </w:tblGrid>
            <w:tr w14:paraId="3EE9C4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tblHeader/>
              </w:trPr>
              <w:tc>
                <w:tcPr>
                  <w:tcW w:w="506" w:type="pct"/>
                  <w:tcBorders>
                    <w:tl2br w:val="nil"/>
                    <w:tr2bl w:val="nil"/>
                  </w:tcBorders>
                  <w:tcMar>
                    <w:top w:w="0" w:type="dxa"/>
                    <w:left w:w="0" w:type="dxa"/>
                    <w:bottom w:w="0" w:type="dxa"/>
                    <w:right w:w="0" w:type="dxa"/>
                  </w:tcMar>
                  <w:vAlign w:val="center"/>
                </w:tcPr>
                <w:p w14:paraId="64464A33">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环境管控单元名称及编码</w:t>
                  </w:r>
                </w:p>
              </w:tc>
              <w:tc>
                <w:tcPr>
                  <w:tcW w:w="3416" w:type="pct"/>
                  <w:gridSpan w:val="2"/>
                  <w:tcBorders>
                    <w:tl2br w:val="nil"/>
                    <w:tr2bl w:val="nil"/>
                  </w:tcBorders>
                  <w:tcMar>
                    <w:top w:w="0" w:type="dxa"/>
                    <w:left w:w="0" w:type="dxa"/>
                    <w:bottom w:w="0" w:type="dxa"/>
                    <w:right w:w="0" w:type="dxa"/>
                  </w:tcMar>
                  <w:vAlign w:val="center"/>
                </w:tcPr>
                <w:p w14:paraId="41AF0D02">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托克逊县生态环境准入清单要求</w:t>
                  </w:r>
                </w:p>
              </w:tc>
              <w:tc>
                <w:tcPr>
                  <w:tcW w:w="874" w:type="pct"/>
                  <w:tcBorders>
                    <w:tl2br w:val="nil"/>
                    <w:tr2bl w:val="nil"/>
                  </w:tcBorders>
                  <w:tcMar>
                    <w:top w:w="0" w:type="dxa"/>
                    <w:left w:w="0" w:type="dxa"/>
                    <w:bottom w:w="0" w:type="dxa"/>
                    <w:right w:w="0" w:type="dxa"/>
                  </w:tcMar>
                  <w:vAlign w:val="center"/>
                </w:tcPr>
                <w:p w14:paraId="5DDE0BF6">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本项目采取的相关措施</w:t>
                  </w:r>
                </w:p>
              </w:tc>
              <w:tc>
                <w:tcPr>
                  <w:tcW w:w="202" w:type="pct"/>
                  <w:tcBorders>
                    <w:tl2br w:val="nil"/>
                    <w:tr2bl w:val="nil"/>
                  </w:tcBorders>
                  <w:tcMar>
                    <w:top w:w="0" w:type="dxa"/>
                    <w:left w:w="0" w:type="dxa"/>
                    <w:bottom w:w="0" w:type="dxa"/>
                    <w:right w:w="0" w:type="dxa"/>
                  </w:tcMar>
                  <w:vAlign w:val="center"/>
                </w:tcPr>
                <w:p w14:paraId="74F00900">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符合性分析</w:t>
                  </w:r>
                </w:p>
              </w:tc>
            </w:tr>
            <w:tr w14:paraId="04ADD2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6" w:type="pct"/>
                  <w:vMerge w:val="restart"/>
                  <w:tcBorders>
                    <w:tl2br w:val="nil"/>
                    <w:tr2bl w:val="nil"/>
                  </w:tcBorders>
                  <w:tcMar>
                    <w:top w:w="0" w:type="dxa"/>
                    <w:left w:w="0" w:type="dxa"/>
                    <w:bottom w:w="0" w:type="dxa"/>
                    <w:right w:w="0" w:type="dxa"/>
                  </w:tcMar>
                  <w:vAlign w:val="center"/>
                </w:tcPr>
                <w:p w14:paraId="15B9A547">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重点管控单元</w:t>
                  </w:r>
                </w:p>
                <w:p w14:paraId="414DAF02">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w:t>
                  </w:r>
                  <w:r>
                    <w:rPr>
                      <w:rFonts w:ascii="Times New Roman" w:hAnsi="Times New Roman" w:eastAsia="宋体"/>
                      <w:color w:val="auto"/>
                    </w:rPr>
                    <w:t>ZH65042220003</w:t>
                  </w:r>
                  <w:r>
                    <w:rPr>
                      <w:rFonts w:ascii="Times New Roman" w:hAnsi="Times New Roman" w:eastAsia="宋体"/>
                      <w:color w:val="auto"/>
                      <w:lang w:bidi="ar"/>
                    </w:rPr>
                    <w:t>）</w:t>
                  </w:r>
                </w:p>
              </w:tc>
              <w:tc>
                <w:tcPr>
                  <w:tcW w:w="472" w:type="pct"/>
                  <w:tcBorders>
                    <w:tl2br w:val="nil"/>
                    <w:tr2bl w:val="nil"/>
                  </w:tcBorders>
                  <w:tcMar>
                    <w:top w:w="0" w:type="dxa"/>
                    <w:left w:w="0" w:type="dxa"/>
                    <w:bottom w:w="0" w:type="dxa"/>
                    <w:right w:w="0" w:type="dxa"/>
                  </w:tcMar>
                  <w:vAlign w:val="center"/>
                </w:tcPr>
                <w:p w14:paraId="7B94960F">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空间布局约束</w:t>
                  </w:r>
                </w:p>
              </w:tc>
              <w:tc>
                <w:tcPr>
                  <w:tcW w:w="2944" w:type="pct"/>
                  <w:tcBorders>
                    <w:tl2br w:val="nil"/>
                    <w:tr2bl w:val="nil"/>
                  </w:tcBorders>
                  <w:tcMar>
                    <w:top w:w="0" w:type="dxa"/>
                    <w:left w:w="0" w:type="dxa"/>
                    <w:bottom w:w="0" w:type="dxa"/>
                    <w:right w:w="0" w:type="dxa"/>
                  </w:tcMar>
                  <w:vAlign w:val="center"/>
                </w:tcPr>
                <w:p w14:paraId="06AA244D">
                  <w:pPr>
                    <w:spacing w:line="300" w:lineRule="exact"/>
                    <w:rPr>
                      <w:color w:val="auto"/>
                      <w:szCs w:val="21"/>
                    </w:rPr>
                  </w:pPr>
                  <w:r>
                    <w:rPr>
                      <w:color w:val="auto"/>
                      <w:szCs w:val="21"/>
                    </w:rPr>
                    <w:t>1.新建、改建，扩建企业要符合工业园区规划及规划环评要求。</w:t>
                  </w:r>
                </w:p>
                <w:p w14:paraId="4C52DDCF">
                  <w:pPr>
                    <w:spacing w:line="300" w:lineRule="exact"/>
                    <w:rPr>
                      <w:color w:val="auto"/>
                      <w:szCs w:val="21"/>
                    </w:rPr>
                  </w:pPr>
                  <w:r>
                    <w:rPr>
                      <w:color w:val="auto"/>
                      <w:szCs w:val="21"/>
                    </w:rPr>
                    <w:t>2.园区北侧与居民最近区域禁止布置原油加工，天然气加工、油母页岩提炼原油，煤制原油及其他石汕制品，煤化工、炼焦，煤炭热解、电石、除单纯混合和分装外的化学原料制造、化学品制造、炼钢、炼铁，</w:t>
                  </w:r>
                  <w:r>
                    <w:rPr>
                      <w:rFonts w:hint="eastAsia"/>
                      <w:color w:val="auto"/>
                      <w:szCs w:val="21"/>
                    </w:rPr>
                    <w:t>金</w:t>
                  </w:r>
                  <w:r>
                    <w:rPr>
                      <w:color w:val="auto"/>
                      <w:szCs w:val="21"/>
                    </w:rPr>
                    <w:t>属冶炼等三类工业和金属压延加工、含有电镀/喷漆等表面处理工艺的金属制品加工制造(喷漆工艺指使用油性漆量(含稀释剂)10吨及以上)等涉气的二类工业，鼓励无污染，工艺简单的企业入驻。</w:t>
                  </w:r>
                </w:p>
                <w:p w14:paraId="174CD474">
                  <w:pPr>
                    <w:spacing w:line="300" w:lineRule="exact"/>
                    <w:rPr>
                      <w:color w:val="auto"/>
                      <w:szCs w:val="21"/>
                    </w:rPr>
                  </w:pPr>
                  <w:r>
                    <w:rPr>
                      <w:color w:val="auto"/>
                      <w:szCs w:val="21"/>
                    </w:rPr>
                    <w:t>3.禁止高水耗、高物耗、高能耗的项目。</w:t>
                  </w:r>
                </w:p>
                <w:p w14:paraId="7F90192F">
                  <w:pPr>
                    <w:spacing w:line="300" w:lineRule="exact"/>
                    <w:rPr>
                      <w:color w:val="auto"/>
                      <w:szCs w:val="21"/>
                    </w:rPr>
                  </w:pPr>
                  <w:r>
                    <w:rPr>
                      <w:color w:val="auto"/>
                      <w:szCs w:val="21"/>
                    </w:rPr>
                    <w:t>4.服装产业禁止引入含湿法印花、染色，水洗工艺的；禁止棉浆泊生产项目入园；禁止引入合洗毛、染整、脱胶工艺的项目。</w:t>
                  </w:r>
                </w:p>
                <w:p w14:paraId="21AB204B">
                  <w:pPr>
                    <w:spacing w:line="300" w:lineRule="exact"/>
                    <w:rPr>
                      <w:color w:val="auto"/>
                      <w:szCs w:val="21"/>
                      <w:lang w:bidi="ar"/>
                    </w:rPr>
                  </w:pPr>
                  <w:r>
                    <w:rPr>
                      <w:color w:val="auto"/>
                      <w:szCs w:val="21"/>
                    </w:rPr>
                    <w:t>5.新建电石生产装置必须采用密闭式电石炉，电石炉气必须综合利用.新建电石生产装置须与大型乙炔深加工企业配套建设</w:t>
                  </w:r>
                </w:p>
              </w:tc>
              <w:tc>
                <w:tcPr>
                  <w:tcW w:w="874" w:type="pct"/>
                  <w:tcBorders>
                    <w:tl2br w:val="nil"/>
                    <w:tr2bl w:val="nil"/>
                  </w:tcBorders>
                  <w:tcMar>
                    <w:top w:w="0" w:type="dxa"/>
                    <w:left w:w="0" w:type="dxa"/>
                    <w:bottom w:w="0" w:type="dxa"/>
                    <w:right w:w="0" w:type="dxa"/>
                  </w:tcMar>
                  <w:vAlign w:val="center"/>
                </w:tcPr>
                <w:p w14:paraId="60EDEB08">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本项目</w:t>
                  </w:r>
                  <w:r>
                    <w:rPr>
                      <w:rFonts w:hint="eastAsia" w:ascii="Times New Roman" w:hAnsi="Times New Roman" w:eastAsia="宋体"/>
                      <w:color w:val="auto"/>
                      <w:lang w:bidi="ar"/>
                    </w:rPr>
                    <w:t>位于园区南侧，</w:t>
                  </w:r>
                  <w:r>
                    <w:rPr>
                      <w:rFonts w:hint="eastAsia" w:ascii="Times New Roman" w:hAnsi="Times New Roman" w:eastAsia="宋体"/>
                      <w:color w:val="auto"/>
                      <w:lang w:val="en-US" w:eastAsia="zh-CN" w:bidi="ar"/>
                    </w:rPr>
                    <w:t>距离厂区最近的居民区为东北方向5公里处的夏乡南湖村。</w:t>
                  </w:r>
                  <w:r>
                    <w:rPr>
                      <w:rFonts w:ascii="Times New Roman" w:hAnsi="Times New Roman" w:eastAsia="宋体"/>
                      <w:color w:val="auto"/>
                      <w:lang w:bidi="ar"/>
                    </w:rPr>
                    <w:t>建设符合园区规划及规划环评要求；项目为</w:t>
                  </w:r>
                  <w:r>
                    <w:rPr>
                      <w:rFonts w:hint="eastAsia" w:ascii="Times New Roman" w:hAnsi="Times New Roman" w:eastAsia="宋体"/>
                      <w:color w:val="auto"/>
                      <w:lang w:bidi="ar"/>
                    </w:rPr>
                    <w:t>金属制品</w:t>
                  </w:r>
                  <w:r>
                    <w:rPr>
                      <w:rFonts w:ascii="Times New Roman" w:hAnsi="Times New Roman" w:eastAsia="宋体"/>
                      <w:color w:val="auto"/>
                      <w:lang w:bidi="ar"/>
                    </w:rPr>
                    <w:t>业，不属于高物耗</w:t>
                  </w:r>
                  <w:r>
                    <w:rPr>
                      <w:rFonts w:hint="eastAsia" w:ascii="Times New Roman" w:hAnsi="Times New Roman" w:eastAsia="宋体"/>
                      <w:color w:val="auto"/>
                      <w:lang w:bidi="ar"/>
                    </w:rPr>
                    <w:t>、</w:t>
                  </w:r>
                  <w:r>
                    <w:rPr>
                      <w:rFonts w:ascii="Times New Roman" w:hAnsi="Times New Roman" w:eastAsia="宋体"/>
                      <w:color w:val="auto"/>
                      <w:lang w:bidi="ar"/>
                    </w:rPr>
                    <w:t>高水耗项目</w:t>
                  </w:r>
                </w:p>
              </w:tc>
              <w:tc>
                <w:tcPr>
                  <w:tcW w:w="202" w:type="pct"/>
                  <w:tcBorders>
                    <w:tl2br w:val="nil"/>
                    <w:tr2bl w:val="nil"/>
                  </w:tcBorders>
                  <w:tcMar>
                    <w:top w:w="0" w:type="dxa"/>
                    <w:left w:w="0" w:type="dxa"/>
                    <w:bottom w:w="0" w:type="dxa"/>
                    <w:right w:w="0" w:type="dxa"/>
                  </w:tcMar>
                  <w:vAlign w:val="center"/>
                </w:tcPr>
                <w:p w14:paraId="365061C3">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符合</w:t>
                  </w:r>
                </w:p>
              </w:tc>
            </w:tr>
            <w:tr w14:paraId="02308D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6" w:type="pct"/>
                  <w:vMerge w:val="continue"/>
                  <w:tcBorders>
                    <w:tl2br w:val="nil"/>
                    <w:tr2bl w:val="nil"/>
                  </w:tcBorders>
                  <w:tcMar>
                    <w:top w:w="0" w:type="dxa"/>
                    <w:left w:w="0" w:type="dxa"/>
                    <w:bottom w:w="0" w:type="dxa"/>
                    <w:right w:w="0" w:type="dxa"/>
                  </w:tcMar>
                  <w:vAlign w:val="center"/>
                </w:tcPr>
                <w:p w14:paraId="33907AF3">
                  <w:pPr>
                    <w:pStyle w:val="109"/>
                    <w:adjustRightInd w:val="0"/>
                    <w:snapToGrid w:val="0"/>
                    <w:spacing w:line="300" w:lineRule="exact"/>
                    <w:rPr>
                      <w:rFonts w:ascii="Times New Roman" w:hAnsi="Times New Roman" w:eastAsia="宋体"/>
                      <w:color w:val="auto"/>
                      <w:lang w:bidi="ar"/>
                    </w:rPr>
                  </w:pPr>
                </w:p>
              </w:tc>
              <w:tc>
                <w:tcPr>
                  <w:tcW w:w="472" w:type="pct"/>
                  <w:tcBorders>
                    <w:tl2br w:val="nil"/>
                    <w:tr2bl w:val="nil"/>
                  </w:tcBorders>
                  <w:tcMar>
                    <w:top w:w="0" w:type="dxa"/>
                    <w:left w:w="0" w:type="dxa"/>
                    <w:bottom w:w="0" w:type="dxa"/>
                    <w:right w:w="0" w:type="dxa"/>
                  </w:tcMar>
                  <w:vAlign w:val="center"/>
                </w:tcPr>
                <w:p w14:paraId="635BF90F">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污染物排放管控</w:t>
                  </w:r>
                </w:p>
              </w:tc>
              <w:tc>
                <w:tcPr>
                  <w:tcW w:w="2944" w:type="pct"/>
                  <w:tcBorders>
                    <w:tl2br w:val="nil"/>
                    <w:tr2bl w:val="nil"/>
                  </w:tcBorders>
                  <w:tcMar>
                    <w:top w:w="0" w:type="dxa"/>
                    <w:left w:w="0" w:type="dxa"/>
                    <w:bottom w:w="0" w:type="dxa"/>
                    <w:right w:w="0" w:type="dxa"/>
                  </w:tcMar>
                  <w:vAlign w:val="center"/>
                </w:tcPr>
                <w:p w14:paraId="18E0B02B">
                  <w:pPr>
                    <w:spacing w:line="300" w:lineRule="exact"/>
                    <w:rPr>
                      <w:color w:val="auto"/>
                      <w:szCs w:val="21"/>
                    </w:rPr>
                  </w:pPr>
                  <w:r>
                    <w:rPr>
                      <w:color w:val="auto"/>
                      <w:szCs w:val="21"/>
                    </w:rPr>
                    <w:t>1.对园区的SO</w:t>
                  </w:r>
                  <w:r>
                    <w:rPr>
                      <w:color w:val="auto"/>
                      <w:szCs w:val="21"/>
                      <w:vertAlign w:val="subscript"/>
                    </w:rPr>
                    <w:t>2</w:t>
                  </w:r>
                  <w:r>
                    <w:rPr>
                      <w:color w:val="auto"/>
                      <w:szCs w:val="21"/>
                    </w:rPr>
                    <w:t>、NO</w:t>
                  </w:r>
                  <w:r>
                    <w:rPr>
                      <w:color w:val="auto"/>
                      <w:szCs w:val="21"/>
                      <w:vertAlign w:val="subscript"/>
                    </w:rPr>
                    <w:t>x</w:t>
                  </w:r>
                  <w:r>
                    <w:rPr>
                      <w:color w:val="auto"/>
                      <w:szCs w:val="21"/>
                    </w:rPr>
                    <w:t>、烟粉尘和VOCs进行总量控制。逐步开展碳核查工作。</w:t>
                  </w:r>
                </w:p>
                <w:p w14:paraId="5FF5FBC3">
                  <w:pPr>
                    <w:spacing w:line="300" w:lineRule="exact"/>
                    <w:rPr>
                      <w:color w:val="auto"/>
                      <w:szCs w:val="21"/>
                    </w:rPr>
                  </w:pPr>
                  <w:r>
                    <w:rPr>
                      <w:color w:val="auto"/>
                      <w:szCs w:val="21"/>
                    </w:rPr>
                    <w:t>2.推进工业炉窑全面达标排放，严格执行行业排放标准，加大污染治理力度。</w:t>
                  </w:r>
                </w:p>
                <w:p w14:paraId="4FDE7672">
                  <w:pPr>
                    <w:spacing w:line="300" w:lineRule="exact"/>
                    <w:rPr>
                      <w:color w:val="auto"/>
                      <w:szCs w:val="21"/>
                    </w:rPr>
                  </w:pPr>
                  <w:r>
                    <w:rPr>
                      <w:color w:val="auto"/>
                      <w:szCs w:val="21"/>
                    </w:rPr>
                    <w:t>3</w:t>
                  </w:r>
                  <w:r>
                    <w:rPr>
                      <w:color w:val="auto"/>
                      <w:spacing w:val="-10"/>
                      <w:szCs w:val="21"/>
                    </w:rPr>
                    <w:t>.加快推进化工行业VOCs综合治理，加大煤化工(含现代煤化工、炼焦，合成氨等)、橡胶制品、涂料、油墨、胶粘剂，染料、化学助剂(塑料助剂和橡胶助剂)等化工行业VOCs治理力度。</w:t>
                  </w:r>
                </w:p>
                <w:p w14:paraId="75E394BD">
                  <w:pPr>
                    <w:spacing w:line="300" w:lineRule="exact"/>
                    <w:rPr>
                      <w:color w:val="auto"/>
                      <w:szCs w:val="21"/>
                    </w:rPr>
                  </w:pPr>
                  <w:r>
                    <w:rPr>
                      <w:color w:val="auto"/>
                      <w:szCs w:val="21"/>
                    </w:rPr>
                    <w:t>4.加强无组织废气排放的管理，采用先进的，密闭性好的生产设备、化工物料存贮容器和输送管线，最大限度减少无组织皮气排放。使用煤炭项目建议采用密闭输煤栈桥输送和用圆简仓储煤以减少扬尘污染，对碎煤车问、储煤仓等扬尘点采用袋式除尘器进行除尘处理，减少粉尘排放量，回收的粉尘返回生产系统。各原料及产品仓采用封闭式。</w:t>
                  </w:r>
                </w:p>
                <w:p w14:paraId="47379CB1">
                  <w:pPr>
                    <w:spacing w:line="300" w:lineRule="exact"/>
                    <w:rPr>
                      <w:color w:val="auto"/>
                      <w:spacing w:val="-10"/>
                      <w:szCs w:val="21"/>
                    </w:rPr>
                  </w:pPr>
                  <w:r>
                    <w:rPr>
                      <w:color w:val="auto"/>
                      <w:spacing w:val="-10"/>
                      <w:szCs w:val="21"/>
                    </w:rPr>
                    <w:t>5.加强对园区内企业的废水、废气中重金属的污染防控措施，严格执行重金属总量控制政策。</w:t>
                  </w:r>
                </w:p>
                <w:p w14:paraId="316199B5">
                  <w:pPr>
                    <w:spacing w:line="300" w:lineRule="exact"/>
                    <w:rPr>
                      <w:color w:val="auto"/>
                      <w:szCs w:val="21"/>
                    </w:rPr>
                  </w:pPr>
                  <w:r>
                    <w:rPr>
                      <w:color w:val="auto"/>
                      <w:szCs w:val="21"/>
                    </w:rPr>
                    <w:t>7.推进污水集中处理设施及再生水回用系统；完善污水管网建设，加强对各企业排放的污废水的监控，禁止在园内设置排污口。</w:t>
                  </w:r>
                </w:p>
                <w:p w14:paraId="5922A61B">
                  <w:pPr>
                    <w:spacing w:line="300" w:lineRule="exact"/>
                    <w:rPr>
                      <w:color w:val="auto"/>
                      <w:szCs w:val="21"/>
                    </w:rPr>
                  </w:pPr>
                  <w:r>
                    <w:rPr>
                      <w:color w:val="auto"/>
                      <w:szCs w:val="21"/>
                    </w:rPr>
                    <w:t>8，对污染地块和列入疑似污染地块名单的地块，严格按照《污染地块土壤环境管理办法》等相关法律法规管理</w:t>
                  </w:r>
                </w:p>
              </w:tc>
              <w:tc>
                <w:tcPr>
                  <w:tcW w:w="874" w:type="pct"/>
                  <w:tcBorders>
                    <w:tl2br w:val="nil"/>
                    <w:tr2bl w:val="nil"/>
                  </w:tcBorders>
                  <w:tcMar>
                    <w:top w:w="0" w:type="dxa"/>
                    <w:left w:w="0" w:type="dxa"/>
                    <w:bottom w:w="0" w:type="dxa"/>
                    <w:right w:w="0" w:type="dxa"/>
                  </w:tcMar>
                  <w:vAlign w:val="center"/>
                </w:tcPr>
                <w:p w14:paraId="2D38A6FB">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本项目废气均可实现达标排放；</w:t>
                  </w:r>
                  <w:r>
                    <w:rPr>
                      <w:rFonts w:hint="eastAsia" w:ascii="Times New Roman" w:hAnsi="Times New Roman" w:eastAsia="宋体"/>
                      <w:color w:val="auto"/>
                      <w:lang w:bidi="ar"/>
                    </w:rPr>
                    <w:t>原料和生产过程均在封闭厂房内</w:t>
                  </w:r>
                  <w:r>
                    <w:rPr>
                      <w:rFonts w:ascii="Times New Roman" w:hAnsi="Times New Roman" w:eastAsia="宋体"/>
                      <w:color w:val="auto"/>
                      <w:lang w:bidi="ar"/>
                    </w:rPr>
                    <w:t>；项目</w:t>
                  </w:r>
                  <w:r>
                    <w:rPr>
                      <w:rFonts w:hint="eastAsia" w:ascii="Times New Roman" w:hAnsi="Times New Roman" w:eastAsia="宋体"/>
                      <w:color w:val="auto"/>
                      <w:lang w:bidi="ar"/>
                    </w:rPr>
                    <w:t>冷却水循环利用，</w:t>
                  </w:r>
                  <w:r>
                    <w:rPr>
                      <w:rFonts w:ascii="Times New Roman" w:hAnsi="Times New Roman" w:eastAsia="宋体"/>
                      <w:color w:val="auto"/>
                      <w:lang w:bidi="ar"/>
                    </w:rPr>
                    <w:t>生活污水最终经污水管网排至园区污水处理厂处理</w:t>
                  </w:r>
                </w:p>
              </w:tc>
              <w:tc>
                <w:tcPr>
                  <w:tcW w:w="202" w:type="pct"/>
                  <w:tcBorders>
                    <w:tl2br w:val="nil"/>
                    <w:tr2bl w:val="nil"/>
                  </w:tcBorders>
                  <w:tcMar>
                    <w:top w:w="0" w:type="dxa"/>
                    <w:left w:w="0" w:type="dxa"/>
                    <w:bottom w:w="0" w:type="dxa"/>
                    <w:right w:w="0" w:type="dxa"/>
                  </w:tcMar>
                  <w:vAlign w:val="center"/>
                </w:tcPr>
                <w:p w14:paraId="1B1E904E">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符合</w:t>
                  </w:r>
                </w:p>
              </w:tc>
            </w:tr>
            <w:tr w14:paraId="4CC690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6" w:type="pct"/>
                  <w:vMerge w:val="continue"/>
                  <w:tcBorders>
                    <w:tl2br w:val="nil"/>
                    <w:tr2bl w:val="nil"/>
                  </w:tcBorders>
                  <w:tcMar>
                    <w:top w:w="0" w:type="dxa"/>
                    <w:left w:w="0" w:type="dxa"/>
                    <w:bottom w:w="0" w:type="dxa"/>
                    <w:right w:w="0" w:type="dxa"/>
                  </w:tcMar>
                  <w:vAlign w:val="center"/>
                </w:tcPr>
                <w:p w14:paraId="3FA90E1D">
                  <w:pPr>
                    <w:pStyle w:val="109"/>
                    <w:adjustRightInd w:val="0"/>
                    <w:snapToGrid w:val="0"/>
                    <w:spacing w:line="300" w:lineRule="exact"/>
                    <w:rPr>
                      <w:rFonts w:ascii="Times New Roman" w:hAnsi="Times New Roman" w:eastAsia="宋体"/>
                      <w:color w:val="auto"/>
                      <w:lang w:bidi="ar"/>
                    </w:rPr>
                  </w:pPr>
                </w:p>
              </w:tc>
              <w:tc>
                <w:tcPr>
                  <w:tcW w:w="472" w:type="pct"/>
                  <w:tcBorders>
                    <w:tl2br w:val="nil"/>
                    <w:tr2bl w:val="nil"/>
                  </w:tcBorders>
                  <w:tcMar>
                    <w:top w:w="0" w:type="dxa"/>
                    <w:left w:w="0" w:type="dxa"/>
                    <w:bottom w:w="0" w:type="dxa"/>
                    <w:right w:w="0" w:type="dxa"/>
                  </w:tcMar>
                  <w:vAlign w:val="center"/>
                </w:tcPr>
                <w:p w14:paraId="671AA0BC">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环境风险防控</w:t>
                  </w:r>
                </w:p>
              </w:tc>
              <w:tc>
                <w:tcPr>
                  <w:tcW w:w="2944" w:type="pct"/>
                  <w:tcBorders>
                    <w:tl2br w:val="nil"/>
                    <w:tr2bl w:val="nil"/>
                  </w:tcBorders>
                  <w:tcMar>
                    <w:top w:w="0" w:type="dxa"/>
                    <w:left w:w="0" w:type="dxa"/>
                    <w:bottom w:w="0" w:type="dxa"/>
                    <w:right w:w="0" w:type="dxa"/>
                  </w:tcMar>
                  <w:vAlign w:val="center"/>
                </w:tcPr>
                <w:p w14:paraId="0924F3A1">
                  <w:pPr>
                    <w:spacing w:line="300" w:lineRule="exact"/>
                    <w:rPr>
                      <w:color w:val="auto"/>
                      <w:szCs w:val="21"/>
                    </w:rPr>
                  </w:pPr>
                  <w:r>
                    <w:rPr>
                      <w:color w:val="auto"/>
                      <w:szCs w:val="21"/>
                    </w:rPr>
                    <w:t>1.强化有毒有害原辅材料运输，储存，使用等过程的监管；做好厂区分区防渗措施。涉及危险工艺的生产企业，必须装备自动化控制系统，安装液位、温度、压力超限报警设施、气体泄漏检测报警装置和、紧急切断装置等。</w:t>
                  </w:r>
                </w:p>
                <w:p w14:paraId="62745AE2">
                  <w:pPr>
                    <w:spacing w:line="300" w:lineRule="exact"/>
                    <w:rPr>
                      <w:color w:val="auto"/>
                      <w:spacing w:val="-10"/>
                      <w:szCs w:val="21"/>
                    </w:rPr>
                  </w:pPr>
                  <w:r>
                    <w:rPr>
                      <w:color w:val="auto"/>
                      <w:spacing w:val="-10"/>
                      <w:szCs w:val="21"/>
                    </w:rPr>
                    <w:t>2.定期排查废水污染治理设施建设运行情况、并做好防腐防渗措施；园区污水集中处理设施安装自动在线监控装置；加强园区下游的水质监测。</w:t>
                  </w:r>
                </w:p>
                <w:p w14:paraId="6B183544">
                  <w:pPr>
                    <w:spacing w:line="300" w:lineRule="exact"/>
                    <w:rPr>
                      <w:color w:val="auto"/>
                      <w:spacing w:val="-10"/>
                      <w:szCs w:val="21"/>
                    </w:rPr>
                  </w:pPr>
                  <w:r>
                    <w:rPr>
                      <w:color w:val="auto"/>
                      <w:spacing w:val="-10"/>
                      <w:szCs w:val="21"/>
                    </w:rPr>
                    <w:t>3.加强风险事故防范意识，制定各类风险事故应急预案，并在化工区开展经常性的演练。园区管委会应组建自己的消防队。</w:t>
                  </w:r>
                </w:p>
                <w:p w14:paraId="75872A41">
                  <w:pPr>
                    <w:spacing w:line="300" w:lineRule="exact"/>
                    <w:rPr>
                      <w:color w:val="auto"/>
                      <w:szCs w:val="21"/>
                    </w:rPr>
                  </w:pPr>
                  <w:r>
                    <w:rPr>
                      <w:color w:val="auto"/>
                      <w:spacing w:val="-10"/>
                      <w:szCs w:val="21"/>
                    </w:rPr>
                    <w:t>4.严格污染地块开发利用和流转审批。按照国家有关环境标准和技术规范，编制风险管控方案。</w:t>
                  </w:r>
                </w:p>
              </w:tc>
              <w:tc>
                <w:tcPr>
                  <w:tcW w:w="874" w:type="pct"/>
                  <w:tcBorders>
                    <w:tl2br w:val="nil"/>
                    <w:tr2bl w:val="nil"/>
                  </w:tcBorders>
                  <w:tcMar>
                    <w:top w:w="0" w:type="dxa"/>
                    <w:left w:w="0" w:type="dxa"/>
                    <w:bottom w:w="0" w:type="dxa"/>
                    <w:right w:w="0" w:type="dxa"/>
                  </w:tcMar>
                  <w:vAlign w:val="center"/>
                </w:tcPr>
                <w:p w14:paraId="1022CDB8">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项目原料为</w:t>
                  </w:r>
                  <w:r>
                    <w:rPr>
                      <w:rFonts w:hint="eastAsia" w:ascii="Times New Roman" w:hAnsi="Times New Roman" w:eastAsia="宋体"/>
                      <w:color w:val="auto"/>
                      <w:lang w:bidi="ar"/>
                    </w:rPr>
                    <w:t>废钢材，</w:t>
                  </w:r>
                  <w:r>
                    <w:rPr>
                      <w:rFonts w:ascii="Times New Roman" w:hAnsi="Times New Roman" w:eastAsia="宋体"/>
                      <w:color w:val="auto"/>
                      <w:lang w:bidi="ar"/>
                    </w:rPr>
                    <w:t>不属于环境风险物质；厂区进行了分区防渗；定期排查厂区内各区的防渗措施；本次环评要求项目建成后编制突发环境事件应急预案，并进行备案</w:t>
                  </w:r>
                </w:p>
              </w:tc>
              <w:tc>
                <w:tcPr>
                  <w:tcW w:w="202" w:type="pct"/>
                  <w:tcBorders>
                    <w:tl2br w:val="nil"/>
                    <w:tr2bl w:val="nil"/>
                  </w:tcBorders>
                  <w:tcMar>
                    <w:top w:w="0" w:type="dxa"/>
                    <w:left w:w="0" w:type="dxa"/>
                    <w:bottom w:w="0" w:type="dxa"/>
                    <w:right w:w="0" w:type="dxa"/>
                  </w:tcMar>
                  <w:vAlign w:val="center"/>
                </w:tcPr>
                <w:p w14:paraId="55D07D7F">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符合</w:t>
                  </w:r>
                </w:p>
              </w:tc>
            </w:tr>
            <w:tr w14:paraId="104A69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506" w:type="pct"/>
                  <w:vMerge w:val="continue"/>
                  <w:tcBorders>
                    <w:tl2br w:val="nil"/>
                    <w:tr2bl w:val="nil"/>
                  </w:tcBorders>
                  <w:tcMar>
                    <w:top w:w="0" w:type="dxa"/>
                    <w:left w:w="0" w:type="dxa"/>
                    <w:bottom w:w="0" w:type="dxa"/>
                    <w:right w:w="0" w:type="dxa"/>
                  </w:tcMar>
                  <w:vAlign w:val="center"/>
                </w:tcPr>
                <w:p w14:paraId="72A21D19">
                  <w:pPr>
                    <w:pStyle w:val="109"/>
                    <w:adjustRightInd w:val="0"/>
                    <w:snapToGrid w:val="0"/>
                    <w:spacing w:line="300" w:lineRule="exact"/>
                    <w:rPr>
                      <w:rFonts w:ascii="Times New Roman" w:hAnsi="Times New Roman" w:eastAsia="宋体"/>
                      <w:color w:val="auto"/>
                      <w:lang w:bidi="ar"/>
                    </w:rPr>
                  </w:pPr>
                </w:p>
              </w:tc>
              <w:tc>
                <w:tcPr>
                  <w:tcW w:w="472" w:type="pct"/>
                  <w:tcBorders>
                    <w:tl2br w:val="nil"/>
                    <w:tr2bl w:val="nil"/>
                  </w:tcBorders>
                  <w:tcMar>
                    <w:top w:w="0" w:type="dxa"/>
                    <w:left w:w="0" w:type="dxa"/>
                    <w:bottom w:w="0" w:type="dxa"/>
                    <w:right w:w="0" w:type="dxa"/>
                  </w:tcMar>
                  <w:vAlign w:val="center"/>
                </w:tcPr>
                <w:p w14:paraId="3D61A504">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资源利用效率</w:t>
                  </w:r>
                </w:p>
              </w:tc>
              <w:tc>
                <w:tcPr>
                  <w:tcW w:w="2944" w:type="pct"/>
                  <w:tcBorders>
                    <w:tl2br w:val="nil"/>
                    <w:tr2bl w:val="nil"/>
                  </w:tcBorders>
                  <w:tcMar>
                    <w:top w:w="0" w:type="dxa"/>
                    <w:left w:w="0" w:type="dxa"/>
                    <w:bottom w:w="0" w:type="dxa"/>
                    <w:right w:w="0" w:type="dxa"/>
                  </w:tcMar>
                  <w:vAlign w:val="center"/>
                </w:tcPr>
                <w:p w14:paraId="28E05C77">
                  <w:pPr>
                    <w:spacing w:line="300" w:lineRule="exact"/>
                    <w:rPr>
                      <w:color w:val="auto"/>
                      <w:spacing w:val="-10"/>
                      <w:szCs w:val="21"/>
                    </w:rPr>
                  </w:pPr>
                  <w:r>
                    <w:rPr>
                      <w:color w:val="auto"/>
                      <w:spacing w:val="-10"/>
                      <w:szCs w:val="21"/>
                    </w:rPr>
                    <w:t>1.严把耗煤新项目准入关，控制煤炭消费总量。</w:t>
                  </w:r>
                </w:p>
                <w:p w14:paraId="4113E1F4">
                  <w:pPr>
                    <w:spacing w:line="300" w:lineRule="exact"/>
                    <w:rPr>
                      <w:color w:val="auto"/>
                      <w:szCs w:val="21"/>
                    </w:rPr>
                  </w:pPr>
                  <w:r>
                    <w:rPr>
                      <w:color w:val="auto"/>
                      <w:szCs w:val="21"/>
                    </w:rPr>
                    <w:t>2.严格实施用水管理。新建，改建、扩建项目用水要达到行业先进水平，节水设施应与主体工程同时设计、同时施工，同时投运。</w:t>
                  </w:r>
                </w:p>
                <w:p w14:paraId="2705288E">
                  <w:pPr>
                    <w:spacing w:line="300" w:lineRule="exact"/>
                    <w:rPr>
                      <w:color w:val="auto"/>
                      <w:szCs w:val="21"/>
                    </w:rPr>
                  </w:pPr>
                  <w:r>
                    <w:rPr>
                      <w:color w:val="auto"/>
                      <w:szCs w:val="21"/>
                    </w:rPr>
                    <w:t>3.提高工业用水效率，提高工业用水重复利用率和中水回用率，满足国家政策和环评要求</w:t>
                  </w:r>
                </w:p>
              </w:tc>
              <w:tc>
                <w:tcPr>
                  <w:tcW w:w="874" w:type="pct"/>
                  <w:tcBorders>
                    <w:tl2br w:val="nil"/>
                    <w:tr2bl w:val="nil"/>
                  </w:tcBorders>
                  <w:tcMar>
                    <w:top w:w="0" w:type="dxa"/>
                    <w:left w:w="0" w:type="dxa"/>
                    <w:bottom w:w="0" w:type="dxa"/>
                    <w:right w:w="0" w:type="dxa"/>
                  </w:tcMar>
                  <w:vAlign w:val="center"/>
                </w:tcPr>
                <w:p w14:paraId="2DC3DC19">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本项目</w:t>
                  </w:r>
                  <w:r>
                    <w:rPr>
                      <w:rFonts w:hint="eastAsia" w:ascii="Times New Roman" w:hAnsi="Times New Roman" w:eastAsia="宋体"/>
                      <w:color w:val="auto"/>
                      <w:lang w:bidi="ar"/>
                    </w:rPr>
                    <w:t>生产过程</w:t>
                  </w:r>
                  <w:r>
                    <w:rPr>
                      <w:rFonts w:ascii="Times New Roman" w:hAnsi="Times New Roman" w:eastAsia="宋体"/>
                      <w:color w:val="auto"/>
                      <w:lang w:bidi="ar"/>
                    </w:rPr>
                    <w:t>不使用煤炭，</w:t>
                  </w:r>
                  <w:r>
                    <w:rPr>
                      <w:rFonts w:hint="eastAsia" w:ascii="Times New Roman" w:hAnsi="Times New Roman" w:eastAsia="宋体"/>
                      <w:color w:val="auto"/>
                      <w:lang w:bidi="ar"/>
                    </w:rPr>
                    <w:t>使用清洁能源电能，且生产过程所用冷却水循环使用不外排</w:t>
                  </w:r>
                </w:p>
              </w:tc>
              <w:tc>
                <w:tcPr>
                  <w:tcW w:w="202" w:type="pct"/>
                  <w:tcBorders>
                    <w:tl2br w:val="nil"/>
                    <w:tr2bl w:val="nil"/>
                  </w:tcBorders>
                  <w:tcMar>
                    <w:top w:w="0" w:type="dxa"/>
                    <w:left w:w="0" w:type="dxa"/>
                    <w:bottom w:w="0" w:type="dxa"/>
                    <w:right w:w="0" w:type="dxa"/>
                  </w:tcMar>
                  <w:vAlign w:val="center"/>
                </w:tcPr>
                <w:p w14:paraId="3E0B903F">
                  <w:pPr>
                    <w:pStyle w:val="109"/>
                    <w:adjustRightInd w:val="0"/>
                    <w:snapToGrid w:val="0"/>
                    <w:spacing w:line="300" w:lineRule="exact"/>
                    <w:rPr>
                      <w:rFonts w:ascii="Times New Roman" w:hAnsi="Times New Roman" w:eastAsia="宋体"/>
                      <w:color w:val="auto"/>
                      <w:lang w:bidi="ar"/>
                    </w:rPr>
                  </w:pPr>
                  <w:r>
                    <w:rPr>
                      <w:rFonts w:ascii="Times New Roman" w:hAnsi="Times New Roman" w:eastAsia="宋体"/>
                      <w:color w:val="auto"/>
                      <w:lang w:bidi="ar"/>
                    </w:rPr>
                    <w:t>符合</w:t>
                  </w:r>
                </w:p>
              </w:tc>
            </w:tr>
          </w:tbl>
          <w:p w14:paraId="1CB38482">
            <w:pPr>
              <w:autoSpaceDE w:val="0"/>
              <w:autoSpaceDN w:val="0"/>
              <w:adjustRightInd w:val="0"/>
              <w:snapToGrid w:val="0"/>
              <w:spacing w:line="360" w:lineRule="auto"/>
              <w:ind w:firstLine="480" w:firstLineChars="200"/>
              <w:rPr>
                <w:color w:val="auto"/>
                <w:kern w:val="0"/>
                <w:sz w:val="24"/>
              </w:rPr>
            </w:pPr>
            <w:r>
              <w:rPr>
                <w:rFonts w:hint="eastAsia"/>
                <w:color w:val="auto"/>
                <w:kern w:val="0"/>
                <w:sz w:val="24"/>
              </w:rPr>
              <w:t>综上，本项目建设符合“三线一单”要求。</w:t>
            </w:r>
          </w:p>
          <w:p w14:paraId="0C6DDED0">
            <w:pPr>
              <w:adjustRightInd w:val="0"/>
              <w:snapToGrid w:val="0"/>
              <w:spacing w:line="360" w:lineRule="auto"/>
              <w:ind w:firstLine="482" w:firstLineChars="200"/>
              <w:rPr>
                <w:b/>
                <w:bCs/>
                <w:color w:val="auto"/>
                <w:sz w:val="24"/>
              </w:rPr>
            </w:pPr>
            <w:r>
              <w:rPr>
                <w:rFonts w:hint="eastAsia"/>
                <w:b/>
                <w:bCs/>
                <w:color w:val="auto"/>
                <w:sz w:val="24"/>
                <w:lang w:val="en-US" w:eastAsia="zh-CN"/>
              </w:rPr>
              <w:t>3</w:t>
            </w:r>
            <w:r>
              <w:rPr>
                <w:rFonts w:hint="eastAsia"/>
                <w:b/>
                <w:bCs/>
                <w:color w:val="auto"/>
                <w:sz w:val="24"/>
              </w:rPr>
              <w:t>、</w:t>
            </w:r>
            <w:r>
              <w:rPr>
                <w:b/>
                <w:bCs/>
                <w:color w:val="auto"/>
                <w:sz w:val="24"/>
              </w:rPr>
              <w:t>选址合理性分析</w:t>
            </w:r>
          </w:p>
          <w:p w14:paraId="79D7DF8E">
            <w:pPr>
              <w:adjustRightInd w:val="0"/>
              <w:snapToGrid w:val="0"/>
              <w:spacing w:line="360" w:lineRule="auto"/>
              <w:ind w:firstLine="480" w:firstLineChars="200"/>
              <w:rPr>
                <w:color w:val="auto"/>
                <w:spacing w:val="-6"/>
                <w:sz w:val="24"/>
              </w:rPr>
            </w:pPr>
            <w:r>
              <w:rPr>
                <w:rFonts w:hint="eastAsia"/>
                <w:color w:val="auto"/>
                <w:sz w:val="24"/>
              </w:rPr>
              <w:t>项目位于托克逊能源重化工工业园区内，周围无自然保护区、国家公园、风景名胜区、世界文化和自然遗产地、饮用水水源保护区、居民区、医院、学校等环境敏感目标；本项目产品为光伏管桩端板头，项目位于装备制造产业区，项用地属于一类工业用地，其建设符合托克逊能源重化工工业园区规划中的产业布局、用地规划等相关要求，园区依托工程可满足项目需求，同时也符合规划环评及其审查意见的要求；项目产生的废气、噪声均可实现达标排放，冷却水和固体废物均可得到妥善处置，项目建设对周围环境影响在可接受范围内。综上所述，</w:t>
            </w:r>
            <w:r>
              <w:rPr>
                <w:rFonts w:hint="eastAsia"/>
                <w:color w:val="auto"/>
                <w:spacing w:val="-6"/>
                <w:sz w:val="24"/>
              </w:rPr>
              <w:t>从环境保护角度分析，本项目选址是合理可行的。</w:t>
            </w:r>
          </w:p>
          <w:p w14:paraId="18F48906">
            <w:pPr>
              <w:pStyle w:val="100"/>
              <w:spacing w:line="360" w:lineRule="auto"/>
              <w:ind w:firstLine="482" w:firstLineChars="200"/>
              <w:jc w:val="both"/>
              <w:rPr>
                <w:rFonts w:ascii="Times New Roman" w:hAnsi="Times New Roman" w:cs="Times New Roman"/>
                <w:b/>
                <w:bCs/>
                <w:color w:val="auto"/>
                <w:kern w:val="2"/>
                <w:sz w:val="24"/>
                <w:szCs w:val="24"/>
              </w:rPr>
            </w:pPr>
            <w:r>
              <w:rPr>
                <w:rFonts w:hint="eastAsia" w:ascii="Times New Roman" w:hAnsi="Times New Roman" w:cs="Times New Roman"/>
                <w:b/>
                <w:bCs/>
                <w:color w:val="auto"/>
                <w:kern w:val="2"/>
                <w:sz w:val="24"/>
                <w:szCs w:val="24"/>
                <w:lang w:val="en-US" w:eastAsia="zh-CN"/>
              </w:rPr>
              <w:t>4</w:t>
            </w:r>
            <w:r>
              <w:rPr>
                <w:rFonts w:hint="eastAsia" w:ascii="Times New Roman" w:hAnsi="Times New Roman" w:cs="Times New Roman"/>
                <w:b/>
                <w:bCs/>
                <w:color w:val="auto"/>
                <w:kern w:val="2"/>
                <w:sz w:val="24"/>
                <w:szCs w:val="24"/>
              </w:rPr>
              <w:t>、项目与《新疆生态环境保护“十四五”规划》的符合性分析</w:t>
            </w:r>
          </w:p>
          <w:p w14:paraId="13710016">
            <w:pPr>
              <w:pStyle w:val="100"/>
              <w:spacing w:line="360" w:lineRule="auto"/>
              <w:ind w:left="109" w:right="22" w:firstLine="486"/>
              <w:jc w:val="both"/>
              <w:rPr>
                <w:color w:val="auto"/>
                <w:sz w:val="24"/>
                <w:szCs w:val="24"/>
              </w:rPr>
            </w:pPr>
            <w:r>
              <w:rPr>
                <w:color w:val="auto"/>
                <w:spacing w:val="2"/>
                <w:sz w:val="24"/>
                <w:szCs w:val="24"/>
              </w:rPr>
              <w:t>《新疆生态环境保护</w:t>
            </w:r>
            <w:r>
              <w:rPr>
                <w:rFonts w:ascii="Times New Roman" w:hAnsi="Times New Roman" w:eastAsia="Times New Roman" w:cs="Times New Roman"/>
                <w:color w:val="auto"/>
                <w:spacing w:val="2"/>
                <w:sz w:val="24"/>
                <w:szCs w:val="24"/>
              </w:rPr>
              <w:t>“</w:t>
            </w:r>
            <w:r>
              <w:rPr>
                <w:color w:val="auto"/>
                <w:spacing w:val="2"/>
                <w:sz w:val="24"/>
                <w:szCs w:val="24"/>
              </w:rPr>
              <w:t>十四五</w:t>
            </w:r>
            <w:r>
              <w:rPr>
                <w:rFonts w:ascii="Times New Roman" w:hAnsi="Times New Roman" w:eastAsia="Times New Roman" w:cs="Times New Roman"/>
                <w:color w:val="auto"/>
                <w:spacing w:val="2"/>
                <w:sz w:val="24"/>
                <w:szCs w:val="24"/>
              </w:rPr>
              <w:t>”</w:t>
            </w:r>
            <w:r>
              <w:rPr>
                <w:color w:val="auto"/>
                <w:spacing w:val="2"/>
                <w:sz w:val="24"/>
                <w:szCs w:val="24"/>
              </w:rPr>
              <w:t>规划》第五章加强</w:t>
            </w:r>
            <w:r>
              <w:rPr>
                <w:color w:val="auto"/>
                <w:spacing w:val="1"/>
                <w:sz w:val="24"/>
                <w:szCs w:val="24"/>
              </w:rPr>
              <w:t>协同控制，改善大气环境，第三节持续推进涉气污染源治理：实施重点行业氮氧</w:t>
            </w:r>
            <w:r>
              <w:rPr>
                <w:color w:val="auto"/>
                <w:spacing w:val="-3"/>
                <w:sz w:val="24"/>
                <w:szCs w:val="24"/>
              </w:rPr>
              <w:t>化物（以下简称</w:t>
            </w:r>
            <w:r>
              <w:rPr>
                <w:rFonts w:ascii="Times New Roman" w:hAnsi="Times New Roman" w:eastAsia="Times New Roman" w:cs="Times New Roman"/>
                <w:color w:val="auto"/>
                <w:spacing w:val="-3"/>
                <w:sz w:val="24"/>
                <w:szCs w:val="24"/>
              </w:rPr>
              <w:t>“NOx”</w:t>
            </w:r>
            <w:r>
              <w:rPr>
                <w:rFonts w:ascii="Times New Roman" w:hAnsi="Times New Roman" w:eastAsia="Times New Roman" w:cs="Times New Roman"/>
                <w:color w:val="auto"/>
                <w:spacing w:val="-25"/>
                <w:sz w:val="24"/>
                <w:szCs w:val="24"/>
              </w:rPr>
              <w:t xml:space="preserve"> </w:t>
            </w:r>
            <w:r>
              <w:rPr>
                <w:color w:val="auto"/>
                <w:spacing w:val="-3"/>
                <w:sz w:val="24"/>
                <w:szCs w:val="24"/>
              </w:rPr>
              <w:t>）等污染物深度治理。持续推</w:t>
            </w:r>
            <w:r>
              <w:rPr>
                <w:color w:val="auto"/>
                <w:spacing w:val="-4"/>
                <w:sz w:val="24"/>
                <w:szCs w:val="24"/>
              </w:rPr>
              <w:t>进钢铁、水泥、</w:t>
            </w:r>
            <w:r>
              <w:rPr>
                <w:color w:val="auto"/>
                <w:spacing w:val="2"/>
                <w:sz w:val="24"/>
                <w:szCs w:val="24"/>
              </w:rPr>
              <w:t>焦化行业超低排放改造。推进玻璃、陶瓷、铸造、铁合金、有色、</w:t>
            </w:r>
            <w:r>
              <w:rPr>
                <w:color w:val="auto"/>
                <w:spacing w:val="-4"/>
                <w:sz w:val="24"/>
                <w:szCs w:val="24"/>
              </w:rPr>
              <w:t>煤化和石化等行业采取清洁生产、提标改造、深度治理等综合措施。</w:t>
            </w:r>
            <w:r>
              <w:rPr>
                <w:color w:val="auto"/>
                <w:spacing w:val="1"/>
                <w:sz w:val="24"/>
                <w:szCs w:val="24"/>
              </w:rPr>
              <w:t>加强自备燃煤机组污染治理设施运行管控，确保按照超低排放标准</w:t>
            </w:r>
            <w:r>
              <w:rPr>
                <w:color w:val="auto"/>
                <w:spacing w:val="2"/>
                <w:sz w:val="24"/>
                <w:szCs w:val="24"/>
              </w:rPr>
              <w:t>运行。针对铸造、铁合金、焦化、水泥、砖瓦、石灰、耐火材料、</w:t>
            </w:r>
            <w:r>
              <w:rPr>
                <w:color w:val="auto"/>
                <w:spacing w:val="1"/>
                <w:sz w:val="24"/>
                <w:szCs w:val="24"/>
              </w:rPr>
              <w:t xml:space="preserve">金属冶炼以及煤化工、石油化工等行业，严格控制物料储存、输送 </w:t>
            </w:r>
            <w:r>
              <w:rPr>
                <w:color w:val="auto"/>
                <w:spacing w:val="-4"/>
                <w:sz w:val="24"/>
                <w:szCs w:val="24"/>
              </w:rPr>
              <w:t>及生产工艺过程无组织排放。重点涉气排放企业逐步取消烟气旁路，</w:t>
            </w:r>
            <w:r>
              <w:rPr>
                <w:color w:val="auto"/>
                <w:spacing w:val="-2"/>
                <w:sz w:val="24"/>
                <w:szCs w:val="24"/>
              </w:rPr>
              <w:t>因安全生产无法取消的，安装在线监控系统。</w:t>
            </w:r>
          </w:p>
          <w:p w14:paraId="5AD08AF2">
            <w:pPr>
              <w:pStyle w:val="100"/>
              <w:spacing w:line="360" w:lineRule="auto"/>
              <w:ind w:left="113" w:right="103" w:firstLine="478"/>
              <w:jc w:val="both"/>
              <w:rPr>
                <w:color w:val="auto"/>
                <w:sz w:val="24"/>
                <w:szCs w:val="24"/>
              </w:rPr>
            </w:pPr>
            <w:r>
              <w:rPr>
                <w:color w:val="auto"/>
                <w:spacing w:val="1"/>
                <w:sz w:val="24"/>
                <w:szCs w:val="24"/>
              </w:rPr>
              <w:t>本项</w:t>
            </w:r>
            <w:r>
              <w:rPr>
                <w:rFonts w:hint="eastAsia"/>
                <w:color w:val="auto"/>
                <w:spacing w:val="1"/>
                <w:sz w:val="24"/>
                <w:szCs w:val="24"/>
              </w:rPr>
              <w:t>为金属制品制造</w:t>
            </w:r>
            <w:r>
              <w:rPr>
                <w:color w:val="auto"/>
                <w:spacing w:val="1"/>
                <w:sz w:val="24"/>
                <w:szCs w:val="24"/>
              </w:rPr>
              <w:t>项目，项目运营期</w:t>
            </w:r>
            <w:r>
              <w:rPr>
                <w:rFonts w:hint="eastAsia"/>
                <w:color w:val="auto"/>
                <w:spacing w:val="1"/>
                <w:sz w:val="24"/>
                <w:szCs w:val="24"/>
              </w:rPr>
              <w:t>主要消耗电能，</w:t>
            </w:r>
            <w:r>
              <w:rPr>
                <w:color w:val="auto"/>
                <w:spacing w:val="1"/>
                <w:sz w:val="24"/>
                <w:szCs w:val="24"/>
              </w:rPr>
              <w:t>产生的污染物为颗粒物，经</w:t>
            </w:r>
            <w:r>
              <w:rPr>
                <w:rFonts w:hint="eastAsia"/>
                <w:color w:val="auto"/>
                <w:spacing w:val="1"/>
                <w:sz w:val="24"/>
                <w:szCs w:val="24"/>
              </w:rPr>
              <w:t>净化设备处理</w:t>
            </w:r>
            <w:r>
              <w:rPr>
                <w:color w:val="auto"/>
                <w:spacing w:val="-4"/>
                <w:sz w:val="24"/>
                <w:szCs w:val="24"/>
              </w:rPr>
              <w:t>能够达标排放，因</w:t>
            </w:r>
            <w:r>
              <w:rPr>
                <w:color w:val="auto"/>
                <w:spacing w:val="-5"/>
                <w:sz w:val="24"/>
                <w:szCs w:val="24"/>
              </w:rPr>
              <w:t>此，本项目符合《新疆生</w:t>
            </w:r>
            <w:r>
              <w:rPr>
                <w:color w:val="auto"/>
                <w:spacing w:val="-1"/>
                <w:sz w:val="24"/>
                <w:szCs w:val="24"/>
              </w:rPr>
              <w:t>态环境保护</w:t>
            </w:r>
            <w:r>
              <w:rPr>
                <w:rFonts w:ascii="Times New Roman" w:hAnsi="Times New Roman" w:eastAsia="Times New Roman" w:cs="Times New Roman"/>
                <w:color w:val="auto"/>
                <w:spacing w:val="-1"/>
                <w:sz w:val="24"/>
                <w:szCs w:val="24"/>
              </w:rPr>
              <w:t>“</w:t>
            </w:r>
            <w:r>
              <w:rPr>
                <w:color w:val="auto"/>
                <w:spacing w:val="-1"/>
                <w:sz w:val="24"/>
                <w:szCs w:val="24"/>
              </w:rPr>
              <w:t>十四五</w:t>
            </w:r>
            <w:r>
              <w:rPr>
                <w:rFonts w:ascii="Times New Roman" w:hAnsi="Times New Roman" w:eastAsia="Times New Roman" w:cs="Times New Roman"/>
                <w:color w:val="auto"/>
                <w:spacing w:val="-1"/>
                <w:sz w:val="24"/>
                <w:szCs w:val="24"/>
              </w:rPr>
              <w:t>”</w:t>
            </w:r>
            <w:r>
              <w:rPr>
                <w:color w:val="auto"/>
                <w:spacing w:val="-1"/>
                <w:sz w:val="24"/>
                <w:szCs w:val="24"/>
              </w:rPr>
              <w:t>规划》的相关要求。</w:t>
            </w:r>
          </w:p>
          <w:p w14:paraId="21779347">
            <w:pPr>
              <w:widowControl/>
              <w:spacing w:line="360" w:lineRule="auto"/>
              <w:ind w:firstLine="482" w:firstLineChars="200"/>
              <w:jc w:val="left"/>
              <w:rPr>
                <w:color w:val="auto"/>
              </w:rPr>
            </w:pPr>
            <w:r>
              <w:rPr>
                <w:rFonts w:hint="eastAsia"/>
                <w:b/>
                <w:bCs/>
                <w:color w:val="auto"/>
                <w:sz w:val="24"/>
                <w:lang w:val="en-US" w:eastAsia="zh-CN"/>
              </w:rPr>
              <w:t>5</w:t>
            </w:r>
            <w:r>
              <w:rPr>
                <w:b/>
                <w:bCs/>
                <w:color w:val="auto"/>
                <w:sz w:val="24"/>
              </w:rPr>
              <w:t>、</w:t>
            </w:r>
            <w:r>
              <w:rPr>
                <w:rFonts w:hint="eastAsia"/>
                <w:b/>
                <w:bCs/>
                <w:color w:val="auto"/>
                <w:sz w:val="24"/>
              </w:rPr>
              <w:t>项目与《吐鲁番市生态环境环保“十四五”规划》符合性分析</w:t>
            </w:r>
            <w:r>
              <w:rPr>
                <w:rFonts w:hint="eastAsia" w:ascii="宋体" w:hAnsi="宋体" w:cs="宋体"/>
                <w:b/>
                <w:bCs/>
                <w:color w:val="auto"/>
                <w:kern w:val="0"/>
                <w:sz w:val="24"/>
                <w:lang w:bidi="ar"/>
              </w:rPr>
              <w:t xml:space="preserve"> </w:t>
            </w:r>
          </w:p>
          <w:p w14:paraId="5ADBCAD8">
            <w:pPr>
              <w:pStyle w:val="100"/>
              <w:spacing w:line="360" w:lineRule="auto"/>
              <w:ind w:left="109" w:right="22" w:firstLine="486"/>
              <w:jc w:val="both"/>
              <w:rPr>
                <w:color w:val="auto"/>
                <w:spacing w:val="1"/>
                <w:sz w:val="24"/>
                <w:szCs w:val="24"/>
              </w:rPr>
            </w:pPr>
            <w:r>
              <w:rPr>
                <w:rFonts w:hint="eastAsia"/>
                <w:color w:val="auto"/>
                <w:spacing w:val="1"/>
                <w:sz w:val="24"/>
                <w:szCs w:val="24"/>
              </w:rPr>
              <w:t>根据《吐鲁番市生态环境环保“十四五”规划》，纵深推进大气污染防治行动。强化多污染物协同控制和区域协同治理，加强细颗粒物和臭氧协同控制，减少重污染天气出现。突出抓好“散乱污”企业整治、重点行业污染源治理，大力推进工业废气、汽车尾气、餐饮油烟、秸秆焚烧和道路建筑扬尘治理。突出抓好散煤综合治理，严格控制煤炭消费总量，扎实推进煤改电、煤改气，大力推进“电化农村”，以高昌区为重点，在城中村、城郊村等集中供暖和天然气还未覆盖的区域，全面推广使用电采暖。全面淘汰黄标车，大力推广新能源汽车等清洁交通工具。加快推进火电、热电机组超低排放清洁化改造，加大工业烟粉尘、挥发性有机废气治理。强化城市烟尘整治，推进新型建筑工业化，控制施工和道路扬尘。持续开展餐饮油烟治理，推进农作物秸秆禁烧和综合利用，巩固矿山粉尘整治成果。健全重污染天气监测、预警和应急响应体系，不断完善大气污染联防联控机制。</w:t>
            </w:r>
          </w:p>
          <w:p w14:paraId="0C5EF2B7">
            <w:pPr>
              <w:pStyle w:val="100"/>
              <w:spacing w:line="360" w:lineRule="auto"/>
              <w:ind w:left="109" w:right="22" w:firstLine="486"/>
              <w:jc w:val="both"/>
              <w:rPr>
                <w:rFonts w:ascii="Times New Roman" w:hAnsi="Times New Roman" w:cs="Times New Roman"/>
                <w:b/>
                <w:bCs/>
                <w:color w:val="auto"/>
                <w:kern w:val="2"/>
                <w:sz w:val="24"/>
                <w:szCs w:val="24"/>
              </w:rPr>
            </w:pPr>
            <w:r>
              <w:rPr>
                <w:color w:val="auto"/>
                <w:spacing w:val="1"/>
                <w:sz w:val="24"/>
                <w:szCs w:val="24"/>
              </w:rPr>
              <w:t>本项目</w:t>
            </w:r>
            <w:r>
              <w:rPr>
                <w:rFonts w:hint="eastAsia"/>
                <w:color w:val="auto"/>
                <w:spacing w:val="1"/>
                <w:sz w:val="24"/>
                <w:szCs w:val="24"/>
              </w:rPr>
              <w:t>为金属制品制造</w:t>
            </w:r>
            <w:r>
              <w:rPr>
                <w:color w:val="auto"/>
                <w:spacing w:val="1"/>
                <w:sz w:val="24"/>
                <w:szCs w:val="24"/>
              </w:rPr>
              <w:t>项目，项目运营期</w:t>
            </w:r>
            <w:r>
              <w:rPr>
                <w:rFonts w:hint="eastAsia"/>
                <w:color w:val="auto"/>
                <w:spacing w:val="1"/>
                <w:sz w:val="24"/>
                <w:szCs w:val="24"/>
              </w:rPr>
              <w:t>主要原材料</w:t>
            </w:r>
            <w:r>
              <w:rPr>
                <w:rFonts w:ascii="Times New Roman" w:hAnsi="Times New Roman" w:cs="Times New Roman"/>
                <w:color w:val="auto"/>
                <w:spacing w:val="1"/>
                <w:sz w:val="24"/>
                <w:szCs w:val="24"/>
              </w:rPr>
              <w:t>为</w:t>
            </w:r>
            <w:r>
              <w:rPr>
                <w:rFonts w:hint="eastAsia" w:ascii="Times New Roman" w:hAnsi="Times New Roman" w:cs="Times New Roman"/>
                <w:color w:val="auto"/>
                <w:spacing w:val="1"/>
                <w:sz w:val="24"/>
                <w:szCs w:val="24"/>
              </w:rPr>
              <w:t>废钢材</w:t>
            </w:r>
            <w:r>
              <w:rPr>
                <w:rFonts w:ascii="Times New Roman" w:hAnsi="Times New Roman" w:cs="Times New Roman"/>
                <w:color w:val="auto"/>
                <w:spacing w:val="1"/>
                <w:sz w:val="24"/>
                <w:szCs w:val="24"/>
              </w:rPr>
              <w:t>，储存在</w:t>
            </w:r>
            <w:r>
              <w:rPr>
                <w:rFonts w:hint="eastAsia" w:ascii="Times New Roman" w:hAnsi="Times New Roman" w:cs="Times New Roman"/>
                <w:color w:val="auto"/>
                <w:spacing w:val="1"/>
                <w:sz w:val="24"/>
                <w:szCs w:val="24"/>
              </w:rPr>
              <w:t>封闭厂房内</w:t>
            </w:r>
            <w:r>
              <w:rPr>
                <w:rFonts w:ascii="Times New Roman" w:hAnsi="Times New Roman" w:cs="Times New Roman"/>
                <w:color w:val="auto"/>
                <w:spacing w:val="1"/>
                <w:sz w:val="24"/>
                <w:szCs w:val="24"/>
              </w:rPr>
              <w:t>，</w:t>
            </w:r>
            <w:r>
              <w:rPr>
                <w:rFonts w:hint="eastAsia" w:ascii="Times New Roman" w:hAnsi="Times New Roman" w:cs="Times New Roman"/>
                <w:color w:val="auto"/>
                <w:spacing w:val="1"/>
                <w:sz w:val="24"/>
                <w:szCs w:val="24"/>
              </w:rPr>
              <w:t>生产工艺主要设备</w:t>
            </w:r>
            <w:r>
              <w:rPr>
                <w:color w:val="auto"/>
                <w:spacing w:val="1"/>
                <w:sz w:val="24"/>
                <w:szCs w:val="24"/>
              </w:rPr>
              <w:t>采用</w:t>
            </w:r>
            <w:r>
              <w:rPr>
                <w:rFonts w:hint="eastAsia"/>
                <w:color w:val="auto"/>
                <w:spacing w:val="1"/>
                <w:sz w:val="24"/>
                <w:szCs w:val="24"/>
              </w:rPr>
              <w:t>中频感应电炉，</w:t>
            </w:r>
            <w:r>
              <w:rPr>
                <w:color w:val="auto"/>
                <w:spacing w:val="1"/>
                <w:sz w:val="24"/>
                <w:szCs w:val="24"/>
              </w:rPr>
              <w:t>产生的污染物为颗粒物</w:t>
            </w:r>
            <w:r>
              <w:rPr>
                <w:rFonts w:hint="eastAsia"/>
                <w:color w:val="auto"/>
                <w:spacing w:val="1"/>
                <w:sz w:val="24"/>
                <w:szCs w:val="24"/>
              </w:rPr>
              <w:t>，</w:t>
            </w:r>
            <w:r>
              <w:rPr>
                <w:color w:val="auto"/>
                <w:spacing w:val="1"/>
                <w:sz w:val="24"/>
                <w:szCs w:val="24"/>
              </w:rPr>
              <w:t>经</w:t>
            </w:r>
            <w:r>
              <w:rPr>
                <w:rFonts w:hint="eastAsia"/>
                <w:color w:val="auto"/>
                <w:spacing w:val="1"/>
                <w:sz w:val="24"/>
                <w:szCs w:val="24"/>
              </w:rPr>
              <w:t>布袋</w:t>
            </w:r>
            <w:r>
              <w:rPr>
                <w:rFonts w:hint="eastAsia" w:ascii="Times New Roman" w:hAnsi="Times New Roman" w:cs="Times New Roman"/>
                <w:color w:val="auto"/>
                <w:spacing w:val="-4"/>
                <w:sz w:val="24"/>
                <w:szCs w:val="24"/>
              </w:rPr>
              <w:t>除尘器处理后</w:t>
            </w:r>
            <w:r>
              <w:rPr>
                <w:color w:val="auto"/>
                <w:spacing w:val="-4"/>
                <w:sz w:val="24"/>
                <w:szCs w:val="24"/>
              </w:rPr>
              <w:t>能够达标排放，</w:t>
            </w:r>
            <w:r>
              <w:rPr>
                <w:rFonts w:hint="eastAsia"/>
                <w:color w:val="auto"/>
                <w:spacing w:val="-4"/>
                <w:sz w:val="24"/>
                <w:szCs w:val="24"/>
              </w:rPr>
              <w:t>有效降低粉尘的无组织排放，</w:t>
            </w:r>
            <w:r>
              <w:rPr>
                <w:color w:val="auto"/>
                <w:spacing w:val="-4"/>
                <w:sz w:val="24"/>
                <w:szCs w:val="24"/>
              </w:rPr>
              <w:t>因</w:t>
            </w:r>
            <w:r>
              <w:rPr>
                <w:color w:val="auto"/>
                <w:spacing w:val="-5"/>
                <w:sz w:val="24"/>
                <w:szCs w:val="24"/>
              </w:rPr>
              <w:t>此，本项目符合《</w:t>
            </w:r>
            <w:r>
              <w:rPr>
                <w:rFonts w:hint="eastAsia"/>
                <w:color w:val="auto"/>
                <w:spacing w:val="1"/>
                <w:sz w:val="24"/>
                <w:szCs w:val="24"/>
              </w:rPr>
              <w:t>吐鲁番市生态环境环保“十四五”规划</w:t>
            </w:r>
            <w:r>
              <w:rPr>
                <w:color w:val="auto"/>
                <w:spacing w:val="-1"/>
                <w:sz w:val="24"/>
                <w:szCs w:val="24"/>
              </w:rPr>
              <w:t>》的相关要求。</w:t>
            </w:r>
          </w:p>
          <w:p w14:paraId="42EFC8A5">
            <w:pPr>
              <w:pStyle w:val="100"/>
              <w:spacing w:line="360" w:lineRule="auto"/>
              <w:ind w:left="106" w:firstLine="482" w:firstLineChars="200"/>
              <w:jc w:val="both"/>
              <w:rPr>
                <w:rFonts w:ascii="Times New Roman" w:hAnsi="Times New Roman" w:cs="Times New Roman"/>
                <w:b/>
                <w:bCs/>
                <w:color w:val="auto"/>
                <w:kern w:val="2"/>
                <w:sz w:val="24"/>
                <w:szCs w:val="24"/>
              </w:rPr>
            </w:pPr>
            <w:r>
              <w:rPr>
                <w:rFonts w:hint="eastAsia" w:ascii="Times New Roman" w:hAnsi="Times New Roman" w:cs="Times New Roman"/>
                <w:b/>
                <w:bCs/>
                <w:color w:val="auto"/>
                <w:kern w:val="2"/>
                <w:sz w:val="24"/>
                <w:szCs w:val="24"/>
                <w:lang w:val="en-US" w:eastAsia="zh-CN"/>
              </w:rPr>
              <w:t>6</w:t>
            </w:r>
            <w:r>
              <w:rPr>
                <w:rFonts w:hint="eastAsia" w:ascii="Times New Roman" w:hAnsi="Times New Roman" w:cs="Times New Roman"/>
                <w:b/>
                <w:bCs/>
                <w:color w:val="auto"/>
                <w:kern w:val="2"/>
                <w:sz w:val="24"/>
                <w:szCs w:val="24"/>
              </w:rPr>
              <w:t>、</w:t>
            </w:r>
            <w:r>
              <w:rPr>
                <w:rFonts w:ascii="Times New Roman" w:hAnsi="Times New Roman" w:cs="Times New Roman"/>
                <w:b/>
                <w:bCs/>
                <w:color w:val="auto"/>
                <w:kern w:val="2"/>
                <w:sz w:val="24"/>
                <w:szCs w:val="24"/>
              </w:rPr>
              <w:t>与《工业料场堆场扬尘整治技术规范》（DB65/T4061-2017）符合性分析</w:t>
            </w:r>
          </w:p>
          <w:p w14:paraId="597361A0">
            <w:pPr>
              <w:pStyle w:val="100"/>
              <w:spacing w:line="360" w:lineRule="auto"/>
              <w:ind w:left="109" w:right="22" w:firstLine="486"/>
              <w:jc w:val="both"/>
              <w:rPr>
                <w:rFonts w:ascii="Times New Roman" w:hAnsi="Times New Roman" w:cs="Times New Roman"/>
                <w:color w:val="auto"/>
                <w:spacing w:val="1"/>
                <w:sz w:val="24"/>
                <w:szCs w:val="24"/>
              </w:rPr>
            </w:pPr>
            <w:r>
              <w:rPr>
                <w:rFonts w:ascii="Times New Roman" w:hAnsi="Times New Roman" w:cs="Times New Roman"/>
                <w:color w:val="auto"/>
                <w:spacing w:val="1"/>
                <w:sz w:val="24"/>
                <w:szCs w:val="24"/>
              </w:rPr>
              <w:t>根据《工业料场堆场扬尘整治技术规范》（DB65/T4061-2017）的文件要求：“5.7工业料堆场内应采用连续输送设备将物料送往用户，避免二次中转倒运。5.8对工业物料堆场内装卸、运输等作业过 程中，易产生扬尘污染的物料必须采取封闭、遮盖、洒水降尘措施，密闭输送物料必须在装料、卸料处配备吸尘、喷淋防尘措施。”</w:t>
            </w:r>
          </w:p>
          <w:p w14:paraId="0D0E886A">
            <w:pPr>
              <w:pStyle w:val="100"/>
              <w:spacing w:line="360" w:lineRule="auto"/>
              <w:ind w:left="109" w:right="22" w:firstLine="486"/>
              <w:jc w:val="both"/>
              <w:rPr>
                <w:rFonts w:ascii="Times New Roman" w:hAnsi="Times New Roman" w:cs="Times New Roman"/>
                <w:color w:val="auto"/>
                <w:spacing w:val="1"/>
                <w:sz w:val="24"/>
                <w:szCs w:val="24"/>
              </w:rPr>
            </w:pPr>
            <w:r>
              <w:rPr>
                <w:rFonts w:ascii="Times New Roman" w:hAnsi="Times New Roman" w:cs="Times New Roman"/>
                <w:color w:val="auto"/>
                <w:spacing w:val="1"/>
                <w:sz w:val="24"/>
                <w:szCs w:val="24"/>
              </w:rPr>
              <w:t>本项目运营期</w:t>
            </w:r>
            <w:r>
              <w:rPr>
                <w:rFonts w:hint="eastAsia" w:ascii="Times New Roman" w:hAnsi="Times New Roman" w:cs="Times New Roman"/>
                <w:color w:val="auto"/>
                <w:spacing w:val="1"/>
                <w:sz w:val="24"/>
                <w:szCs w:val="24"/>
              </w:rPr>
              <w:t>生产原材料为废钢材</w:t>
            </w:r>
            <w:r>
              <w:rPr>
                <w:rFonts w:ascii="Times New Roman" w:hAnsi="Times New Roman" w:cs="Times New Roman"/>
                <w:color w:val="auto"/>
                <w:spacing w:val="1"/>
                <w:sz w:val="24"/>
                <w:szCs w:val="24"/>
              </w:rPr>
              <w:t>，</w:t>
            </w:r>
            <w:r>
              <w:rPr>
                <w:rFonts w:hint="eastAsia" w:ascii="Times New Roman" w:hAnsi="Times New Roman" w:cs="Times New Roman"/>
                <w:color w:val="auto"/>
                <w:spacing w:val="1"/>
                <w:sz w:val="24"/>
                <w:szCs w:val="24"/>
              </w:rPr>
              <w:t>形状为块状，</w:t>
            </w:r>
            <w:r>
              <w:rPr>
                <w:rFonts w:ascii="Times New Roman" w:hAnsi="Times New Roman" w:cs="Times New Roman"/>
                <w:color w:val="auto"/>
                <w:spacing w:val="1"/>
                <w:sz w:val="24"/>
                <w:szCs w:val="24"/>
              </w:rPr>
              <w:t>储存在</w:t>
            </w:r>
            <w:r>
              <w:rPr>
                <w:rFonts w:hint="eastAsia" w:ascii="Times New Roman" w:hAnsi="Times New Roman" w:cs="Times New Roman"/>
                <w:color w:val="auto"/>
                <w:spacing w:val="1"/>
                <w:sz w:val="24"/>
                <w:szCs w:val="24"/>
              </w:rPr>
              <w:t>封闭厂房内</w:t>
            </w:r>
            <w:r>
              <w:rPr>
                <w:rFonts w:ascii="Times New Roman" w:hAnsi="Times New Roman" w:cs="Times New Roman"/>
                <w:color w:val="auto"/>
                <w:spacing w:val="1"/>
                <w:sz w:val="24"/>
                <w:szCs w:val="24"/>
              </w:rPr>
              <w:t>，能够有效降低粉尘的无组织排放。</w:t>
            </w:r>
          </w:p>
          <w:p w14:paraId="3FDCBE80">
            <w:pPr>
              <w:pStyle w:val="100"/>
              <w:spacing w:line="360" w:lineRule="auto"/>
              <w:ind w:left="109" w:right="22" w:firstLine="486"/>
              <w:jc w:val="both"/>
              <w:rPr>
                <w:rFonts w:ascii="Times New Roman" w:hAnsi="Times New Roman" w:cs="Times New Roman"/>
                <w:color w:val="auto"/>
                <w:spacing w:val="1"/>
                <w:sz w:val="24"/>
                <w:szCs w:val="24"/>
              </w:rPr>
            </w:pPr>
            <w:r>
              <w:rPr>
                <w:rFonts w:ascii="Times New Roman" w:hAnsi="Times New Roman" w:cs="Times New Roman"/>
                <w:color w:val="auto"/>
                <w:spacing w:val="1"/>
                <w:sz w:val="24"/>
                <w:szCs w:val="24"/>
              </w:rPr>
              <w:t>综上，本项目的料场堆场扬尘符合《工业料场堆场扬尘整治技术规范》（DB65/T4061-2017）要求。</w:t>
            </w:r>
          </w:p>
          <w:p w14:paraId="5DAC32B0">
            <w:pPr>
              <w:pStyle w:val="100"/>
              <w:spacing w:line="360" w:lineRule="auto"/>
              <w:ind w:left="106" w:firstLine="482" w:firstLineChars="200"/>
              <w:jc w:val="both"/>
              <w:rPr>
                <w:rFonts w:ascii="Times New Roman" w:hAnsi="Times New Roman" w:cs="Times New Roman"/>
                <w:b/>
                <w:bCs/>
                <w:color w:val="auto"/>
                <w:kern w:val="2"/>
                <w:sz w:val="24"/>
                <w:szCs w:val="24"/>
              </w:rPr>
            </w:pPr>
            <w:r>
              <w:rPr>
                <w:rFonts w:hint="eastAsia" w:ascii="Times New Roman" w:hAnsi="Times New Roman" w:cs="Times New Roman"/>
                <w:b/>
                <w:bCs/>
                <w:color w:val="auto"/>
                <w:kern w:val="2"/>
                <w:sz w:val="24"/>
                <w:szCs w:val="24"/>
                <w:lang w:val="en-US" w:eastAsia="zh-CN"/>
              </w:rPr>
              <w:t>7</w:t>
            </w:r>
            <w:r>
              <w:rPr>
                <w:rFonts w:hint="eastAsia" w:ascii="Times New Roman" w:hAnsi="Times New Roman" w:cs="Times New Roman"/>
                <w:b/>
                <w:bCs/>
                <w:color w:val="auto"/>
                <w:kern w:val="2"/>
                <w:sz w:val="24"/>
                <w:szCs w:val="24"/>
              </w:rPr>
              <w:t>、</w:t>
            </w:r>
            <w:r>
              <w:rPr>
                <w:rFonts w:ascii="Times New Roman" w:hAnsi="Times New Roman" w:cs="Times New Roman"/>
                <w:b/>
                <w:bCs/>
                <w:color w:val="auto"/>
                <w:kern w:val="2"/>
                <w:sz w:val="24"/>
                <w:szCs w:val="24"/>
              </w:rPr>
              <w:t>与《建设项目环境保护管理条例》的符合性分析</w:t>
            </w:r>
          </w:p>
          <w:p w14:paraId="3E073269">
            <w:pPr>
              <w:pStyle w:val="100"/>
              <w:spacing w:line="360" w:lineRule="auto"/>
              <w:ind w:left="109" w:right="22" w:firstLine="486"/>
              <w:jc w:val="both"/>
              <w:rPr>
                <w:rFonts w:ascii="Times New Roman" w:hAnsi="Times New Roman" w:cs="Times New Roman"/>
                <w:color w:val="auto"/>
                <w:spacing w:val="1"/>
                <w:sz w:val="24"/>
                <w:szCs w:val="24"/>
              </w:rPr>
            </w:pPr>
            <w:r>
              <w:rPr>
                <w:rFonts w:ascii="Times New Roman" w:hAnsi="Times New Roman" w:cs="Times New Roman"/>
                <w:color w:val="auto"/>
                <w:spacing w:val="1"/>
                <w:sz w:val="24"/>
                <w:szCs w:val="24"/>
              </w:rPr>
              <w:t>根据</w:t>
            </w:r>
            <w:r>
              <w:rPr>
                <w:rFonts w:ascii="Times New Roman" w:hAnsi="Times New Roman" w:cs="Times New Roman"/>
                <w:color w:val="auto"/>
                <w:spacing w:val="1"/>
                <w:sz w:val="24"/>
                <w:szCs w:val="24"/>
                <w:lang w:val="zh-CN"/>
              </w:rPr>
              <w:t>《建设项目环境保护管理条例》</w:t>
            </w:r>
            <w:r>
              <w:rPr>
                <w:rFonts w:ascii="Times New Roman" w:hAnsi="Times New Roman" w:cs="Times New Roman"/>
                <w:color w:val="auto"/>
                <w:spacing w:val="1"/>
                <w:sz w:val="24"/>
                <w:szCs w:val="24"/>
              </w:rPr>
              <w:t>（2017修订）</w:t>
            </w:r>
            <w:r>
              <w:rPr>
                <w:rFonts w:ascii="Times New Roman" w:hAnsi="Times New Roman" w:cs="Times New Roman"/>
                <w:color w:val="auto"/>
                <w:spacing w:val="1"/>
                <w:sz w:val="24"/>
                <w:szCs w:val="24"/>
                <w:lang w:val="zh-CN"/>
              </w:rPr>
              <w:t>的规定，</w:t>
            </w:r>
            <w:r>
              <w:rPr>
                <w:rFonts w:hint="eastAsia" w:ascii="Times New Roman" w:hAnsi="Times New Roman" w:cs="Times New Roman"/>
                <w:color w:val="auto"/>
                <w:spacing w:val="1"/>
                <w:sz w:val="24"/>
                <w:szCs w:val="24"/>
              </w:rPr>
              <w:t>本</w:t>
            </w:r>
            <w:r>
              <w:rPr>
                <w:rFonts w:ascii="Times New Roman" w:hAnsi="Times New Roman" w:cs="Times New Roman"/>
                <w:color w:val="auto"/>
                <w:spacing w:val="1"/>
                <w:sz w:val="24"/>
                <w:szCs w:val="24"/>
              </w:rPr>
              <w:t>项目与该管理条例的符合性分析见</w:t>
            </w:r>
            <w:r>
              <w:rPr>
                <w:rFonts w:hint="eastAsia" w:ascii="Times New Roman" w:hAnsi="Times New Roman" w:cs="Times New Roman"/>
                <w:color w:val="auto"/>
                <w:spacing w:val="1"/>
                <w:sz w:val="24"/>
                <w:szCs w:val="24"/>
              </w:rPr>
              <w:t>表</w:t>
            </w:r>
            <w:r>
              <w:rPr>
                <w:rFonts w:hint="eastAsia" w:ascii="Times New Roman" w:hAnsi="Times New Roman" w:cs="Times New Roman"/>
                <w:color w:val="auto"/>
                <w:spacing w:val="1"/>
                <w:sz w:val="24"/>
                <w:szCs w:val="24"/>
                <w:lang w:val="en-US" w:eastAsia="zh-CN"/>
              </w:rPr>
              <w:t>1-3</w:t>
            </w:r>
            <w:r>
              <w:rPr>
                <w:rFonts w:ascii="Times New Roman" w:hAnsi="Times New Roman" w:cs="Times New Roman"/>
                <w:color w:val="auto"/>
                <w:spacing w:val="1"/>
                <w:sz w:val="24"/>
                <w:szCs w:val="24"/>
              </w:rPr>
              <w:t>。</w:t>
            </w:r>
          </w:p>
          <w:p w14:paraId="67905DD9">
            <w:pPr>
              <w:pStyle w:val="10"/>
              <w:adjustRightInd w:val="0"/>
              <w:snapToGrid w:val="0"/>
              <w:spacing w:after="0" w:line="276" w:lineRule="auto"/>
              <w:jc w:val="center"/>
              <w:rPr>
                <w:b/>
                <w:bCs/>
                <w:color w:val="auto"/>
                <w:sz w:val="21"/>
                <w:szCs w:val="21"/>
              </w:rPr>
            </w:pPr>
            <w:bookmarkStart w:id="5" w:name="_Ref50373847"/>
            <w:r>
              <w:rPr>
                <w:b/>
                <w:bCs/>
                <w:color w:val="auto"/>
                <w:sz w:val="21"/>
                <w:szCs w:val="21"/>
              </w:rPr>
              <w:t>表</w:t>
            </w:r>
            <w:bookmarkEnd w:id="5"/>
            <w:r>
              <w:rPr>
                <w:b/>
                <w:bCs/>
                <w:color w:val="auto"/>
                <w:sz w:val="21"/>
                <w:szCs w:val="21"/>
              </w:rPr>
              <w:t>1-</w:t>
            </w:r>
            <w:r>
              <w:rPr>
                <w:rFonts w:hint="eastAsia"/>
                <w:b/>
                <w:bCs/>
                <w:color w:val="auto"/>
                <w:sz w:val="21"/>
                <w:szCs w:val="21"/>
              </w:rPr>
              <w:t>3</w:t>
            </w:r>
            <w:r>
              <w:rPr>
                <w:b/>
                <w:bCs/>
                <w:color w:val="auto"/>
                <w:sz w:val="21"/>
                <w:szCs w:val="21"/>
              </w:rPr>
              <w:t xml:space="preserve"> </w:t>
            </w:r>
            <w:r>
              <w:rPr>
                <w:rFonts w:hint="eastAsia"/>
                <w:b/>
                <w:bCs/>
                <w:color w:val="auto"/>
                <w:sz w:val="21"/>
                <w:szCs w:val="21"/>
              </w:rPr>
              <w:t xml:space="preserve">  </w:t>
            </w:r>
            <w:r>
              <w:rPr>
                <w:b/>
                <w:bCs/>
                <w:color w:val="auto"/>
                <w:sz w:val="21"/>
                <w:szCs w:val="21"/>
              </w:rPr>
              <w:t>项目与《建设项目环境保护管理条例》符合性分析</w:t>
            </w:r>
          </w:p>
          <w:tbl>
            <w:tblPr>
              <w:tblStyle w:val="24"/>
              <w:tblW w:w="4998"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793"/>
              <w:gridCol w:w="2355"/>
              <w:gridCol w:w="4177"/>
            </w:tblGrid>
            <w:tr w14:paraId="51220A2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148" w:type="pct"/>
                  <w:gridSpan w:val="2"/>
                  <w:shd w:val="clear" w:color="auto" w:fill="auto"/>
                  <w:vAlign w:val="center"/>
                </w:tcPr>
                <w:p w14:paraId="5CB729C1">
                  <w:pPr>
                    <w:adjustRightInd w:val="0"/>
                    <w:snapToGrid w:val="0"/>
                    <w:jc w:val="center"/>
                    <w:rPr>
                      <w:color w:val="auto"/>
                      <w:kern w:val="0"/>
                      <w:szCs w:val="21"/>
                    </w:rPr>
                  </w:pPr>
                  <w:r>
                    <w:rPr>
                      <w:color w:val="auto"/>
                      <w:kern w:val="0"/>
                      <w:szCs w:val="21"/>
                    </w:rPr>
                    <w:t>要求</w:t>
                  </w:r>
                </w:p>
              </w:tc>
              <w:tc>
                <w:tcPr>
                  <w:tcW w:w="2851" w:type="pct"/>
                  <w:shd w:val="clear" w:color="auto" w:fill="auto"/>
                  <w:vAlign w:val="center"/>
                </w:tcPr>
                <w:p w14:paraId="7D5FD580">
                  <w:pPr>
                    <w:adjustRightInd w:val="0"/>
                    <w:snapToGrid w:val="0"/>
                    <w:jc w:val="center"/>
                    <w:rPr>
                      <w:color w:val="auto"/>
                      <w:kern w:val="0"/>
                      <w:szCs w:val="21"/>
                    </w:rPr>
                  </w:pPr>
                  <w:r>
                    <w:rPr>
                      <w:color w:val="auto"/>
                      <w:kern w:val="0"/>
                      <w:szCs w:val="21"/>
                    </w:rPr>
                    <w:t>符合性</w:t>
                  </w:r>
                </w:p>
              </w:tc>
            </w:tr>
            <w:tr w14:paraId="4F5BB00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541" w:type="pct"/>
                  <w:vMerge w:val="restart"/>
                  <w:shd w:val="clear" w:color="auto" w:fill="auto"/>
                  <w:vAlign w:val="center"/>
                </w:tcPr>
                <w:p w14:paraId="03F90149">
                  <w:pPr>
                    <w:adjustRightInd w:val="0"/>
                    <w:snapToGrid w:val="0"/>
                    <w:rPr>
                      <w:color w:val="auto"/>
                      <w:kern w:val="0"/>
                      <w:szCs w:val="21"/>
                    </w:rPr>
                  </w:pPr>
                  <w:r>
                    <w:rPr>
                      <w:color w:val="auto"/>
                      <w:kern w:val="0"/>
                      <w:szCs w:val="21"/>
                    </w:rPr>
                    <w:t>第十一条 建设项目有下列情形之一的，环境保护行政主管部门应当对环境影响报告书、环境影响报告表作出不予批准的决定</w:t>
                  </w:r>
                </w:p>
              </w:tc>
              <w:tc>
                <w:tcPr>
                  <w:tcW w:w="1607" w:type="pct"/>
                  <w:shd w:val="clear" w:color="auto" w:fill="auto"/>
                  <w:vAlign w:val="center"/>
                </w:tcPr>
                <w:p w14:paraId="2293736D">
                  <w:pPr>
                    <w:adjustRightInd w:val="0"/>
                    <w:snapToGrid w:val="0"/>
                    <w:jc w:val="center"/>
                    <w:rPr>
                      <w:color w:val="auto"/>
                      <w:kern w:val="0"/>
                      <w:szCs w:val="21"/>
                    </w:rPr>
                  </w:pPr>
                  <w:r>
                    <w:rPr>
                      <w:color w:val="auto"/>
                      <w:kern w:val="0"/>
                      <w:szCs w:val="21"/>
                    </w:rPr>
                    <w:t>（一）建设项目类型及其选址、布局、规模等不符合环境保护法律法规和相关法定规划。</w:t>
                  </w:r>
                </w:p>
              </w:tc>
              <w:tc>
                <w:tcPr>
                  <w:tcW w:w="2851" w:type="pct"/>
                  <w:shd w:val="clear" w:color="auto" w:fill="auto"/>
                  <w:vAlign w:val="center"/>
                </w:tcPr>
                <w:p w14:paraId="659A1193">
                  <w:pPr>
                    <w:adjustRightInd w:val="0"/>
                    <w:snapToGrid w:val="0"/>
                    <w:rPr>
                      <w:color w:val="auto"/>
                      <w:kern w:val="0"/>
                      <w:szCs w:val="21"/>
                    </w:rPr>
                  </w:pPr>
                  <w:r>
                    <w:rPr>
                      <w:color w:val="auto"/>
                      <w:kern w:val="0"/>
                      <w:szCs w:val="21"/>
                    </w:rPr>
                    <w:t>根据前述分析，项目类型、规模、布局等符合《产业结构调整指导目录（</w:t>
                  </w:r>
                  <w:r>
                    <w:rPr>
                      <w:rFonts w:hint="eastAsia"/>
                      <w:color w:val="auto"/>
                      <w:kern w:val="0"/>
                      <w:szCs w:val="21"/>
                      <w:lang w:val="en-US" w:eastAsia="zh-CN"/>
                    </w:rPr>
                    <w:t>2024</w:t>
                  </w:r>
                  <w:r>
                    <w:rPr>
                      <w:color w:val="auto"/>
                      <w:kern w:val="0"/>
                      <w:szCs w:val="21"/>
                    </w:rPr>
                    <w:t>年本）》、《限制用地项目目录（2012年本）》和《禁止用地项目目录（2012年本）》等环境保</w:t>
                  </w:r>
                  <w:r>
                    <w:rPr>
                      <w:color w:val="auto"/>
                      <w:szCs w:val="21"/>
                    </w:rPr>
                    <w:t>护法律法规。本项目用地为</w:t>
                  </w:r>
                  <w:r>
                    <w:rPr>
                      <w:rFonts w:hint="eastAsia"/>
                      <w:color w:val="auto"/>
                      <w:szCs w:val="21"/>
                    </w:rPr>
                    <w:t>工业用地</w:t>
                  </w:r>
                </w:p>
              </w:tc>
            </w:tr>
            <w:tr w14:paraId="10ABFDE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541" w:type="pct"/>
                  <w:vMerge w:val="continue"/>
                  <w:shd w:val="clear" w:color="auto" w:fill="auto"/>
                  <w:vAlign w:val="center"/>
                </w:tcPr>
                <w:p w14:paraId="1AD2D944">
                  <w:pPr>
                    <w:adjustRightInd w:val="0"/>
                    <w:snapToGrid w:val="0"/>
                    <w:jc w:val="center"/>
                    <w:rPr>
                      <w:color w:val="auto"/>
                      <w:kern w:val="0"/>
                      <w:szCs w:val="21"/>
                    </w:rPr>
                  </w:pPr>
                </w:p>
              </w:tc>
              <w:tc>
                <w:tcPr>
                  <w:tcW w:w="1607" w:type="pct"/>
                  <w:shd w:val="clear" w:color="auto" w:fill="auto"/>
                  <w:vAlign w:val="center"/>
                </w:tcPr>
                <w:p w14:paraId="69EC1183">
                  <w:pPr>
                    <w:adjustRightInd w:val="0"/>
                    <w:snapToGrid w:val="0"/>
                    <w:jc w:val="center"/>
                    <w:rPr>
                      <w:color w:val="auto"/>
                      <w:kern w:val="0"/>
                      <w:szCs w:val="21"/>
                    </w:rPr>
                  </w:pPr>
                  <w:r>
                    <w:rPr>
                      <w:color w:val="auto"/>
                      <w:kern w:val="0"/>
                      <w:szCs w:val="21"/>
                    </w:rPr>
                    <w:t>（二）所在区域环境质量未达到国家或者地方环境质量标准，且建设项目拟采取的措施不能满足区域环境质量改善目标管理要求。</w:t>
                  </w:r>
                </w:p>
              </w:tc>
              <w:tc>
                <w:tcPr>
                  <w:tcW w:w="2851" w:type="pct"/>
                  <w:shd w:val="clear" w:color="auto" w:fill="auto"/>
                  <w:vAlign w:val="center"/>
                </w:tcPr>
                <w:p w14:paraId="17F0345B">
                  <w:pPr>
                    <w:adjustRightInd w:val="0"/>
                    <w:snapToGrid w:val="0"/>
                    <w:rPr>
                      <w:color w:val="auto"/>
                      <w:kern w:val="0"/>
                      <w:szCs w:val="21"/>
                    </w:rPr>
                  </w:pPr>
                  <w:r>
                    <w:rPr>
                      <w:color w:val="auto"/>
                      <w:kern w:val="0"/>
                      <w:szCs w:val="21"/>
                      <w:lang w:val="zh-CN"/>
                    </w:rPr>
                    <w:t>根据项目“三线一单”符合性分析，项目建设采取严格的污染防治措施，不会对周围大气、水环境质量等造成影响，满足区域环境质量改善目标管理的要求</w:t>
                  </w:r>
                </w:p>
              </w:tc>
            </w:tr>
            <w:tr w14:paraId="6821C44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41" w:type="pct"/>
                  <w:vMerge w:val="continue"/>
                  <w:shd w:val="clear" w:color="auto" w:fill="auto"/>
                  <w:vAlign w:val="center"/>
                </w:tcPr>
                <w:p w14:paraId="38B8F805">
                  <w:pPr>
                    <w:adjustRightInd w:val="0"/>
                    <w:snapToGrid w:val="0"/>
                    <w:jc w:val="center"/>
                    <w:rPr>
                      <w:color w:val="auto"/>
                      <w:kern w:val="0"/>
                      <w:szCs w:val="21"/>
                    </w:rPr>
                  </w:pPr>
                </w:p>
              </w:tc>
              <w:tc>
                <w:tcPr>
                  <w:tcW w:w="1607" w:type="pct"/>
                  <w:shd w:val="clear" w:color="auto" w:fill="auto"/>
                  <w:vAlign w:val="center"/>
                </w:tcPr>
                <w:p w14:paraId="50C6FC48">
                  <w:pPr>
                    <w:adjustRightInd w:val="0"/>
                    <w:snapToGrid w:val="0"/>
                    <w:jc w:val="center"/>
                    <w:rPr>
                      <w:color w:val="auto"/>
                      <w:kern w:val="0"/>
                      <w:szCs w:val="21"/>
                    </w:rPr>
                  </w:pPr>
                  <w:r>
                    <w:rPr>
                      <w:color w:val="auto"/>
                      <w:kern w:val="0"/>
                      <w:szCs w:val="21"/>
                    </w:rPr>
                    <w:t>（三）建设项目采取的污染防治措施无法确保污染物排放达到国家和地方排放标准，或者未采取必要措施预防和控制生态破坏。</w:t>
                  </w:r>
                </w:p>
              </w:tc>
              <w:tc>
                <w:tcPr>
                  <w:tcW w:w="2851" w:type="pct"/>
                  <w:shd w:val="clear" w:color="auto" w:fill="auto"/>
                  <w:vAlign w:val="center"/>
                </w:tcPr>
                <w:p w14:paraId="4614FDA3">
                  <w:pPr>
                    <w:adjustRightInd w:val="0"/>
                    <w:snapToGrid w:val="0"/>
                    <w:rPr>
                      <w:color w:val="auto"/>
                      <w:kern w:val="0"/>
                      <w:szCs w:val="21"/>
                    </w:rPr>
                  </w:pPr>
                  <w:r>
                    <w:rPr>
                      <w:color w:val="auto"/>
                      <w:kern w:val="0"/>
                      <w:szCs w:val="21"/>
                    </w:rPr>
                    <w:t>根据分析，本项目污染物排放浓度满足相应国家和地方排放标准要求，采取环评提出的废气、废水、噪声、固废防治措施后，污染物可达标排放，对周围环境影响较小</w:t>
                  </w:r>
                </w:p>
              </w:tc>
            </w:tr>
            <w:tr w14:paraId="1A6F02F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41" w:type="pct"/>
                  <w:vMerge w:val="continue"/>
                  <w:shd w:val="clear" w:color="auto" w:fill="auto"/>
                  <w:vAlign w:val="center"/>
                </w:tcPr>
                <w:p w14:paraId="692CF1EE">
                  <w:pPr>
                    <w:adjustRightInd w:val="0"/>
                    <w:snapToGrid w:val="0"/>
                    <w:jc w:val="center"/>
                    <w:rPr>
                      <w:color w:val="auto"/>
                      <w:kern w:val="0"/>
                      <w:szCs w:val="21"/>
                    </w:rPr>
                  </w:pPr>
                </w:p>
              </w:tc>
              <w:tc>
                <w:tcPr>
                  <w:tcW w:w="1607" w:type="pct"/>
                  <w:shd w:val="clear" w:color="auto" w:fill="auto"/>
                  <w:vAlign w:val="center"/>
                </w:tcPr>
                <w:p w14:paraId="396F7C06">
                  <w:pPr>
                    <w:adjustRightInd w:val="0"/>
                    <w:snapToGrid w:val="0"/>
                    <w:jc w:val="center"/>
                    <w:rPr>
                      <w:color w:val="auto"/>
                      <w:kern w:val="0"/>
                      <w:szCs w:val="21"/>
                    </w:rPr>
                  </w:pPr>
                  <w:r>
                    <w:rPr>
                      <w:color w:val="auto"/>
                      <w:kern w:val="0"/>
                      <w:szCs w:val="21"/>
                    </w:rPr>
                    <w:t>（四）改建、扩建和技术改造项目，未针对项目原有环境污染和生态破坏提出有效防治措施。</w:t>
                  </w:r>
                </w:p>
              </w:tc>
              <w:tc>
                <w:tcPr>
                  <w:tcW w:w="2851" w:type="pct"/>
                  <w:shd w:val="clear" w:color="auto" w:fill="auto"/>
                  <w:vAlign w:val="center"/>
                </w:tcPr>
                <w:p w14:paraId="4089DA49">
                  <w:pPr>
                    <w:adjustRightInd w:val="0"/>
                    <w:snapToGrid w:val="0"/>
                    <w:rPr>
                      <w:color w:val="auto"/>
                      <w:kern w:val="0"/>
                      <w:szCs w:val="21"/>
                    </w:rPr>
                  </w:pPr>
                  <w:r>
                    <w:rPr>
                      <w:color w:val="auto"/>
                      <w:kern w:val="0"/>
                      <w:szCs w:val="21"/>
                    </w:rPr>
                    <w:t>本项目属于新建项目，</w:t>
                  </w:r>
                  <w:r>
                    <w:rPr>
                      <w:color w:val="auto"/>
                      <w:szCs w:val="21"/>
                    </w:rPr>
                    <w:t>项目用地为</w:t>
                  </w:r>
                  <w:r>
                    <w:rPr>
                      <w:rFonts w:hint="eastAsia"/>
                      <w:color w:val="auto"/>
                      <w:szCs w:val="21"/>
                    </w:rPr>
                    <w:t>工业用地</w:t>
                  </w:r>
                  <w:r>
                    <w:rPr>
                      <w:color w:val="auto"/>
                      <w:szCs w:val="21"/>
                    </w:rPr>
                    <w:t>，地块前期</w:t>
                  </w:r>
                  <w:r>
                    <w:rPr>
                      <w:rFonts w:hint="eastAsia"/>
                      <w:color w:val="auto"/>
                      <w:szCs w:val="21"/>
                    </w:rPr>
                    <w:t>建筑已通过环保验收</w:t>
                  </w:r>
                  <w:r>
                    <w:rPr>
                      <w:color w:val="auto"/>
                      <w:szCs w:val="21"/>
                    </w:rPr>
                    <w:t>，不存在</w:t>
                  </w:r>
                  <w:r>
                    <w:rPr>
                      <w:color w:val="auto"/>
                      <w:kern w:val="0"/>
                      <w:szCs w:val="21"/>
                    </w:rPr>
                    <w:t>原有环境污染和生态破坏问题</w:t>
                  </w:r>
                </w:p>
              </w:tc>
            </w:tr>
          </w:tbl>
          <w:p w14:paraId="4755285A">
            <w:pPr>
              <w:spacing w:line="360" w:lineRule="auto"/>
              <w:ind w:firstLine="484" w:firstLineChars="200"/>
              <w:rPr>
                <w:color w:val="auto"/>
                <w:spacing w:val="1"/>
                <w:kern w:val="0"/>
                <w:sz w:val="24"/>
                <w:lang w:val="zh-CN"/>
              </w:rPr>
            </w:pPr>
            <w:r>
              <w:rPr>
                <w:color w:val="auto"/>
                <w:spacing w:val="1"/>
                <w:kern w:val="0"/>
                <w:sz w:val="24"/>
                <w:lang w:val="zh-CN"/>
              </w:rPr>
              <w:t>由上表可知，</w:t>
            </w:r>
            <w:r>
              <w:rPr>
                <w:rFonts w:hint="eastAsia"/>
                <w:color w:val="auto"/>
                <w:spacing w:val="1"/>
                <w:kern w:val="0"/>
                <w:sz w:val="24"/>
                <w:lang w:val="zh-CN"/>
              </w:rPr>
              <w:t>本</w:t>
            </w:r>
            <w:r>
              <w:rPr>
                <w:color w:val="auto"/>
                <w:spacing w:val="1"/>
                <w:kern w:val="0"/>
                <w:sz w:val="24"/>
                <w:lang w:val="zh-CN"/>
              </w:rPr>
              <w:t>项目的建设可满足《建设项目环境保护管理条例》的要求。</w:t>
            </w:r>
          </w:p>
          <w:p w14:paraId="08B8D0BC">
            <w:pPr>
              <w:pStyle w:val="100"/>
              <w:spacing w:line="360" w:lineRule="auto"/>
              <w:ind w:left="106" w:firstLine="482" w:firstLineChars="200"/>
              <w:jc w:val="both"/>
              <w:rPr>
                <w:rFonts w:ascii="Times New Roman" w:hAnsi="Times New Roman" w:cs="Times New Roman"/>
                <w:b/>
                <w:bCs/>
                <w:color w:val="auto"/>
                <w:kern w:val="2"/>
                <w:sz w:val="24"/>
                <w:szCs w:val="24"/>
              </w:rPr>
            </w:pPr>
            <w:r>
              <w:rPr>
                <w:rFonts w:hint="eastAsia" w:ascii="Times New Roman" w:hAnsi="Times New Roman" w:cs="Times New Roman"/>
                <w:b/>
                <w:bCs/>
                <w:color w:val="auto"/>
                <w:kern w:val="2"/>
                <w:sz w:val="24"/>
                <w:szCs w:val="24"/>
                <w:lang w:val="en-US" w:eastAsia="zh-CN"/>
              </w:rPr>
              <w:t>8</w:t>
            </w:r>
            <w:r>
              <w:rPr>
                <w:rFonts w:hint="eastAsia" w:ascii="Times New Roman" w:hAnsi="Times New Roman" w:cs="Times New Roman"/>
                <w:b/>
                <w:bCs/>
                <w:color w:val="auto"/>
                <w:kern w:val="2"/>
                <w:sz w:val="24"/>
                <w:szCs w:val="24"/>
              </w:rPr>
              <w:t>、项目与《新疆维吾尔自治区大气污染防治条例》（2019版）符合性分析</w:t>
            </w:r>
          </w:p>
          <w:p w14:paraId="187D7BCD">
            <w:pPr>
              <w:pStyle w:val="100"/>
              <w:spacing w:line="360" w:lineRule="auto"/>
              <w:ind w:left="109" w:right="22" w:firstLine="486"/>
              <w:jc w:val="both"/>
              <w:rPr>
                <w:rFonts w:ascii="Times New Roman" w:hAnsi="Times New Roman" w:cs="Times New Roman"/>
                <w:color w:val="auto"/>
                <w:spacing w:val="1"/>
                <w:sz w:val="24"/>
                <w:szCs w:val="24"/>
              </w:rPr>
            </w:pPr>
            <w:r>
              <w:rPr>
                <w:rFonts w:hint="eastAsia" w:ascii="Times New Roman" w:hAnsi="Times New Roman" w:cs="Times New Roman"/>
                <w:color w:val="auto"/>
                <w:spacing w:val="1"/>
                <w:sz w:val="24"/>
                <w:szCs w:val="24"/>
              </w:rPr>
              <w:t>《新疆维吾尔自治区大气污染防治条例》（2019版）中“第三章 防治措施，</w:t>
            </w:r>
            <w:r>
              <w:rPr>
                <w:rFonts w:ascii="Times New Roman" w:hAnsi="Times New Roman" w:cs="Times New Roman"/>
                <w:color w:val="auto"/>
                <w:spacing w:val="1"/>
                <w:sz w:val="24"/>
                <w:szCs w:val="24"/>
              </w:rPr>
              <w:t>第四节 扬尘污染防治第三十七条 各级人民政府应当加强对建设施工、矿产资源开采、物料运输的扬尘和沙尘污染的治理，保持道路清洁、控制料堆和渣土堆放，科学合理扩大绿地、水面、湿地、地面铺装和防风固沙绿化面积，防治扬尘污染</w:t>
            </w:r>
            <w:r>
              <w:rPr>
                <w:rFonts w:hint="eastAsia" w:ascii="Times New Roman" w:hAnsi="Times New Roman" w:cs="Times New Roman"/>
                <w:color w:val="auto"/>
                <w:spacing w:val="1"/>
                <w:sz w:val="24"/>
                <w:szCs w:val="24"/>
              </w:rPr>
              <w:t>”</w:t>
            </w:r>
            <w:r>
              <w:rPr>
                <w:rFonts w:ascii="Times New Roman" w:hAnsi="Times New Roman" w:cs="Times New Roman"/>
                <w:color w:val="auto"/>
                <w:spacing w:val="1"/>
                <w:sz w:val="24"/>
                <w:szCs w:val="24"/>
              </w:rPr>
              <w:t>。</w:t>
            </w:r>
            <w:r>
              <w:rPr>
                <w:rFonts w:hint="eastAsia" w:ascii="Times New Roman" w:hAnsi="Times New Roman" w:cs="Times New Roman"/>
                <w:color w:val="auto"/>
                <w:spacing w:val="1"/>
                <w:sz w:val="24"/>
                <w:szCs w:val="24"/>
              </w:rPr>
              <w:t>“</w:t>
            </w:r>
            <w:r>
              <w:rPr>
                <w:rFonts w:ascii="Times New Roman" w:hAnsi="Times New Roman" w:cs="Times New Roman"/>
                <w:color w:val="auto"/>
                <w:spacing w:val="1"/>
                <w:sz w:val="24"/>
                <w:szCs w:val="24"/>
              </w:rPr>
              <w:t>第三十九条 运输、处置建筑垃圾，应当经工程所在地的县（市、区）人民政府确定的监督管理部门同意，按照规定的运输时间、路线和要求清运到指定的场所处理；在场地内堆存的，应当有效覆盖</w:t>
            </w:r>
            <w:r>
              <w:rPr>
                <w:rFonts w:hint="eastAsia" w:ascii="Times New Roman" w:hAnsi="Times New Roman" w:cs="Times New Roman"/>
                <w:color w:val="auto"/>
                <w:spacing w:val="1"/>
                <w:sz w:val="24"/>
                <w:szCs w:val="24"/>
              </w:rPr>
              <w:t>”</w:t>
            </w:r>
            <w:r>
              <w:rPr>
                <w:rFonts w:ascii="Times New Roman" w:hAnsi="Times New Roman" w:cs="Times New Roman"/>
                <w:color w:val="auto"/>
                <w:spacing w:val="1"/>
                <w:sz w:val="24"/>
                <w:szCs w:val="24"/>
              </w:rPr>
              <w:t>。</w:t>
            </w:r>
            <w:r>
              <w:rPr>
                <w:rFonts w:hint="eastAsia" w:ascii="Times New Roman" w:hAnsi="Times New Roman" w:cs="Times New Roman"/>
                <w:color w:val="auto"/>
                <w:spacing w:val="1"/>
                <w:sz w:val="24"/>
                <w:szCs w:val="24"/>
              </w:rPr>
              <w:t>“</w:t>
            </w:r>
            <w:r>
              <w:rPr>
                <w:rFonts w:ascii="Times New Roman" w:hAnsi="Times New Roman" w:cs="Times New Roman"/>
                <w:color w:val="auto"/>
                <w:spacing w:val="1"/>
                <w:sz w:val="24"/>
                <w:szCs w:val="24"/>
              </w:rPr>
              <w:t>第四十条</w:t>
            </w:r>
            <w:r>
              <w:rPr>
                <w:rFonts w:hint="eastAsia" w:ascii="Times New Roman" w:hAnsi="Times New Roman" w:cs="Times New Roman"/>
                <w:color w:val="auto"/>
                <w:spacing w:val="1"/>
                <w:sz w:val="24"/>
                <w:szCs w:val="24"/>
              </w:rPr>
              <w:t xml:space="preserve"> </w:t>
            </w:r>
            <w:r>
              <w:rPr>
                <w:rFonts w:ascii="Times New Roman" w:hAnsi="Times New Roman" w:cs="Times New Roman"/>
                <w:color w:val="auto"/>
                <w:spacing w:val="1"/>
                <w:sz w:val="24"/>
                <w:szCs w:val="24"/>
              </w:rPr>
              <w:t>城市建成区内的施工工地，禁止现场搅拌混凝土；施工现场设置砂浆搅拌机的，应当配备降尘防尘装置。</w:t>
            </w:r>
            <w:r>
              <w:rPr>
                <w:rFonts w:hint="eastAsia" w:ascii="Times New Roman" w:hAnsi="Times New Roman" w:cs="Times New Roman"/>
                <w:color w:val="auto"/>
                <w:spacing w:val="1"/>
                <w:sz w:val="24"/>
                <w:szCs w:val="24"/>
              </w:rPr>
              <w:t>”</w:t>
            </w:r>
          </w:p>
          <w:p w14:paraId="2CFC529E">
            <w:pPr>
              <w:pStyle w:val="100"/>
              <w:spacing w:line="360" w:lineRule="auto"/>
              <w:ind w:right="22" w:firstLine="484" w:firstLineChars="200"/>
              <w:jc w:val="both"/>
              <w:rPr>
                <w:rFonts w:ascii="Times New Roman" w:hAnsi="Times New Roman" w:cs="Times New Roman"/>
                <w:color w:val="auto"/>
                <w:spacing w:val="1"/>
                <w:sz w:val="24"/>
                <w:szCs w:val="24"/>
              </w:rPr>
            </w:pPr>
            <w:r>
              <w:rPr>
                <w:rFonts w:ascii="Times New Roman" w:hAnsi="Times New Roman" w:cs="Times New Roman"/>
                <w:color w:val="auto"/>
                <w:spacing w:val="1"/>
                <w:sz w:val="24"/>
                <w:szCs w:val="24"/>
              </w:rPr>
              <w:t>本项目</w:t>
            </w:r>
            <w:r>
              <w:rPr>
                <w:rFonts w:hint="eastAsia" w:ascii="Times New Roman" w:hAnsi="Times New Roman" w:cs="Times New Roman"/>
                <w:color w:val="auto"/>
                <w:spacing w:val="1"/>
                <w:sz w:val="24"/>
                <w:szCs w:val="24"/>
              </w:rPr>
              <w:t>生产原料废钢材存储于封闭厂房内；本项目不在城市建成区，项目区周边为空地或现状道路；生产工艺过程均带除尘处理装置</w:t>
            </w:r>
            <w:r>
              <w:rPr>
                <w:rFonts w:ascii="Times New Roman" w:hAnsi="Times New Roman" w:cs="Times New Roman"/>
                <w:color w:val="auto"/>
                <w:spacing w:val="1"/>
                <w:sz w:val="24"/>
                <w:szCs w:val="24"/>
              </w:rPr>
              <w:t>。</w:t>
            </w:r>
            <w:r>
              <w:rPr>
                <w:rFonts w:hint="eastAsia" w:ascii="Times New Roman" w:hAnsi="Times New Roman" w:cs="Times New Roman"/>
                <w:color w:val="auto"/>
                <w:spacing w:val="1"/>
                <w:sz w:val="24"/>
                <w:szCs w:val="24"/>
              </w:rPr>
              <w:t>综上所述，本项目符合《新疆维吾尔自治区大气污染防治条例》。</w:t>
            </w:r>
          </w:p>
          <w:p w14:paraId="0788D664">
            <w:pPr>
              <w:numPr>
                <w:ilvl w:val="0"/>
                <w:numId w:val="0"/>
              </w:numPr>
              <w:autoSpaceDE w:val="0"/>
              <w:autoSpaceDN w:val="0"/>
              <w:adjustRightInd w:val="0"/>
              <w:snapToGrid w:val="0"/>
              <w:spacing w:line="360" w:lineRule="auto"/>
              <w:ind w:firstLine="482" w:firstLineChars="200"/>
              <w:rPr>
                <w:rFonts w:hint="eastAsia"/>
                <w:b/>
                <w:color w:val="auto"/>
                <w:kern w:val="0"/>
                <w:sz w:val="24"/>
                <w:lang w:val="en-US" w:eastAsia="zh-CN"/>
              </w:rPr>
            </w:pPr>
            <w:r>
              <w:rPr>
                <w:rFonts w:hint="eastAsia" w:cs="Times New Roman"/>
                <w:b/>
                <w:color w:val="auto"/>
                <w:kern w:val="0"/>
                <w:sz w:val="24"/>
                <w:szCs w:val="24"/>
                <w:lang w:val="en-US" w:eastAsia="zh-CN" w:bidi="ar-SA"/>
              </w:rPr>
              <w:t>9</w:t>
            </w:r>
            <w:r>
              <w:rPr>
                <w:rFonts w:hint="eastAsia" w:ascii="Times New Roman" w:hAnsi="Times New Roman" w:eastAsia="宋体" w:cs="Times New Roman"/>
                <w:b/>
                <w:color w:val="auto"/>
                <w:kern w:val="0"/>
                <w:sz w:val="24"/>
                <w:szCs w:val="24"/>
                <w:lang w:val="en-US" w:eastAsia="zh-CN" w:bidi="ar-SA"/>
              </w:rPr>
              <w:t>、</w:t>
            </w:r>
            <w:r>
              <w:rPr>
                <w:rFonts w:hint="eastAsia"/>
                <w:b/>
                <w:color w:val="auto"/>
                <w:kern w:val="0"/>
                <w:sz w:val="24"/>
                <w:lang w:val="en-US" w:eastAsia="zh-CN"/>
              </w:rPr>
              <w:t>与《</w:t>
            </w:r>
            <w:r>
              <w:rPr>
                <w:rFonts w:hint="eastAsia"/>
                <w:b/>
                <w:color w:val="auto"/>
                <w:kern w:val="0"/>
                <w:sz w:val="24"/>
              </w:rPr>
              <w:t>新疆维吾尔自治区重点行业环境准入条件</w:t>
            </w:r>
            <w:r>
              <w:rPr>
                <w:rFonts w:hint="eastAsia"/>
                <w:b/>
                <w:color w:val="auto"/>
                <w:kern w:val="0"/>
                <w:sz w:val="24"/>
                <w:lang w:val="en-US" w:eastAsia="zh-CN"/>
              </w:rPr>
              <w:t>》的符合性分析</w:t>
            </w:r>
          </w:p>
          <w:p w14:paraId="13C209F3">
            <w:pPr>
              <w:pStyle w:val="10"/>
              <w:adjustRightInd w:val="0"/>
              <w:snapToGrid w:val="0"/>
              <w:spacing w:after="0" w:line="276" w:lineRule="auto"/>
              <w:ind w:left="0" w:leftChars="0" w:firstLine="0" w:firstLineChars="0"/>
              <w:jc w:val="center"/>
              <w:rPr>
                <w:b/>
                <w:bCs/>
                <w:color w:val="auto"/>
                <w:sz w:val="21"/>
                <w:szCs w:val="21"/>
              </w:rPr>
            </w:pPr>
            <w:r>
              <w:rPr>
                <w:b/>
                <w:bCs/>
                <w:color w:val="auto"/>
                <w:sz w:val="21"/>
                <w:szCs w:val="21"/>
              </w:rPr>
              <w:t>表1-</w:t>
            </w:r>
            <w:r>
              <w:rPr>
                <w:rFonts w:hint="eastAsia"/>
                <w:b/>
                <w:bCs/>
                <w:color w:val="auto"/>
                <w:sz w:val="21"/>
                <w:szCs w:val="21"/>
                <w:lang w:val="en-US" w:eastAsia="zh-CN"/>
              </w:rPr>
              <w:t>4</w:t>
            </w:r>
            <w:r>
              <w:rPr>
                <w:b/>
                <w:bCs/>
                <w:color w:val="auto"/>
                <w:sz w:val="21"/>
                <w:szCs w:val="21"/>
              </w:rPr>
              <w:t xml:space="preserve"> </w:t>
            </w:r>
            <w:r>
              <w:rPr>
                <w:rFonts w:hint="eastAsia"/>
                <w:b/>
                <w:bCs/>
                <w:color w:val="auto"/>
                <w:sz w:val="21"/>
                <w:szCs w:val="21"/>
              </w:rPr>
              <w:t xml:space="preserve">  </w:t>
            </w:r>
            <w:r>
              <w:rPr>
                <w:b/>
                <w:bCs/>
                <w:color w:val="auto"/>
                <w:sz w:val="21"/>
                <w:szCs w:val="21"/>
              </w:rPr>
              <w:t>项目与《</w:t>
            </w:r>
            <w:r>
              <w:rPr>
                <w:rFonts w:hint="eastAsia"/>
                <w:b/>
                <w:bCs/>
                <w:color w:val="auto"/>
                <w:sz w:val="21"/>
                <w:szCs w:val="21"/>
              </w:rPr>
              <w:t>新疆维吾尔自治区重点行业环境准入条件</w:t>
            </w:r>
            <w:r>
              <w:rPr>
                <w:b/>
                <w:bCs/>
                <w:color w:val="auto"/>
                <w:sz w:val="21"/>
                <w:szCs w:val="21"/>
              </w:rPr>
              <w:t>》符合性分析</w:t>
            </w:r>
          </w:p>
          <w:tbl>
            <w:tblPr>
              <w:tblStyle w:val="24"/>
              <w:tblW w:w="4997"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3088"/>
              <w:gridCol w:w="2574"/>
              <w:gridCol w:w="1026"/>
            </w:tblGrid>
            <w:tr w14:paraId="5DBC44E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542" w:type="pct"/>
                  <w:gridSpan w:val="2"/>
                  <w:shd w:val="clear" w:color="auto" w:fill="auto"/>
                  <w:vAlign w:val="center"/>
                </w:tcPr>
                <w:p w14:paraId="4B2C0488">
                  <w:pPr>
                    <w:adjustRightInd w:val="0"/>
                    <w:snapToGrid w:val="0"/>
                    <w:jc w:val="center"/>
                    <w:rPr>
                      <w:color w:val="auto"/>
                      <w:kern w:val="0"/>
                      <w:szCs w:val="21"/>
                    </w:rPr>
                  </w:pPr>
                  <w:r>
                    <w:rPr>
                      <w:color w:val="auto"/>
                      <w:kern w:val="0"/>
                      <w:szCs w:val="21"/>
                    </w:rPr>
                    <w:t>要求</w:t>
                  </w:r>
                </w:p>
              </w:tc>
              <w:tc>
                <w:tcPr>
                  <w:tcW w:w="1757" w:type="pct"/>
                  <w:shd w:val="clear" w:color="auto" w:fill="auto"/>
                  <w:vAlign w:val="center"/>
                </w:tcPr>
                <w:p w14:paraId="4CE34490">
                  <w:pPr>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本项目采取措施</w:t>
                  </w:r>
                </w:p>
              </w:tc>
              <w:tc>
                <w:tcPr>
                  <w:tcW w:w="700" w:type="pct"/>
                  <w:shd w:val="clear" w:color="auto" w:fill="auto"/>
                  <w:vAlign w:val="center"/>
                </w:tcPr>
                <w:p w14:paraId="47DD04EB">
                  <w:pPr>
                    <w:adjustRightInd w:val="0"/>
                    <w:snapToGrid w:val="0"/>
                    <w:spacing w:line="240" w:lineRule="auto"/>
                    <w:jc w:val="center"/>
                    <w:rPr>
                      <w:rFonts w:hint="default" w:eastAsia="宋体"/>
                      <w:color w:val="auto"/>
                      <w:kern w:val="0"/>
                      <w:szCs w:val="21"/>
                      <w:lang w:val="en-US" w:eastAsia="zh-CN"/>
                    </w:rPr>
                  </w:pPr>
                  <w:r>
                    <w:rPr>
                      <w:rFonts w:hint="eastAsia"/>
                      <w:color w:val="auto"/>
                      <w:kern w:val="0"/>
                      <w:szCs w:val="21"/>
                      <w:lang w:val="en-US" w:eastAsia="zh-CN"/>
                    </w:rPr>
                    <w:t>符合性分析</w:t>
                  </w:r>
                </w:p>
              </w:tc>
            </w:tr>
            <w:tr w14:paraId="5090A8B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434" w:type="pct"/>
                  <w:vMerge w:val="restart"/>
                  <w:shd w:val="clear" w:color="auto" w:fill="auto"/>
                  <w:vAlign w:val="center"/>
                </w:tcPr>
                <w:p w14:paraId="559D9D10">
                  <w:pPr>
                    <w:adjustRightInd w:val="0"/>
                    <w:snapToGrid w:val="0"/>
                    <w:jc w:val="center"/>
                    <w:rPr>
                      <w:color w:val="auto"/>
                      <w:kern w:val="0"/>
                      <w:szCs w:val="21"/>
                    </w:rPr>
                  </w:pPr>
                  <w:r>
                    <w:rPr>
                      <w:rFonts w:hint="eastAsia"/>
                      <w:color w:val="auto"/>
                      <w:kern w:val="0"/>
                      <w:szCs w:val="21"/>
                    </w:rPr>
                    <w:t>《新疆维吾尔自治区重点行业环境准入条件》中第七章对铸造行业的相关要求</w:t>
                  </w:r>
                </w:p>
              </w:tc>
              <w:tc>
                <w:tcPr>
                  <w:tcW w:w="2108" w:type="pct"/>
                  <w:shd w:val="clear" w:color="auto" w:fill="auto"/>
                  <w:vAlign w:val="center"/>
                </w:tcPr>
                <w:p w14:paraId="61C5BF39">
                  <w:pPr>
                    <w:adjustRightInd w:val="0"/>
                    <w:snapToGrid w:val="0"/>
                    <w:jc w:val="center"/>
                    <w:rPr>
                      <w:color w:val="auto"/>
                      <w:kern w:val="0"/>
                      <w:szCs w:val="21"/>
                    </w:rPr>
                  </w:pPr>
                  <w:r>
                    <w:rPr>
                      <w:color w:val="auto"/>
                      <w:kern w:val="0"/>
                      <w:szCs w:val="21"/>
                    </w:rPr>
                    <w:t>（一）</w:t>
                  </w:r>
                  <w:r>
                    <w:rPr>
                      <w:rFonts w:hint="eastAsia"/>
                      <w:color w:val="auto"/>
                      <w:kern w:val="0"/>
                      <w:szCs w:val="21"/>
                    </w:rPr>
                    <w:t>铸造企业的选址与布局应符合自治区铸造业和装备制造业发展规划</w:t>
                  </w:r>
                  <w:r>
                    <w:rPr>
                      <w:color w:val="auto"/>
                      <w:kern w:val="0"/>
                      <w:szCs w:val="21"/>
                    </w:rPr>
                    <w:t>。</w:t>
                  </w:r>
                </w:p>
              </w:tc>
              <w:tc>
                <w:tcPr>
                  <w:tcW w:w="1757" w:type="pct"/>
                  <w:shd w:val="clear" w:color="auto" w:fill="auto"/>
                  <w:vAlign w:val="center"/>
                </w:tcPr>
                <w:p w14:paraId="42225F28">
                  <w:pPr>
                    <w:adjustRightInd w:val="0"/>
                    <w:snapToGrid w:val="0"/>
                    <w:rPr>
                      <w:rFonts w:hint="default" w:eastAsia="宋体"/>
                      <w:color w:val="auto"/>
                      <w:kern w:val="0"/>
                      <w:szCs w:val="21"/>
                      <w:lang w:val="en-US" w:eastAsia="zh-CN"/>
                    </w:rPr>
                  </w:pPr>
                  <w:r>
                    <w:rPr>
                      <w:rFonts w:hint="eastAsia"/>
                      <w:color w:val="auto"/>
                      <w:kern w:val="0"/>
                      <w:szCs w:val="21"/>
                    </w:rPr>
                    <w:t>本项目位于托克逊能源重化工工业园区，项目位于托克逊县重点管控单元，管控单元名称为托克逊县能源重化工工业园及建材产业园重点管控单元</w:t>
                  </w:r>
                  <w:r>
                    <w:rPr>
                      <w:rFonts w:hint="eastAsia"/>
                      <w:color w:val="auto"/>
                      <w:kern w:val="0"/>
                      <w:szCs w:val="21"/>
                      <w:lang w:eastAsia="zh-CN"/>
                    </w:rPr>
                    <w:t>，</w:t>
                  </w:r>
                  <w:r>
                    <w:rPr>
                      <w:rFonts w:hint="eastAsia"/>
                      <w:color w:val="auto"/>
                      <w:kern w:val="0"/>
                      <w:szCs w:val="21"/>
                      <w:lang w:val="en-US" w:eastAsia="zh-CN"/>
                    </w:rPr>
                    <w:t>项目选址符合园区发展规划</w:t>
                  </w:r>
                </w:p>
              </w:tc>
              <w:tc>
                <w:tcPr>
                  <w:tcW w:w="700" w:type="pct"/>
                  <w:shd w:val="clear" w:color="auto" w:fill="auto"/>
                  <w:vAlign w:val="center"/>
                </w:tcPr>
                <w:p w14:paraId="276331BE">
                  <w:pPr>
                    <w:adjustRightInd w:val="0"/>
                    <w:snapToGrid w:val="0"/>
                    <w:jc w:val="center"/>
                    <w:rPr>
                      <w:rFonts w:hint="eastAsia" w:eastAsia="宋体"/>
                      <w:color w:val="auto"/>
                      <w:kern w:val="0"/>
                      <w:szCs w:val="21"/>
                      <w:lang w:val="en-US" w:eastAsia="zh-CN"/>
                    </w:rPr>
                  </w:pPr>
                  <w:r>
                    <w:rPr>
                      <w:rFonts w:hint="eastAsia"/>
                      <w:color w:val="auto"/>
                      <w:kern w:val="0"/>
                      <w:szCs w:val="21"/>
                      <w:lang w:val="en-US" w:eastAsia="zh-CN"/>
                    </w:rPr>
                    <w:t>符合</w:t>
                  </w:r>
                </w:p>
              </w:tc>
            </w:tr>
            <w:tr w14:paraId="18DEDFD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434" w:type="pct"/>
                  <w:vMerge w:val="continue"/>
                  <w:shd w:val="clear" w:color="auto" w:fill="auto"/>
                  <w:vAlign w:val="center"/>
                </w:tcPr>
                <w:p w14:paraId="69FD7571">
                  <w:pPr>
                    <w:adjustRightInd w:val="0"/>
                    <w:snapToGrid w:val="0"/>
                    <w:jc w:val="center"/>
                    <w:rPr>
                      <w:color w:val="auto"/>
                      <w:kern w:val="0"/>
                      <w:szCs w:val="21"/>
                    </w:rPr>
                  </w:pPr>
                </w:p>
              </w:tc>
              <w:tc>
                <w:tcPr>
                  <w:tcW w:w="2108" w:type="pct"/>
                  <w:shd w:val="clear" w:color="auto" w:fill="auto"/>
                  <w:vAlign w:val="center"/>
                </w:tcPr>
                <w:p w14:paraId="765D33E0">
                  <w:pPr>
                    <w:adjustRightInd w:val="0"/>
                    <w:snapToGrid w:val="0"/>
                    <w:jc w:val="center"/>
                    <w:rPr>
                      <w:color w:val="auto"/>
                      <w:kern w:val="0"/>
                      <w:szCs w:val="21"/>
                    </w:rPr>
                  </w:pPr>
                  <w:r>
                    <w:rPr>
                      <w:color w:val="auto"/>
                      <w:kern w:val="0"/>
                      <w:szCs w:val="21"/>
                    </w:rPr>
                    <w:t>（二）</w:t>
                  </w:r>
                  <w:r>
                    <w:rPr>
                      <w:rFonts w:hint="eastAsia"/>
                      <w:color w:val="auto"/>
                      <w:kern w:val="0"/>
                      <w:szCs w:val="21"/>
                    </w:rPr>
                    <w:t>现有铸造生产企业应通过技术改造等方式提升自身污染防治水平，鼓励采用先进的污染防治技术。</w:t>
                  </w:r>
                </w:p>
              </w:tc>
              <w:tc>
                <w:tcPr>
                  <w:tcW w:w="1757" w:type="pct"/>
                  <w:shd w:val="clear" w:color="auto" w:fill="auto"/>
                  <w:vAlign w:val="center"/>
                </w:tcPr>
                <w:p w14:paraId="080229F1">
                  <w:pPr>
                    <w:adjustRightInd w:val="0"/>
                    <w:snapToGrid w:val="0"/>
                    <w:rPr>
                      <w:color w:val="auto"/>
                      <w:kern w:val="0"/>
                      <w:szCs w:val="21"/>
                    </w:rPr>
                  </w:pPr>
                  <w:r>
                    <w:rPr>
                      <w:rFonts w:hint="eastAsia"/>
                      <w:color w:val="auto"/>
                      <w:kern w:val="0"/>
                      <w:szCs w:val="21"/>
                      <w:lang w:val="zh-CN"/>
                    </w:rPr>
                    <w:t>项目产生的废气、噪声均可实现达标排放，冷却水和固体废物均可得到妥善处置</w:t>
                  </w:r>
                </w:p>
              </w:tc>
              <w:tc>
                <w:tcPr>
                  <w:tcW w:w="700" w:type="pct"/>
                  <w:shd w:val="clear" w:color="auto" w:fill="auto"/>
                  <w:vAlign w:val="center"/>
                </w:tcPr>
                <w:p w14:paraId="2692282B">
                  <w:pPr>
                    <w:adjustRightInd w:val="0"/>
                    <w:snapToGrid w:val="0"/>
                    <w:jc w:val="center"/>
                    <w:rPr>
                      <w:rFonts w:hint="eastAsia"/>
                      <w:color w:val="auto"/>
                      <w:kern w:val="0"/>
                      <w:szCs w:val="21"/>
                      <w:lang w:val="zh-CN"/>
                    </w:rPr>
                  </w:pPr>
                  <w:r>
                    <w:rPr>
                      <w:rFonts w:hint="eastAsia"/>
                      <w:color w:val="auto"/>
                      <w:kern w:val="0"/>
                      <w:szCs w:val="21"/>
                      <w:lang w:val="en-US" w:eastAsia="zh-CN"/>
                    </w:rPr>
                    <w:t>符合</w:t>
                  </w:r>
                </w:p>
              </w:tc>
            </w:tr>
            <w:tr w14:paraId="798066A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34" w:type="pct"/>
                  <w:vMerge w:val="continue"/>
                  <w:shd w:val="clear" w:color="auto" w:fill="auto"/>
                  <w:vAlign w:val="center"/>
                </w:tcPr>
                <w:p w14:paraId="4692C866">
                  <w:pPr>
                    <w:adjustRightInd w:val="0"/>
                    <w:snapToGrid w:val="0"/>
                    <w:jc w:val="center"/>
                    <w:rPr>
                      <w:color w:val="auto"/>
                      <w:kern w:val="0"/>
                      <w:szCs w:val="21"/>
                    </w:rPr>
                  </w:pPr>
                </w:p>
              </w:tc>
              <w:tc>
                <w:tcPr>
                  <w:tcW w:w="2108" w:type="pct"/>
                  <w:shd w:val="clear" w:color="auto" w:fill="auto"/>
                  <w:vAlign w:val="center"/>
                </w:tcPr>
                <w:p w14:paraId="34AF80DC">
                  <w:pPr>
                    <w:adjustRightInd w:val="0"/>
                    <w:snapToGrid w:val="0"/>
                    <w:jc w:val="center"/>
                    <w:rPr>
                      <w:color w:val="auto"/>
                      <w:kern w:val="0"/>
                      <w:szCs w:val="21"/>
                    </w:rPr>
                  </w:pPr>
                  <w:r>
                    <w:rPr>
                      <w:color w:val="auto"/>
                      <w:kern w:val="0"/>
                      <w:szCs w:val="21"/>
                    </w:rPr>
                    <w:t>（三）</w:t>
                  </w:r>
                  <w:r>
                    <w:rPr>
                      <w:rFonts w:hint="eastAsia"/>
                      <w:color w:val="auto"/>
                      <w:kern w:val="0"/>
                      <w:szCs w:val="21"/>
                    </w:rPr>
                    <w:t>厂内预处理达标废水原则上应通过园区或市政排污管网排入园区或区域工业污水处理厂进一步处置。</w:t>
                  </w:r>
                </w:p>
              </w:tc>
              <w:tc>
                <w:tcPr>
                  <w:tcW w:w="1757" w:type="pct"/>
                  <w:shd w:val="clear" w:color="auto" w:fill="auto"/>
                  <w:vAlign w:val="center"/>
                </w:tcPr>
                <w:p w14:paraId="42F43FD7">
                  <w:pPr>
                    <w:adjustRightInd w:val="0"/>
                    <w:snapToGrid w:val="0"/>
                    <w:rPr>
                      <w:color w:val="auto"/>
                      <w:kern w:val="0"/>
                      <w:szCs w:val="21"/>
                    </w:rPr>
                  </w:pPr>
                  <w:r>
                    <w:rPr>
                      <w:rFonts w:hint="eastAsia"/>
                      <w:color w:val="auto"/>
                      <w:kern w:val="0"/>
                      <w:szCs w:val="21"/>
                    </w:rPr>
                    <w:t>厂区产生的生活污水经管线排至园区污水处理厂</w:t>
                  </w:r>
                </w:p>
              </w:tc>
              <w:tc>
                <w:tcPr>
                  <w:tcW w:w="700" w:type="pct"/>
                  <w:shd w:val="clear" w:color="auto" w:fill="auto"/>
                  <w:vAlign w:val="center"/>
                </w:tcPr>
                <w:p w14:paraId="5DE9F98E">
                  <w:pPr>
                    <w:adjustRightInd w:val="0"/>
                    <w:snapToGrid w:val="0"/>
                    <w:jc w:val="center"/>
                    <w:rPr>
                      <w:rFonts w:hint="eastAsia"/>
                      <w:color w:val="auto"/>
                      <w:kern w:val="0"/>
                      <w:szCs w:val="21"/>
                    </w:rPr>
                  </w:pPr>
                  <w:r>
                    <w:rPr>
                      <w:rFonts w:hint="eastAsia"/>
                      <w:color w:val="auto"/>
                      <w:kern w:val="0"/>
                      <w:szCs w:val="21"/>
                      <w:lang w:val="en-US" w:eastAsia="zh-CN"/>
                    </w:rPr>
                    <w:t>符合</w:t>
                  </w:r>
                </w:p>
              </w:tc>
            </w:tr>
            <w:tr w14:paraId="5F1D7AC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34" w:type="pct"/>
                  <w:vMerge w:val="continue"/>
                  <w:shd w:val="clear" w:color="auto" w:fill="auto"/>
                  <w:vAlign w:val="center"/>
                </w:tcPr>
                <w:p w14:paraId="503E28A2">
                  <w:pPr>
                    <w:adjustRightInd w:val="0"/>
                    <w:snapToGrid w:val="0"/>
                    <w:jc w:val="center"/>
                    <w:rPr>
                      <w:color w:val="auto"/>
                      <w:kern w:val="0"/>
                      <w:szCs w:val="21"/>
                    </w:rPr>
                  </w:pPr>
                </w:p>
              </w:tc>
              <w:tc>
                <w:tcPr>
                  <w:tcW w:w="2108" w:type="pct"/>
                  <w:shd w:val="clear" w:color="auto" w:fill="auto"/>
                  <w:vAlign w:val="center"/>
                </w:tcPr>
                <w:p w14:paraId="0D2472C2">
                  <w:pPr>
                    <w:adjustRightInd w:val="0"/>
                    <w:snapToGrid w:val="0"/>
                    <w:jc w:val="center"/>
                    <w:rPr>
                      <w:color w:val="auto"/>
                      <w:kern w:val="0"/>
                      <w:szCs w:val="21"/>
                    </w:rPr>
                  </w:pPr>
                  <w:r>
                    <w:rPr>
                      <w:color w:val="auto"/>
                      <w:kern w:val="0"/>
                      <w:szCs w:val="21"/>
                    </w:rPr>
                    <w:t>（四）</w:t>
                  </w:r>
                  <w:r>
                    <w:rPr>
                      <w:rFonts w:hint="eastAsia"/>
                      <w:color w:val="auto"/>
                      <w:kern w:val="0"/>
                      <w:szCs w:val="21"/>
                    </w:rPr>
                    <w:t>冲天炉、中频感应电炉、电弧炉、精炼炉（AOD、VOD、LF炉）、电阻炉、燃气炉等熔炼设备和精炼设备配套建设高效除尘、除烟设备。</w:t>
                  </w:r>
                </w:p>
              </w:tc>
              <w:tc>
                <w:tcPr>
                  <w:tcW w:w="1757" w:type="pct"/>
                  <w:shd w:val="clear" w:color="auto" w:fill="auto"/>
                  <w:vAlign w:val="center"/>
                </w:tcPr>
                <w:p w14:paraId="1017251B">
                  <w:pPr>
                    <w:adjustRightInd w:val="0"/>
                    <w:snapToGrid w:val="0"/>
                    <w:rPr>
                      <w:rFonts w:hint="default" w:eastAsia="宋体"/>
                      <w:color w:val="auto"/>
                      <w:kern w:val="0"/>
                      <w:szCs w:val="21"/>
                      <w:lang w:val="en-US" w:eastAsia="zh-CN"/>
                    </w:rPr>
                  </w:pPr>
                  <w:r>
                    <w:rPr>
                      <w:color w:val="auto"/>
                      <w:kern w:val="0"/>
                      <w:szCs w:val="21"/>
                    </w:rPr>
                    <w:t>本项目</w:t>
                  </w:r>
                  <w:r>
                    <w:rPr>
                      <w:rFonts w:hint="eastAsia"/>
                      <w:color w:val="auto"/>
                      <w:kern w:val="0"/>
                      <w:szCs w:val="21"/>
                      <w:lang w:val="en-US" w:eastAsia="zh-CN"/>
                    </w:rPr>
                    <w:t>所用的中频感应电炉配套建设袋式除尘设备</w:t>
                  </w:r>
                </w:p>
              </w:tc>
              <w:tc>
                <w:tcPr>
                  <w:tcW w:w="700" w:type="pct"/>
                  <w:shd w:val="clear" w:color="auto" w:fill="auto"/>
                  <w:vAlign w:val="center"/>
                </w:tcPr>
                <w:p w14:paraId="006B7D2E">
                  <w:pPr>
                    <w:adjustRightInd w:val="0"/>
                    <w:snapToGrid w:val="0"/>
                    <w:jc w:val="center"/>
                    <w:rPr>
                      <w:color w:val="auto"/>
                      <w:kern w:val="0"/>
                      <w:szCs w:val="21"/>
                    </w:rPr>
                  </w:pPr>
                  <w:r>
                    <w:rPr>
                      <w:rFonts w:hint="eastAsia"/>
                      <w:color w:val="auto"/>
                      <w:kern w:val="0"/>
                      <w:szCs w:val="21"/>
                      <w:lang w:val="en-US" w:eastAsia="zh-CN"/>
                    </w:rPr>
                    <w:t>符合</w:t>
                  </w:r>
                </w:p>
              </w:tc>
            </w:tr>
            <w:tr w14:paraId="6A6406A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19" w:hRule="atLeast"/>
              </w:trPr>
              <w:tc>
                <w:tcPr>
                  <w:tcW w:w="434" w:type="pct"/>
                  <w:vMerge w:val="continue"/>
                  <w:shd w:val="clear" w:color="auto" w:fill="auto"/>
                  <w:vAlign w:val="center"/>
                </w:tcPr>
                <w:p w14:paraId="739B63B6">
                  <w:pPr>
                    <w:adjustRightInd w:val="0"/>
                    <w:snapToGrid w:val="0"/>
                    <w:jc w:val="center"/>
                    <w:rPr>
                      <w:color w:val="auto"/>
                      <w:kern w:val="0"/>
                      <w:szCs w:val="21"/>
                    </w:rPr>
                  </w:pPr>
                </w:p>
              </w:tc>
              <w:tc>
                <w:tcPr>
                  <w:tcW w:w="2108" w:type="pct"/>
                  <w:shd w:val="clear" w:color="auto" w:fill="auto"/>
                  <w:vAlign w:val="center"/>
                </w:tcPr>
                <w:p w14:paraId="6F8C546A">
                  <w:pPr>
                    <w:adjustRightInd w:val="0"/>
                    <w:snapToGrid w:val="0"/>
                    <w:jc w:val="center"/>
                    <w:rPr>
                      <w:color w:val="auto"/>
                      <w:kern w:val="0"/>
                      <w:szCs w:val="21"/>
                    </w:rPr>
                  </w:pPr>
                  <w:r>
                    <w:rPr>
                      <w:color w:val="auto"/>
                      <w:kern w:val="0"/>
                      <w:szCs w:val="21"/>
                    </w:rPr>
                    <w:t>（</w:t>
                  </w:r>
                  <w:r>
                    <w:rPr>
                      <w:rFonts w:hint="eastAsia"/>
                      <w:color w:val="auto"/>
                      <w:kern w:val="0"/>
                      <w:szCs w:val="21"/>
                      <w:lang w:val="en-US" w:eastAsia="zh-CN"/>
                    </w:rPr>
                    <w:t>五</w:t>
                  </w:r>
                  <w:r>
                    <w:rPr>
                      <w:color w:val="auto"/>
                      <w:kern w:val="0"/>
                      <w:szCs w:val="21"/>
                    </w:rPr>
                    <w:t>）</w:t>
                  </w:r>
                  <w:r>
                    <w:rPr>
                      <w:rFonts w:hint="eastAsia"/>
                      <w:color w:val="auto"/>
                      <w:kern w:val="0"/>
                      <w:szCs w:val="21"/>
                    </w:rPr>
                    <w:t>根据“资源化、减量化、无害化”的原则，对固体废物进行分类收集、规范处置。铸造生产企业厂内设置专门场所定点存放各类固废。废砂、废渣等一般固体废物贮存业固体废物贮存、处置场污染控制标准》（GB18599）。危险废物立足于项目或园区就近安全处置，危险废物贮存应满足《危险废物贮存污染控制标准》（GB18597），危险废物转移应满足《危险废物转移联单管理办法》要求，不能综合利用的危险废物应交由有资质的危险废物处置单位进行无害化处置。</w:t>
                  </w:r>
                </w:p>
              </w:tc>
              <w:tc>
                <w:tcPr>
                  <w:tcW w:w="1757" w:type="pct"/>
                  <w:shd w:val="clear" w:color="auto" w:fill="auto"/>
                  <w:vAlign w:val="center"/>
                </w:tcPr>
                <w:p w14:paraId="62B178FA">
                  <w:pPr>
                    <w:adjustRightInd w:val="0"/>
                    <w:snapToGrid w:val="0"/>
                    <w:rPr>
                      <w:color w:val="auto"/>
                      <w:kern w:val="0"/>
                      <w:szCs w:val="21"/>
                    </w:rPr>
                  </w:pPr>
                  <w:r>
                    <w:rPr>
                      <w:rFonts w:hint="eastAsia" w:ascii="Times New Roman" w:hAnsi="Times New Roman" w:eastAsia="宋体"/>
                      <w:color w:val="auto"/>
                      <w:lang w:bidi="ar"/>
                    </w:rPr>
                    <w:t>一般固体废物</w:t>
                  </w:r>
                  <w:r>
                    <w:rPr>
                      <w:rFonts w:hint="eastAsia"/>
                      <w:color w:val="auto"/>
                    </w:rPr>
                    <w:t>：炉渣、废边角料、残次品及除尘灰收集后回用；废金属模具厂家回收，以旧换新；脱模剂外包装交由废品回收站处理；危险废物：废机油、废乳化液、废液压油按危废贮存要求存放，委托具有相应资质单位处置；</w:t>
                  </w:r>
                  <w:r>
                    <w:rPr>
                      <w:rFonts w:hint="eastAsia" w:ascii="Times New Roman" w:hAnsi="Times New Roman" w:eastAsia="宋体"/>
                      <w:color w:val="auto"/>
                      <w:lang w:bidi="ar"/>
                    </w:rPr>
                    <w:t>生活垃圾集中收集后送至托克逊县生活垃圾填埋场处理</w:t>
                  </w:r>
                </w:p>
              </w:tc>
              <w:tc>
                <w:tcPr>
                  <w:tcW w:w="700" w:type="pct"/>
                  <w:shd w:val="clear" w:color="auto" w:fill="auto"/>
                  <w:vAlign w:val="center"/>
                </w:tcPr>
                <w:p w14:paraId="1195F9A5">
                  <w:pPr>
                    <w:adjustRightInd w:val="0"/>
                    <w:snapToGrid w:val="0"/>
                    <w:jc w:val="center"/>
                    <w:rPr>
                      <w:rFonts w:hint="eastAsia" w:ascii="Times New Roman" w:hAnsi="Times New Roman" w:eastAsia="宋体"/>
                      <w:color w:val="auto"/>
                      <w:lang w:bidi="ar"/>
                    </w:rPr>
                  </w:pPr>
                  <w:r>
                    <w:rPr>
                      <w:rFonts w:hint="eastAsia"/>
                      <w:color w:val="auto"/>
                      <w:kern w:val="0"/>
                      <w:szCs w:val="21"/>
                      <w:lang w:val="en-US" w:eastAsia="zh-CN"/>
                    </w:rPr>
                    <w:t>符合</w:t>
                  </w:r>
                </w:p>
              </w:tc>
            </w:tr>
            <w:tr w14:paraId="73C3E49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34" w:type="pct"/>
                  <w:vMerge w:val="continue"/>
                  <w:shd w:val="clear" w:color="auto" w:fill="auto"/>
                  <w:vAlign w:val="center"/>
                </w:tcPr>
                <w:p w14:paraId="3D0C5486">
                  <w:pPr>
                    <w:adjustRightInd w:val="0"/>
                    <w:snapToGrid w:val="0"/>
                    <w:jc w:val="center"/>
                    <w:rPr>
                      <w:color w:val="auto"/>
                      <w:kern w:val="0"/>
                      <w:szCs w:val="21"/>
                    </w:rPr>
                  </w:pPr>
                </w:p>
              </w:tc>
              <w:tc>
                <w:tcPr>
                  <w:tcW w:w="2108" w:type="pct"/>
                  <w:shd w:val="clear" w:color="auto" w:fill="auto"/>
                  <w:vAlign w:val="center"/>
                </w:tcPr>
                <w:p w14:paraId="31271D1F">
                  <w:pPr>
                    <w:adjustRightInd w:val="0"/>
                    <w:snapToGrid w:val="0"/>
                    <w:jc w:val="center"/>
                    <w:rPr>
                      <w:color w:val="auto"/>
                      <w:kern w:val="0"/>
                      <w:szCs w:val="21"/>
                    </w:rPr>
                  </w:pPr>
                  <w:r>
                    <w:rPr>
                      <w:color w:val="auto"/>
                      <w:kern w:val="0"/>
                      <w:szCs w:val="21"/>
                    </w:rPr>
                    <w:t>（</w:t>
                  </w:r>
                  <w:r>
                    <w:rPr>
                      <w:rFonts w:hint="eastAsia"/>
                      <w:color w:val="auto"/>
                      <w:kern w:val="0"/>
                      <w:szCs w:val="21"/>
                      <w:lang w:val="en-US" w:eastAsia="zh-CN"/>
                    </w:rPr>
                    <w:t>六</w:t>
                  </w:r>
                  <w:r>
                    <w:rPr>
                      <w:color w:val="auto"/>
                      <w:kern w:val="0"/>
                      <w:szCs w:val="21"/>
                    </w:rPr>
                    <w:t>）</w:t>
                  </w:r>
                  <w:r>
                    <w:rPr>
                      <w:rFonts w:hint="eastAsia"/>
                      <w:color w:val="auto"/>
                      <w:kern w:val="0"/>
                      <w:szCs w:val="21"/>
                    </w:rPr>
                    <w:t>铸造生产企业应积极开展清洁生产。鼓励采用机械化和自动化程度较高的生产设备，减少手工操作，落砂、抛丸等工序采用封闭型机械设备，砂型铸造熔化工段冲天炉采用高碳、低硫焦炭，鼓励使用电炉，熔化（熔模铸造）、保温、烘干等相关设备采用电或天然气等清洁能源，不得使用国家相关政策要求淘汰的设备</w:t>
                  </w:r>
                </w:p>
              </w:tc>
              <w:tc>
                <w:tcPr>
                  <w:tcW w:w="1757" w:type="pct"/>
                  <w:shd w:val="clear" w:color="auto" w:fill="auto"/>
                  <w:vAlign w:val="center"/>
                </w:tcPr>
                <w:p w14:paraId="0F2EBCA7">
                  <w:pPr>
                    <w:adjustRightInd w:val="0"/>
                    <w:snapToGrid w:val="0"/>
                    <w:rPr>
                      <w:rFonts w:hint="default" w:ascii="Times New Roman" w:hAnsi="Times New Roman" w:eastAsia="宋体"/>
                      <w:color w:val="auto"/>
                      <w:lang w:val="en-US" w:eastAsia="zh-CN" w:bidi="ar"/>
                    </w:rPr>
                  </w:pPr>
                  <w:r>
                    <w:rPr>
                      <w:rFonts w:hint="eastAsia"/>
                      <w:color w:val="auto"/>
                      <w:lang w:val="en-US" w:eastAsia="zh-CN" w:bidi="ar"/>
                    </w:rPr>
                    <w:t>项目生产主要依靠清洁能源电能，所用生产设备为中频感应电炉</w:t>
                  </w:r>
                </w:p>
              </w:tc>
              <w:tc>
                <w:tcPr>
                  <w:tcW w:w="700" w:type="pct"/>
                  <w:shd w:val="clear" w:color="auto" w:fill="auto"/>
                  <w:vAlign w:val="center"/>
                </w:tcPr>
                <w:p w14:paraId="626C29E8">
                  <w:pPr>
                    <w:adjustRightInd w:val="0"/>
                    <w:snapToGrid w:val="0"/>
                    <w:jc w:val="center"/>
                    <w:rPr>
                      <w:rFonts w:hint="eastAsia" w:ascii="Times New Roman" w:hAnsi="Times New Roman" w:eastAsia="宋体"/>
                      <w:color w:val="auto"/>
                      <w:lang w:bidi="ar"/>
                    </w:rPr>
                  </w:pPr>
                  <w:r>
                    <w:rPr>
                      <w:rFonts w:hint="eastAsia"/>
                      <w:color w:val="auto"/>
                      <w:kern w:val="0"/>
                      <w:szCs w:val="21"/>
                      <w:lang w:val="en-US" w:eastAsia="zh-CN"/>
                    </w:rPr>
                    <w:t>符合</w:t>
                  </w:r>
                </w:p>
              </w:tc>
            </w:tr>
          </w:tbl>
          <w:p w14:paraId="49699EC8">
            <w:pPr>
              <w:numPr>
                <w:ilvl w:val="0"/>
                <w:numId w:val="0"/>
              </w:numPr>
              <w:autoSpaceDE w:val="0"/>
              <w:autoSpaceDN w:val="0"/>
              <w:adjustRightInd w:val="0"/>
              <w:snapToGrid w:val="0"/>
              <w:spacing w:line="360" w:lineRule="auto"/>
              <w:rPr>
                <w:rFonts w:hint="default"/>
                <w:b/>
                <w:color w:val="auto"/>
                <w:kern w:val="0"/>
                <w:sz w:val="24"/>
                <w:lang w:val="en-US" w:eastAsia="zh-CN"/>
              </w:rPr>
            </w:pPr>
          </w:p>
          <w:p w14:paraId="65A8CFBF">
            <w:pPr>
              <w:numPr>
                <w:ilvl w:val="0"/>
                <w:numId w:val="0"/>
              </w:numPr>
              <w:autoSpaceDE w:val="0"/>
              <w:autoSpaceDN w:val="0"/>
              <w:adjustRightInd w:val="0"/>
              <w:snapToGrid w:val="0"/>
              <w:spacing w:line="360" w:lineRule="auto"/>
              <w:ind w:firstLine="482" w:firstLineChars="200"/>
              <w:rPr>
                <w:rFonts w:hint="default"/>
                <w:b/>
                <w:bCs w:val="0"/>
                <w:color w:val="auto"/>
                <w:kern w:val="0"/>
                <w:sz w:val="24"/>
                <w:lang w:val="en-US" w:eastAsia="zh-CN"/>
              </w:rPr>
            </w:pPr>
            <w:r>
              <w:rPr>
                <w:rFonts w:hint="eastAsia" w:cs="Times New Roman"/>
                <w:b/>
                <w:bCs w:val="0"/>
                <w:color w:val="auto"/>
                <w:kern w:val="0"/>
                <w:sz w:val="24"/>
                <w:szCs w:val="24"/>
                <w:lang w:val="en-US" w:eastAsia="zh-CN" w:bidi="ar-SA"/>
              </w:rPr>
              <w:t>10</w:t>
            </w:r>
            <w:r>
              <w:rPr>
                <w:rFonts w:hint="default" w:ascii="Times New Roman" w:hAnsi="Times New Roman" w:eastAsia="宋体" w:cs="Times New Roman"/>
                <w:b/>
                <w:bCs w:val="0"/>
                <w:color w:val="auto"/>
                <w:kern w:val="0"/>
                <w:sz w:val="24"/>
                <w:szCs w:val="24"/>
                <w:lang w:val="en-US" w:eastAsia="zh-CN" w:bidi="ar-SA"/>
              </w:rPr>
              <w:t>、</w:t>
            </w:r>
            <w:r>
              <w:rPr>
                <w:rFonts w:hint="eastAsia"/>
                <w:b/>
                <w:bCs w:val="0"/>
                <w:color w:val="auto"/>
                <w:kern w:val="0"/>
                <w:sz w:val="24"/>
                <w:lang w:val="en-US" w:eastAsia="zh-CN"/>
              </w:rPr>
              <w:t>与《铸造防尘技术规程》（GB8959）的符合性分析</w:t>
            </w:r>
          </w:p>
          <w:p w14:paraId="57ADCB7C">
            <w:pPr>
              <w:autoSpaceDE w:val="0"/>
              <w:autoSpaceDN w:val="0"/>
              <w:adjustRightInd w:val="0"/>
              <w:snapToGrid w:val="0"/>
              <w:spacing w:line="360" w:lineRule="auto"/>
              <w:ind w:firstLine="480" w:firstLineChars="200"/>
              <w:rPr>
                <w:rFonts w:hint="eastAsia"/>
                <w:color w:val="auto"/>
                <w:kern w:val="0"/>
                <w:sz w:val="24"/>
                <w:lang w:val="en-US" w:eastAsia="zh-CN"/>
              </w:rPr>
            </w:pPr>
            <w:r>
              <w:rPr>
                <w:rFonts w:hint="eastAsia"/>
                <w:color w:val="auto"/>
                <w:kern w:val="0"/>
                <w:sz w:val="24"/>
                <w:lang w:val="en-US" w:eastAsia="zh-CN"/>
              </w:rPr>
              <w:t>根据《铸造防尘技术规程》（GB8959）：铸造防尘应首先从工艺和设各上采取措施，应采用不产生或少产生粉尘污染的工艺和设备；凡产生粉尘污染的工艺过程和铸造设备，均应设防尘设施，凡排至室外的空气中含尘浓度超过国家或当地排放标准时均应设除尘装置。工艺设备和生产流程的布局应根据生产纲领、金属种类、工艺水平，厂区场地和厂房条件等结合防尘技术综合考虑，均应设计合理的除尘系统；在工艺允许的条件下，宜采用湿法作业。</w:t>
            </w:r>
          </w:p>
          <w:p w14:paraId="784D9D9A">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本项目产生的颗粒物均采取了相应的治理措施，工艺采用湿法作业。</w:t>
            </w:r>
            <w:r>
              <w:rPr>
                <w:rFonts w:hint="eastAsia" w:ascii="Times New Roman" w:hAnsi="Times New Roman" w:cs="Times New Roman"/>
                <w:color w:val="auto"/>
                <w:spacing w:val="1"/>
                <w:sz w:val="24"/>
                <w:szCs w:val="24"/>
              </w:rPr>
              <w:t>综上所述，本项目符合《铸造防尘技术规程》（GB8959）</w:t>
            </w:r>
            <w:r>
              <w:rPr>
                <w:rFonts w:hint="eastAsia" w:cs="Times New Roman"/>
                <w:color w:val="auto"/>
                <w:spacing w:val="1"/>
                <w:sz w:val="24"/>
                <w:szCs w:val="24"/>
                <w:lang w:eastAsia="zh-CN"/>
              </w:rPr>
              <w:t>。</w:t>
            </w:r>
          </w:p>
        </w:tc>
      </w:tr>
    </w:tbl>
    <w:p w14:paraId="18BEA007">
      <w:pPr>
        <w:spacing w:line="360" w:lineRule="auto"/>
        <w:outlineLvl w:val="0"/>
        <w:rPr>
          <w:rFonts w:eastAsia="黑体"/>
          <w:color w:val="auto"/>
          <w:sz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4AC8574B">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4"/>
      </w:tblGrid>
      <w:tr w14:paraId="1610B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Align w:val="center"/>
          </w:tcPr>
          <w:p w14:paraId="4E4E2FD4">
            <w:pPr>
              <w:pStyle w:val="19"/>
              <w:adjustRightInd w:val="0"/>
              <w:snapToGrid w:val="0"/>
              <w:spacing w:before="0" w:beforeAutospacing="0" w:after="0" w:afterAutospacing="0"/>
              <w:jc w:val="center"/>
              <w:rPr>
                <w:rFonts w:ascii="Times New Roman" w:hAnsi="Times New Roman" w:cs="宋体"/>
                <w:color w:val="auto"/>
                <w:sz w:val="21"/>
                <w:szCs w:val="21"/>
              </w:rPr>
            </w:pPr>
            <w:r>
              <w:rPr>
                <w:rFonts w:hint="eastAsia" w:ascii="Times New Roman" w:hAnsi="Times New Roman" w:cs="宋体"/>
                <w:color w:val="auto"/>
                <w:szCs w:val="21"/>
              </w:rPr>
              <w:t>建设内容</w:t>
            </w:r>
          </w:p>
        </w:tc>
        <w:tc>
          <w:tcPr>
            <w:tcW w:w="8606" w:type="dxa"/>
          </w:tcPr>
          <w:p w14:paraId="66B85FCE">
            <w:pPr>
              <w:adjustRightInd w:val="0"/>
              <w:snapToGrid w:val="0"/>
              <w:spacing w:line="560" w:lineRule="exact"/>
              <w:ind w:firstLine="482" w:firstLineChars="200"/>
              <w:rPr>
                <w:b/>
                <w:color w:val="auto"/>
                <w:sz w:val="24"/>
              </w:rPr>
            </w:pPr>
            <w:r>
              <w:rPr>
                <w:rFonts w:hint="eastAsia"/>
                <w:b/>
                <w:color w:val="auto"/>
                <w:sz w:val="24"/>
              </w:rPr>
              <w:t>1、项目背景</w:t>
            </w:r>
          </w:p>
          <w:p w14:paraId="6A2E9E40">
            <w:pPr>
              <w:adjustRightInd w:val="0"/>
              <w:snapToGrid w:val="0"/>
              <w:spacing w:line="360" w:lineRule="auto"/>
              <w:ind w:firstLine="480" w:firstLineChars="200"/>
              <w:rPr>
                <w:color w:val="auto"/>
                <w:sz w:val="24"/>
              </w:rPr>
            </w:pPr>
            <w:r>
              <w:rPr>
                <w:rFonts w:hint="eastAsia"/>
                <w:color w:val="auto"/>
                <w:sz w:val="24"/>
              </w:rPr>
              <w:t>在当前“碳达峰、碳中和”大背景下，积极推动以光伏发电为代表的绿色能源对于调整能源结构具有积极的意义。新疆德瑞机械有限公司年产700万件光伏管桩端板头生产线建设项目服务于当地光伏发电行业。有利于节约能源、推进清洁能源的发展以及当地经济发展，因此项目的建设是必要的。在此背景下，新疆德瑞机械有限公司拟投资3500万元，启动了年产700万件光伏管桩端板头生产线建设项目。</w:t>
            </w:r>
          </w:p>
          <w:p w14:paraId="19B3F23F">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根据《中华</w:t>
            </w:r>
            <w:r>
              <w:rPr>
                <w:color w:val="auto"/>
                <w:sz w:val="24"/>
              </w:rPr>
              <w:t>人民共和国环境保护法》、《中华人民共和国环境影响评价法》以及国务院令 682 号《建设项目环境保护管理条例》的有关规定，应对该建设项目进行环境影响评价。对照《建设项目环境影响评价分类管理名录》（2021年版），本项目</w:t>
            </w:r>
            <w:r>
              <w:rPr>
                <w:rFonts w:hint="eastAsia"/>
                <w:color w:val="auto"/>
                <w:sz w:val="24"/>
              </w:rPr>
              <w:t>属于其中的“三十</w:t>
            </w:r>
            <w:r>
              <w:rPr>
                <w:color w:val="auto"/>
                <w:sz w:val="24"/>
              </w:rPr>
              <w:t>、</w:t>
            </w:r>
            <w:r>
              <w:rPr>
                <w:rFonts w:hint="eastAsia"/>
                <w:color w:val="auto"/>
                <w:sz w:val="24"/>
              </w:rPr>
              <w:t>金属</w:t>
            </w:r>
            <w:r>
              <w:rPr>
                <w:color w:val="auto"/>
                <w:sz w:val="24"/>
              </w:rPr>
              <w:t>制品业</w:t>
            </w:r>
            <w:r>
              <w:rPr>
                <w:rFonts w:hint="eastAsia"/>
                <w:color w:val="auto"/>
                <w:sz w:val="24"/>
              </w:rPr>
              <w:t>33-68</w:t>
            </w:r>
            <w:r>
              <w:rPr>
                <w:color w:val="auto"/>
                <w:sz w:val="24"/>
              </w:rPr>
              <w:t>、铸造及其他金属制品制造 339</w:t>
            </w:r>
            <w:r>
              <w:rPr>
                <w:rFonts w:hint="eastAsia" w:ascii="宋体" w:hAnsi="宋体" w:cs="宋体"/>
                <w:color w:val="auto"/>
                <w:sz w:val="24"/>
              </w:rPr>
              <w:t>；其他（仅分割、焊接、组装的除外）</w:t>
            </w:r>
            <w:r>
              <w:rPr>
                <w:rFonts w:hint="eastAsia"/>
                <w:color w:val="auto"/>
                <w:sz w:val="24"/>
              </w:rPr>
              <w:t>”</w:t>
            </w:r>
            <w:r>
              <w:rPr>
                <w:color w:val="auto"/>
                <w:sz w:val="24"/>
              </w:rPr>
              <w:t>类项目，应编制环境影响报告表。</w:t>
            </w:r>
          </w:p>
          <w:p w14:paraId="55502E05">
            <w:pPr>
              <w:adjustRightInd w:val="0"/>
              <w:snapToGrid w:val="0"/>
              <w:spacing w:line="360" w:lineRule="auto"/>
              <w:ind w:firstLine="480" w:firstLineChars="200"/>
              <w:rPr>
                <w:color w:val="auto"/>
                <w:sz w:val="24"/>
              </w:rPr>
            </w:pPr>
            <w:r>
              <w:rPr>
                <w:rFonts w:hint="eastAsia" w:ascii="宋体" w:hAnsi="宋体"/>
                <w:color w:val="auto"/>
                <w:sz w:val="24"/>
              </w:rPr>
              <w:t>为此，受建设方委托，我公司承担了本项目的环境影响评价工作，接受委托后结合该工程的性质、特点以及该区域环境功能特征，通过现场勘察调研，以及查阅有关资料；在工程分析基础上，按照相关导则和标准的要求，编制了本项目的环境影响报告表。</w:t>
            </w:r>
          </w:p>
          <w:p w14:paraId="76435A5A">
            <w:pPr>
              <w:adjustRightInd w:val="0"/>
              <w:snapToGrid w:val="0"/>
              <w:spacing w:line="360" w:lineRule="auto"/>
              <w:ind w:firstLine="482" w:firstLineChars="200"/>
              <w:rPr>
                <w:b/>
                <w:color w:val="auto"/>
                <w:sz w:val="24"/>
              </w:rPr>
            </w:pPr>
            <w:r>
              <w:rPr>
                <w:rFonts w:hint="eastAsia"/>
                <w:b/>
                <w:color w:val="auto"/>
                <w:sz w:val="24"/>
              </w:rPr>
              <w:t>2、</w:t>
            </w:r>
            <w:r>
              <w:rPr>
                <w:b/>
                <w:color w:val="auto"/>
                <w:sz w:val="24"/>
              </w:rPr>
              <w:t>建设内容</w:t>
            </w:r>
          </w:p>
          <w:p w14:paraId="477FB8F1">
            <w:pPr>
              <w:adjustRightInd w:val="0"/>
              <w:snapToGrid w:val="0"/>
              <w:spacing w:line="360" w:lineRule="auto"/>
              <w:ind w:firstLine="480" w:firstLineChars="200"/>
              <w:rPr>
                <w:color w:val="auto"/>
                <w:sz w:val="24"/>
              </w:rPr>
            </w:pPr>
            <w:r>
              <w:rPr>
                <w:rFonts w:hint="eastAsia"/>
                <w:color w:val="auto"/>
                <w:sz w:val="24"/>
              </w:rPr>
              <w:t>本项目租赁新疆亿德新材料科技有限公司全新独立钢结构厂房，</w:t>
            </w:r>
            <w:r>
              <w:rPr>
                <w:color w:val="auto"/>
                <w:sz w:val="24"/>
              </w:rPr>
              <w:t>建设年产700万件光伏管桩端板头生产线及配套附属设施。购置</w:t>
            </w:r>
            <w:r>
              <w:rPr>
                <w:rFonts w:hint="eastAsia"/>
                <w:color w:val="auto"/>
                <w:sz w:val="24"/>
              </w:rPr>
              <w:t>中频感应电炉</w:t>
            </w:r>
            <w:r>
              <w:rPr>
                <w:color w:val="auto"/>
                <w:sz w:val="24"/>
              </w:rPr>
              <w:t>、</w:t>
            </w:r>
            <w:r>
              <w:rPr>
                <w:rFonts w:hint="eastAsia"/>
                <w:color w:val="auto"/>
                <w:sz w:val="24"/>
              </w:rPr>
              <w:t>除尘器</w:t>
            </w:r>
            <w:r>
              <w:rPr>
                <w:color w:val="auto"/>
                <w:sz w:val="24"/>
              </w:rPr>
              <w:t>、</w:t>
            </w:r>
            <w:r>
              <w:rPr>
                <w:rFonts w:hint="eastAsia"/>
                <w:color w:val="auto"/>
                <w:sz w:val="24"/>
              </w:rPr>
              <w:t>加料小车</w:t>
            </w:r>
            <w:r>
              <w:rPr>
                <w:color w:val="auto"/>
                <w:sz w:val="24"/>
              </w:rPr>
              <w:t>、</w:t>
            </w:r>
            <w:r>
              <w:rPr>
                <w:rFonts w:hint="eastAsia"/>
                <w:color w:val="auto"/>
                <w:sz w:val="24"/>
              </w:rPr>
              <w:t>浇筑包、半门吊</w:t>
            </w:r>
            <w:r>
              <w:rPr>
                <w:color w:val="auto"/>
                <w:sz w:val="24"/>
              </w:rPr>
              <w:t>、</w:t>
            </w:r>
            <w:r>
              <w:rPr>
                <w:rFonts w:hint="eastAsia"/>
                <w:color w:val="auto"/>
                <w:sz w:val="24"/>
              </w:rPr>
              <w:t>旋平机、锯床、起重机</w:t>
            </w:r>
            <w:r>
              <w:rPr>
                <w:color w:val="auto"/>
                <w:sz w:val="24"/>
              </w:rPr>
              <w:t>等设备及相关配套设施。</w:t>
            </w:r>
          </w:p>
          <w:p w14:paraId="5057CEBD">
            <w:pPr>
              <w:adjustRightInd w:val="0"/>
              <w:snapToGrid w:val="0"/>
              <w:spacing w:line="360" w:lineRule="auto"/>
              <w:ind w:firstLine="480" w:firstLineChars="200"/>
              <w:rPr>
                <w:color w:val="auto"/>
              </w:rPr>
            </w:pPr>
            <w:r>
              <w:rPr>
                <w:color w:val="auto"/>
                <w:sz w:val="24"/>
              </w:rPr>
              <w:t>具体建设内容见</w:t>
            </w:r>
            <w:r>
              <w:rPr>
                <w:rFonts w:hint="eastAsia"/>
                <w:color w:val="auto"/>
                <w:sz w:val="24"/>
              </w:rPr>
              <w:t>表2-1</w:t>
            </w:r>
            <w:r>
              <w:rPr>
                <w:color w:val="auto"/>
                <w:sz w:val="24"/>
              </w:rPr>
              <w:t>。</w:t>
            </w:r>
          </w:p>
          <w:p w14:paraId="50C6407B">
            <w:pPr>
              <w:jc w:val="center"/>
              <w:rPr>
                <w:color w:val="auto"/>
              </w:rPr>
            </w:pPr>
            <w:r>
              <w:rPr>
                <w:b/>
                <w:color w:val="auto"/>
              </w:rPr>
              <w:t>表2-</w:t>
            </w:r>
            <w:r>
              <w:rPr>
                <w:rFonts w:hint="eastAsia"/>
                <w:b/>
                <w:color w:val="auto"/>
              </w:rPr>
              <w:t>1</w:t>
            </w:r>
            <w:r>
              <w:rPr>
                <w:b/>
                <w:color w:val="auto"/>
              </w:rPr>
              <w:t xml:space="preserve">   建设项目组成一览表</w:t>
            </w:r>
          </w:p>
          <w:tbl>
            <w:tblPr>
              <w:tblStyle w:val="24"/>
              <w:tblW w:w="4999" w:type="pct"/>
              <w:tblInd w:w="7"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097"/>
              <w:gridCol w:w="6130"/>
              <w:gridCol w:w="503"/>
            </w:tblGrid>
            <w:tr w14:paraId="58F99EE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tcBorders>
                    <w:tl2br w:val="nil"/>
                    <w:tr2bl w:val="nil"/>
                  </w:tcBorders>
                  <w:vAlign w:val="center"/>
                </w:tcPr>
                <w:p w14:paraId="7EE5F05F">
                  <w:pPr>
                    <w:spacing w:line="320" w:lineRule="exact"/>
                    <w:jc w:val="center"/>
                    <w:rPr>
                      <w:bCs/>
                      <w:color w:val="auto"/>
                      <w:szCs w:val="21"/>
                      <w:lang w:val="en-CA"/>
                    </w:rPr>
                  </w:pPr>
                  <w:r>
                    <w:rPr>
                      <w:bCs/>
                      <w:color w:val="auto"/>
                      <w:szCs w:val="21"/>
                      <w:lang w:val="en-CA"/>
                    </w:rPr>
                    <w:t>项目</w:t>
                  </w:r>
                </w:p>
                <w:p w14:paraId="2CCF659D">
                  <w:pPr>
                    <w:spacing w:line="320" w:lineRule="exact"/>
                    <w:jc w:val="center"/>
                    <w:rPr>
                      <w:bCs/>
                      <w:color w:val="auto"/>
                      <w:szCs w:val="21"/>
                      <w:lang w:val="en-CA"/>
                    </w:rPr>
                  </w:pPr>
                  <w:r>
                    <w:rPr>
                      <w:bCs/>
                      <w:color w:val="auto"/>
                      <w:szCs w:val="21"/>
                      <w:lang w:val="en-CA"/>
                    </w:rPr>
                    <w:t>类别</w:t>
                  </w:r>
                </w:p>
              </w:tc>
              <w:tc>
                <w:tcPr>
                  <w:tcW w:w="654" w:type="pct"/>
                  <w:tcBorders>
                    <w:tl2br w:val="nil"/>
                    <w:tr2bl w:val="nil"/>
                  </w:tcBorders>
                  <w:vAlign w:val="center"/>
                </w:tcPr>
                <w:p w14:paraId="60FFAC7A">
                  <w:pPr>
                    <w:spacing w:line="320" w:lineRule="exact"/>
                    <w:jc w:val="center"/>
                    <w:rPr>
                      <w:bCs/>
                      <w:color w:val="auto"/>
                      <w:szCs w:val="21"/>
                      <w:lang w:val="en-CA"/>
                    </w:rPr>
                  </w:pPr>
                  <w:r>
                    <w:rPr>
                      <w:bCs/>
                      <w:color w:val="auto"/>
                      <w:szCs w:val="21"/>
                      <w:lang w:val="en-CA"/>
                    </w:rPr>
                    <w:t>工程名称</w:t>
                  </w:r>
                </w:p>
              </w:tc>
              <w:tc>
                <w:tcPr>
                  <w:tcW w:w="3654" w:type="pct"/>
                  <w:tcBorders>
                    <w:tl2br w:val="nil"/>
                    <w:tr2bl w:val="nil"/>
                  </w:tcBorders>
                  <w:vAlign w:val="center"/>
                </w:tcPr>
                <w:p w14:paraId="4315DC1C">
                  <w:pPr>
                    <w:spacing w:line="320" w:lineRule="exact"/>
                    <w:jc w:val="center"/>
                    <w:rPr>
                      <w:bCs/>
                      <w:color w:val="auto"/>
                      <w:szCs w:val="21"/>
                      <w:lang w:val="en-CA"/>
                    </w:rPr>
                  </w:pPr>
                  <w:r>
                    <w:rPr>
                      <w:bCs/>
                      <w:color w:val="auto"/>
                      <w:szCs w:val="21"/>
                      <w:lang w:val="en-CA"/>
                    </w:rPr>
                    <w:t>建设内容</w:t>
                  </w:r>
                </w:p>
              </w:tc>
              <w:tc>
                <w:tcPr>
                  <w:tcW w:w="300" w:type="pct"/>
                  <w:tcBorders>
                    <w:tl2br w:val="nil"/>
                    <w:tr2bl w:val="nil"/>
                  </w:tcBorders>
                  <w:vAlign w:val="center"/>
                </w:tcPr>
                <w:p w14:paraId="4017B209">
                  <w:pPr>
                    <w:spacing w:line="320" w:lineRule="exact"/>
                    <w:jc w:val="center"/>
                    <w:rPr>
                      <w:rFonts w:hint="eastAsia" w:eastAsia="宋体"/>
                      <w:bCs/>
                      <w:color w:val="auto"/>
                      <w:szCs w:val="21"/>
                      <w:lang w:val="en-US" w:eastAsia="zh-CN"/>
                    </w:rPr>
                  </w:pPr>
                  <w:r>
                    <w:rPr>
                      <w:rFonts w:hint="eastAsia"/>
                      <w:bCs/>
                      <w:color w:val="auto"/>
                      <w:szCs w:val="21"/>
                      <w:lang w:val="en-US" w:eastAsia="zh-CN"/>
                    </w:rPr>
                    <w:t>备注</w:t>
                  </w:r>
                </w:p>
              </w:tc>
            </w:tr>
            <w:tr w14:paraId="0D722FA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tcBorders>
                    <w:tl2br w:val="nil"/>
                    <w:tr2bl w:val="nil"/>
                  </w:tcBorders>
                  <w:vAlign w:val="center"/>
                </w:tcPr>
                <w:p w14:paraId="16F22B6F">
                  <w:pPr>
                    <w:adjustRightInd w:val="0"/>
                    <w:snapToGrid w:val="0"/>
                    <w:spacing w:line="320" w:lineRule="exact"/>
                    <w:rPr>
                      <w:color w:val="auto"/>
                      <w:szCs w:val="21"/>
                    </w:rPr>
                  </w:pPr>
                  <w:r>
                    <w:rPr>
                      <w:color w:val="auto"/>
                      <w:szCs w:val="21"/>
                    </w:rPr>
                    <w:t>主体</w:t>
                  </w:r>
                </w:p>
                <w:p w14:paraId="15B62322">
                  <w:pPr>
                    <w:adjustRightInd w:val="0"/>
                    <w:snapToGrid w:val="0"/>
                    <w:spacing w:line="320" w:lineRule="exact"/>
                    <w:rPr>
                      <w:color w:val="auto"/>
                      <w:szCs w:val="21"/>
                    </w:rPr>
                  </w:pPr>
                  <w:r>
                    <w:rPr>
                      <w:color w:val="auto"/>
                      <w:szCs w:val="21"/>
                    </w:rPr>
                    <w:t>工程</w:t>
                  </w:r>
                </w:p>
              </w:tc>
              <w:tc>
                <w:tcPr>
                  <w:tcW w:w="654" w:type="pct"/>
                  <w:tcBorders>
                    <w:tl2br w:val="nil"/>
                    <w:tr2bl w:val="nil"/>
                  </w:tcBorders>
                  <w:vAlign w:val="center"/>
                </w:tcPr>
                <w:p w14:paraId="7AE60B1E">
                  <w:pPr>
                    <w:widowControl/>
                    <w:jc w:val="center"/>
                    <w:textAlignment w:val="bottom"/>
                    <w:rPr>
                      <w:rFonts w:eastAsiaTheme="minorEastAsia"/>
                      <w:color w:val="auto"/>
                      <w:szCs w:val="21"/>
                    </w:rPr>
                  </w:pPr>
                  <w:r>
                    <w:rPr>
                      <w:rFonts w:hint="eastAsia" w:eastAsiaTheme="minorEastAsia"/>
                      <w:color w:val="auto"/>
                      <w:szCs w:val="21"/>
                    </w:rPr>
                    <w:t>生产厂房</w:t>
                  </w:r>
                </w:p>
              </w:tc>
              <w:tc>
                <w:tcPr>
                  <w:tcW w:w="3654" w:type="pct"/>
                  <w:tcBorders>
                    <w:tl2br w:val="nil"/>
                    <w:tr2bl w:val="nil"/>
                  </w:tcBorders>
                  <w:vAlign w:val="center"/>
                </w:tcPr>
                <w:p w14:paraId="0F152D80">
                  <w:pPr>
                    <w:widowControl/>
                    <w:textAlignment w:val="bottom"/>
                    <w:rPr>
                      <w:rFonts w:eastAsiaTheme="minorEastAsia"/>
                      <w:color w:val="auto"/>
                      <w:szCs w:val="21"/>
                      <w:lang w:bidi="ar"/>
                    </w:rPr>
                  </w:pPr>
                  <w:r>
                    <w:rPr>
                      <w:rFonts w:hint="eastAsia"/>
                      <w:color w:val="auto"/>
                      <w:szCs w:val="21"/>
                    </w:rPr>
                    <w:t>租赁现有独立钢结构厂房，地上1层，无地下室，建筑</w:t>
                  </w:r>
                  <w:r>
                    <w:rPr>
                      <w:color w:val="auto"/>
                      <w:szCs w:val="21"/>
                    </w:rPr>
                    <w:t>面积</w:t>
                  </w:r>
                  <w:r>
                    <w:rPr>
                      <w:rFonts w:hint="eastAsia"/>
                      <w:color w:val="auto"/>
                      <w:szCs w:val="21"/>
                    </w:rPr>
                    <w:t>16000m</w:t>
                  </w:r>
                  <w:r>
                    <w:rPr>
                      <w:rFonts w:hint="eastAsia"/>
                      <w:color w:val="auto"/>
                      <w:szCs w:val="21"/>
                      <w:vertAlign w:val="superscript"/>
                    </w:rPr>
                    <w:t>2</w:t>
                  </w:r>
                  <w:r>
                    <w:rPr>
                      <w:rFonts w:hint="eastAsia"/>
                      <w:color w:val="auto"/>
                      <w:szCs w:val="21"/>
                    </w:rPr>
                    <w:t>，</w:t>
                  </w:r>
                  <w:r>
                    <w:rPr>
                      <w:rFonts w:hint="eastAsia" w:eastAsiaTheme="minorEastAsia"/>
                      <w:color w:val="auto"/>
                      <w:szCs w:val="21"/>
                    </w:rPr>
                    <w:t>配套光伏管桩生产线一条。</w:t>
                  </w:r>
                </w:p>
              </w:tc>
              <w:tc>
                <w:tcPr>
                  <w:tcW w:w="300" w:type="pct"/>
                  <w:tcBorders>
                    <w:tl2br w:val="nil"/>
                    <w:tr2bl w:val="nil"/>
                  </w:tcBorders>
                  <w:vAlign w:val="center"/>
                </w:tcPr>
                <w:p w14:paraId="459C14F5">
                  <w:pPr>
                    <w:widowControl/>
                    <w:jc w:val="center"/>
                    <w:textAlignment w:val="bottom"/>
                    <w:rPr>
                      <w:rFonts w:hint="default" w:eastAsia="宋体"/>
                      <w:color w:val="auto"/>
                      <w:szCs w:val="21"/>
                      <w:lang w:val="en-US" w:eastAsia="zh-CN"/>
                    </w:rPr>
                  </w:pPr>
                  <w:r>
                    <w:rPr>
                      <w:rFonts w:hint="eastAsia"/>
                      <w:color w:val="auto"/>
                      <w:szCs w:val="21"/>
                      <w:lang w:val="en-US" w:eastAsia="zh-CN"/>
                    </w:rPr>
                    <w:t>已建</w:t>
                  </w:r>
                </w:p>
              </w:tc>
            </w:tr>
            <w:tr w14:paraId="22D514D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tcBorders>
                    <w:tl2br w:val="nil"/>
                    <w:tr2bl w:val="nil"/>
                  </w:tcBorders>
                  <w:vAlign w:val="center"/>
                </w:tcPr>
                <w:p w14:paraId="14EF5842">
                  <w:pPr>
                    <w:adjustRightInd w:val="0"/>
                    <w:snapToGrid w:val="0"/>
                    <w:spacing w:line="320" w:lineRule="exact"/>
                    <w:rPr>
                      <w:rFonts w:hint="default" w:eastAsia="宋体"/>
                      <w:color w:val="auto"/>
                      <w:szCs w:val="21"/>
                      <w:lang w:val="en-US" w:eastAsia="zh-CN"/>
                    </w:rPr>
                  </w:pPr>
                  <w:r>
                    <w:rPr>
                      <w:rFonts w:hint="eastAsia"/>
                      <w:color w:val="auto"/>
                      <w:szCs w:val="21"/>
                      <w:lang w:val="en-US" w:eastAsia="zh-CN"/>
                    </w:rPr>
                    <w:t>储运工程</w:t>
                  </w:r>
                </w:p>
              </w:tc>
              <w:tc>
                <w:tcPr>
                  <w:tcW w:w="654" w:type="pct"/>
                  <w:tcBorders>
                    <w:tl2br w:val="nil"/>
                    <w:tr2bl w:val="nil"/>
                  </w:tcBorders>
                  <w:vAlign w:val="center"/>
                </w:tcPr>
                <w:p w14:paraId="18804D09">
                  <w:pPr>
                    <w:widowControl/>
                    <w:jc w:val="center"/>
                    <w:textAlignment w:val="bottom"/>
                    <w:rPr>
                      <w:rFonts w:hint="default" w:eastAsiaTheme="minorEastAsia"/>
                      <w:color w:val="auto"/>
                      <w:szCs w:val="21"/>
                      <w:lang w:val="en-US" w:eastAsia="zh-CN"/>
                    </w:rPr>
                  </w:pPr>
                  <w:r>
                    <w:rPr>
                      <w:rFonts w:hint="eastAsia" w:eastAsiaTheme="minorEastAsia"/>
                      <w:color w:val="auto"/>
                      <w:szCs w:val="21"/>
                      <w:lang w:val="en-US" w:eastAsia="zh-CN"/>
                    </w:rPr>
                    <w:t>原料、产品存放区</w:t>
                  </w:r>
                </w:p>
              </w:tc>
              <w:tc>
                <w:tcPr>
                  <w:tcW w:w="3654" w:type="pct"/>
                  <w:tcBorders>
                    <w:tl2br w:val="nil"/>
                    <w:tr2bl w:val="nil"/>
                  </w:tcBorders>
                  <w:vAlign w:val="center"/>
                </w:tcPr>
                <w:p w14:paraId="757B5AAC">
                  <w:pPr>
                    <w:widowControl/>
                    <w:textAlignment w:val="bottom"/>
                    <w:rPr>
                      <w:rFonts w:hint="eastAsia"/>
                      <w:color w:val="auto"/>
                      <w:szCs w:val="21"/>
                    </w:rPr>
                  </w:pPr>
                  <w:r>
                    <w:rPr>
                      <w:rFonts w:hint="eastAsia"/>
                      <w:color w:val="auto"/>
                      <w:szCs w:val="21"/>
                      <w:lang w:val="en-US" w:eastAsia="zh-CN"/>
                    </w:rPr>
                    <w:t>原料及产品均存放在封闭厂房内，</w:t>
                  </w:r>
                  <w:r>
                    <w:rPr>
                      <w:rFonts w:hint="eastAsia"/>
                      <w:color w:val="auto"/>
                      <w:szCs w:val="21"/>
                    </w:rPr>
                    <w:t>租赁现有独立钢结构厂房，地上1层，无地下室，建筑</w:t>
                  </w:r>
                  <w:r>
                    <w:rPr>
                      <w:color w:val="auto"/>
                      <w:szCs w:val="21"/>
                    </w:rPr>
                    <w:t>面积</w:t>
                  </w:r>
                  <w:r>
                    <w:rPr>
                      <w:rFonts w:hint="eastAsia"/>
                      <w:color w:val="auto"/>
                      <w:szCs w:val="21"/>
                    </w:rPr>
                    <w:t>16000m</w:t>
                  </w:r>
                  <w:r>
                    <w:rPr>
                      <w:rFonts w:hint="eastAsia"/>
                      <w:color w:val="auto"/>
                      <w:szCs w:val="21"/>
                      <w:vertAlign w:val="superscript"/>
                    </w:rPr>
                    <w:t>2</w:t>
                  </w:r>
                </w:p>
              </w:tc>
              <w:tc>
                <w:tcPr>
                  <w:tcW w:w="300" w:type="pct"/>
                  <w:tcBorders>
                    <w:tl2br w:val="nil"/>
                    <w:tr2bl w:val="nil"/>
                  </w:tcBorders>
                  <w:vAlign w:val="center"/>
                </w:tcPr>
                <w:p w14:paraId="1E352942">
                  <w:pPr>
                    <w:widowControl/>
                    <w:jc w:val="center"/>
                    <w:textAlignment w:val="bottom"/>
                    <w:rPr>
                      <w:rFonts w:hint="eastAsia" w:eastAsia="宋体"/>
                      <w:color w:val="auto"/>
                      <w:szCs w:val="21"/>
                      <w:lang w:val="en-US" w:eastAsia="zh-CN"/>
                    </w:rPr>
                  </w:pPr>
                  <w:r>
                    <w:rPr>
                      <w:rFonts w:hint="eastAsia"/>
                      <w:color w:val="auto"/>
                      <w:szCs w:val="21"/>
                      <w:lang w:val="en-US" w:eastAsia="zh-CN"/>
                    </w:rPr>
                    <w:t>已建</w:t>
                  </w:r>
                </w:p>
              </w:tc>
            </w:tr>
            <w:tr w14:paraId="4B4D6E2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tcBorders>
                    <w:tl2br w:val="nil"/>
                    <w:tr2bl w:val="nil"/>
                  </w:tcBorders>
                  <w:vAlign w:val="center"/>
                </w:tcPr>
                <w:p w14:paraId="796B212C">
                  <w:pPr>
                    <w:adjustRightInd w:val="0"/>
                    <w:snapToGrid w:val="0"/>
                    <w:spacing w:line="320" w:lineRule="exact"/>
                    <w:rPr>
                      <w:color w:val="auto"/>
                      <w:szCs w:val="21"/>
                    </w:rPr>
                  </w:pPr>
                  <w:r>
                    <w:rPr>
                      <w:rFonts w:hint="eastAsia"/>
                      <w:color w:val="auto"/>
                      <w:szCs w:val="21"/>
                    </w:rPr>
                    <w:t>辅助</w:t>
                  </w:r>
                </w:p>
                <w:p w14:paraId="09CB3EB6">
                  <w:pPr>
                    <w:adjustRightInd w:val="0"/>
                    <w:snapToGrid w:val="0"/>
                    <w:spacing w:line="320" w:lineRule="exact"/>
                    <w:rPr>
                      <w:color w:val="auto"/>
                      <w:szCs w:val="21"/>
                    </w:rPr>
                  </w:pPr>
                  <w:r>
                    <w:rPr>
                      <w:rFonts w:hint="eastAsia"/>
                      <w:color w:val="auto"/>
                      <w:szCs w:val="21"/>
                    </w:rPr>
                    <w:t>工程</w:t>
                  </w:r>
                </w:p>
              </w:tc>
              <w:tc>
                <w:tcPr>
                  <w:tcW w:w="654" w:type="pct"/>
                  <w:tcBorders>
                    <w:tl2br w:val="nil"/>
                    <w:tr2bl w:val="nil"/>
                  </w:tcBorders>
                  <w:vAlign w:val="center"/>
                </w:tcPr>
                <w:p w14:paraId="715F4044">
                  <w:pPr>
                    <w:widowControl/>
                    <w:jc w:val="center"/>
                    <w:textAlignment w:val="bottom"/>
                    <w:rPr>
                      <w:rFonts w:eastAsiaTheme="minorEastAsia"/>
                      <w:color w:val="auto"/>
                      <w:kern w:val="0"/>
                      <w:szCs w:val="21"/>
                    </w:rPr>
                  </w:pPr>
                  <w:r>
                    <w:rPr>
                      <w:rFonts w:eastAsiaTheme="minorEastAsia"/>
                      <w:color w:val="auto"/>
                      <w:kern w:val="0"/>
                      <w:szCs w:val="21"/>
                    </w:rPr>
                    <w:t>管理用房</w:t>
                  </w:r>
                </w:p>
              </w:tc>
              <w:tc>
                <w:tcPr>
                  <w:tcW w:w="3654" w:type="pct"/>
                  <w:tcBorders>
                    <w:tl2br w:val="nil"/>
                    <w:tr2bl w:val="nil"/>
                  </w:tcBorders>
                  <w:vAlign w:val="center"/>
                </w:tcPr>
                <w:p w14:paraId="736AD58A">
                  <w:pPr>
                    <w:widowControl/>
                    <w:textAlignment w:val="bottom"/>
                    <w:rPr>
                      <w:rFonts w:hint="default" w:eastAsia="宋体"/>
                      <w:color w:val="auto"/>
                      <w:kern w:val="0"/>
                      <w:szCs w:val="21"/>
                      <w:lang w:val="en-US" w:eastAsia="zh-CN"/>
                    </w:rPr>
                  </w:pPr>
                  <w:r>
                    <w:rPr>
                      <w:rFonts w:hint="eastAsia"/>
                      <w:color w:val="auto"/>
                      <w:szCs w:val="21"/>
                    </w:rPr>
                    <w:t>租赁厂区已建办公生活用房，面积</w:t>
                  </w:r>
                  <w:r>
                    <w:rPr>
                      <w:rFonts w:hint="eastAsia"/>
                      <w:color w:val="auto"/>
                    </w:rPr>
                    <w:t>为1000</w:t>
                  </w:r>
                  <w:r>
                    <w:rPr>
                      <w:rFonts w:hint="eastAsia"/>
                      <w:color w:val="auto"/>
                      <w:lang w:val="en-US" w:eastAsia="zh-CN"/>
                    </w:rPr>
                    <w:t>m</w:t>
                  </w:r>
                  <w:r>
                    <w:rPr>
                      <w:rFonts w:hint="eastAsia"/>
                      <w:color w:val="auto"/>
                      <w:vertAlign w:val="superscript"/>
                      <w:lang w:val="en-US" w:eastAsia="zh-CN"/>
                    </w:rPr>
                    <w:t>2</w:t>
                  </w:r>
                </w:p>
              </w:tc>
              <w:tc>
                <w:tcPr>
                  <w:tcW w:w="300" w:type="pct"/>
                  <w:tcBorders>
                    <w:tl2br w:val="nil"/>
                    <w:tr2bl w:val="nil"/>
                  </w:tcBorders>
                  <w:vAlign w:val="center"/>
                </w:tcPr>
                <w:p w14:paraId="78925F40">
                  <w:pPr>
                    <w:widowControl/>
                    <w:jc w:val="center"/>
                    <w:textAlignment w:val="bottom"/>
                    <w:rPr>
                      <w:rFonts w:hint="eastAsia" w:eastAsia="宋体"/>
                      <w:color w:val="auto"/>
                      <w:szCs w:val="21"/>
                      <w:lang w:val="en-US" w:eastAsia="zh-CN"/>
                    </w:rPr>
                  </w:pPr>
                  <w:r>
                    <w:rPr>
                      <w:rFonts w:hint="eastAsia"/>
                      <w:color w:val="auto"/>
                      <w:szCs w:val="21"/>
                      <w:lang w:val="en-US" w:eastAsia="zh-CN"/>
                    </w:rPr>
                    <w:t>已建</w:t>
                  </w:r>
                </w:p>
              </w:tc>
            </w:tr>
            <w:tr w14:paraId="3D1F357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vMerge w:val="restart"/>
                  <w:tcBorders>
                    <w:tl2br w:val="nil"/>
                    <w:tr2bl w:val="nil"/>
                  </w:tcBorders>
                  <w:vAlign w:val="center"/>
                </w:tcPr>
                <w:p w14:paraId="025EC49B">
                  <w:pPr>
                    <w:rPr>
                      <w:color w:val="auto"/>
                      <w:szCs w:val="21"/>
                    </w:rPr>
                  </w:pPr>
                  <w:r>
                    <w:rPr>
                      <w:rFonts w:hint="eastAsia" w:cs="宋体"/>
                      <w:color w:val="auto"/>
                      <w:szCs w:val="21"/>
                      <w:lang w:bidi="ar"/>
                    </w:rPr>
                    <w:t>公用</w:t>
                  </w:r>
                </w:p>
                <w:p w14:paraId="580C7020">
                  <w:pPr>
                    <w:rPr>
                      <w:color w:val="auto"/>
                      <w:szCs w:val="21"/>
                    </w:rPr>
                  </w:pPr>
                  <w:r>
                    <w:rPr>
                      <w:rFonts w:hint="eastAsia" w:cs="宋体"/>
                      <w:color w:val="auto"/>
                      <w:szCs w:val="21"/>
                      <w:lang w:bidi="ar"/>
                    </w:rPr>
                    <w:t>工程</w:t>
                  </w:r>
                </w:p>
              </w:tc>
              <w:tc>
                <w:tcPr>
                  <w:tcW w:w="654" w:type="pct"/>
                  <w:tcBorders>
                    <w:tl2br w:val="nil"/>
                    <w:tr2bl w:val="nil"/>
                  </w:tcBorders>
                  <w:vAlign w:val="center"/>
                </w:tcPr>
                <w:p w14:paraId="6F638372">
                  <w:pPr>
                    <w:jc w:val="center"/>
                    <w:rPr>
                      <w:rFonts w:eastAsiaTheme="minorEastAsia"/>
                      <w:color w:val="auto"/>
                      <w:kern w:val="0"/>
                      <w:szCs w:val="21"/>
                    </w:rPr>
                  </w:pPr>
                  <w:r>
                    <w:rPr>
                      <w:rFonts w:hint="eastAsia" w:cs="宋体"/>
                      <w:color w:val="auto"/>
                      <w:szCs w:val="21"/>
                      <w:lang w:bidi="ar"/>
                    </w:rPr>
                    <w:t>供电</w:t>
                  </w:r>
                </w:p>
              </w:tc>
              <w:tc>
                <w:tcPr>
                  <w:tcW w:w="3654" w:type="pct"/>
                  <w:tcBorders>
                    <w:tl2br w:val="nil"/>
                    <w:tr2bl w:val="nil"/>
                  </w:tcBorders>
                  <w:vAlign w:val="center"/>
                </w:tcPr>
                <w:p w14:paraId="2E4F23EF">
                  <w:pPr>
                    <w:rPr>
                      <w:rFonts w:cs="宋体"/>
                      <w:color w:val="auto"/>
                      <w:szCs w:val="21"/>
                      <w:lang w:bidi="ar"/>
                    </w:rPr>
                  </w:pPr>
                  <w:r>
                    <w:rPr>
                      <w:rFonts w:hint="eastAsia" w:cs="宋体"/>
                      <w:color w:val="auto"/>
                      <w:szCs w:val="21"/>
                      <w:lang w:bidi="ar"/>
                    </w:rPr>
                    <w:t>依托园区供电电网供给</w:t>
                  </w:r>
                </w:p>
              </w:tc>
              <w:tc>
                <w:tcPr>
                  <w:tcW w:w="300" w:type="pct"/>
                  <w:tcBorders>
                    <w:tl2br w:val="nil"/>
                    <w:tr2bl w:val="nil"/>
                  </w:tcBorders>
                  <w:vAlign w:val="center"/>
                </w:tcPr>
                <w:p w14:paraId="40E4EAD2">
                  <w:pPr>
                    <w:jc w:val="center"/>
                    <w:rPr>
                      <w:rFonts w:hint="eastAsia" w:eastAsia="宋体" w:cs="宋体"/>
                      <w:color w:val="auto"/>
                      <w:szCs w:val="21"/>
                      <w:lang w:val="en-US" w:eastAsia="zh-CN" w:bidi="ar"/>
                    </w:rPr>
                  </w:pPr>
                  <w:r>
                    <w:rPr>
                      <w:rFonts w:hint="eastAsia" w:cs="宋体"/>
                      <w:color w:val="auto"/>
                      <w:szCs w:val="21"/>
                      <w:lang w:val="en-US" w:eastAsia="zh-CN" w:bidi="ar"/>
                    </w:rPr>
                    <w:t>依托</w:t>
                  </w:r>
                </w:p>
              </w:tc>
            </w:tr>
            <w:tr w14:paraId="0E0A4EE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vMerge w:val="continue"/>
                  <w:tcBorders>
                    <w:tl2br w:val="nil"/>
                    <w:tr2bl w:val="nil"/>
                  </w:tcBorders>
                  <w:vAlign w:val="center"/>
                </w:tcPr>
                <w:p w14:paraId="1ABBA61C">
                  <w:pPr>
                    <w:rPr>
                      <w:rFonts w:cs="宋体"/>
                      <w:color w:val="auto"/>
                      <w:szCs w:val="21"/>
                      <w:lang w:bidi="ar"/>
                    </w:rPr>
                  </w:pPr>
                </w:p>
              </w:tc>
              <w:tc>
                <w:tcPr>
                  <w:tcW w:w="654" w:type="pct"/>
                  <w:tcBorders>
                    <w:tl2br w:val="nil"/>
                    <w:tr2bl w:val="nil"/>
                  </w:tcBorders>
                  <w:vAlign w:val="center"/>
                </w:tcPr>
                <w:p w14:paraId="1C98E0BF">
                  <w:pPr>
                    <w:jc w:val="center"/>
                    <w:rPr>
                      <w:rFonts w:eastAsiaTheme="minorEastAsia"/>
                      <w:color w:val="auto"/>
                      <w:kern w:val="0"/>
                      <w:szCs w:val="21"/>
                    </w:rPr>
                  </w:pPr>
                  <w:r>
                    <w:rPr>
                      <w:rFonts w:hint="eastAsia" w:cs="宋体"/>
                      <w:color w:val="auto"/>
                      <w:szCs w:val="21"/>
                      <w:lang w:bidi="ar"/>
                    </w:rPr>
                    <w:t>供水</w:t>
                  </w:r>
                </w:p>
              </w:tc>
              <w:tc>
                <w:tcPr>
                  <w:tcW w:w="3654" w:type="pct"/>
                  <w:tcBorders>
                    <w:tl2br w:val="nil"/>
                    <w:tr2bl w:val="nil"/>
                  </w:tcBorders>
                  <w:vAlign w:val="center"/>
                </w:tcPr>
                <w:p w14:paraId="54D814F0">
                  <w:pPr>
                    <w:widowControl/>
                    <w:rPr>
                      <w:rFonts w:cs="宋体"/>
                      <w:color w:val="auto"/>
                      <w:szCs w:val="21"/>
                      <w:lang w:bidi="ar"/>
                    </w:rPr>
                  </w:pPr>
                  <w:r>
                    <w:rPr>
                      <w:rFonts w:hint="eastAsia" w:cs="宋体"/>
                      <w:color w:val="auto"/>
                      <w:szCs w:val="21"/>
                      <w:lang w:bidi="ar"/>
                    </w:rPr>
                    <w:t>依托园区供水管网供水</w:t>
                  </w:r>
                </w:p>
              </w:tc>
              <w:tc>
                <w:tcPr>
                  <w:tcW w:w="300" w:type="pct"/>
                  <w:tcBorders>
                    <w:tl2br w:val="nil"/>
                    <w:tr2bl w:val="nil"/>
                  </w:tcBorders>
                  <w:vAlign w:val="center"/>
                </w:tcPr>
                <w:p w14:paraId="56AB543C">
                  <w:pPr>
                    <w:widowControl/>
                    <w:jc w:val="center"/>
                    <w:rPr>
                      <w:rFonts w:hint="eastAsia" w:eastAsia="宋体" w:cs="宋体"/>
                      <w:color w:val="auto"/>
                      <w:szCs w:val="21"/>
                      <w:lang w:val="en-US" w:eastAsia="zh-CN" w:bidi="ar"/>
                    </w:rPr>
                  </w:pPr>
                  <w:r>
                    <w:rPr>
                      <w:rFonts w:hint="eastAsia" w:cs="宋体"/>
                      <w:color w:val="auto"/>
                      <w:szCs w:val="21"/>
                      <w:lang w:val="en-US" w:eastAsia="zh-CN" w:bidi="ar"/>
                    </w:rPr>
                    <w:t>依托</w:t>
                  </w:r>
                </w:p>
              </w:tc>
            </w:tr>
            <w:tr w14:paraId="3FBC6F2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vMerge w:val="continue"/>
                  <w:tcBorders>
                    <w:tl2br w:val="nil"/>
                    <w:tr2bl w:val="nil"/>
                  </w:tcBorders>
                  <w:vAlign w:val="center"/>
                </w:tcPr>
                <w:p w14:paraId="3879EC2A">
                  <w:pPr>
                    <w:rPr>
                      <w:color w:val="auto"/>
                      <w:szCs w:val="21"/>
                    </w:rPr>
                  </w:pPr>
                </w:p>
              </w:tc>
              <w:tc>
                <w:tcPr>
                  <w:tcW w:w="654" w:type="pct"/>
                  <w:tcBorders>
                    <w:tl2br w:val="nil"/>
                    <w:tr2bl w:val="nil"/>
                  </w:tcBorders>
                  <w:vAlign w:val="center"/>
                </w:tcPr>
                <w:p w14:paraId="05CBB7BB">
                  <w:pPr>
                    <w:jc w:val="center"/>
                    <w:rPr>
                      <w:rFonts w:cs="宋体"/>
                      <w:color w:val="auto"/>
                      <w:szCs w:val="21"/>
                      <w:lang w:bidi="ar"/>
                    </w:rPr>
                  </w:pPr>
                  <w:r>
                    <w:rPr>
                      <w:rFonts w:hint="eastAsia" w:cs="宋体"/>
                      <w:color w:val="auto"/>
                      <w:szCs w:val="21"/>
                      <w:lang w:bidi="ar"/>
                    </w:rPr>
                    <w:t>排水</w:t>
                  </w:r>
                </w:p>
              </w:tc>
              <w:tc>
                <w:tcPr>
                  <w:tcW w:w="3654" w:type="pct"/>
                  <w:tcBorders>
                    <w:tl2br w:val="nil"/>
                    <w:tr2bl w:val="nil"/>
                  </w:tcBorders>
                  <w:vAlign w:val="center"/>
                </w:tcPr>
                <w:p w14:paraId="2997C959">
                  <w:pPr>
                    <w:widowControl/>
                    <w:textAlignment w:val="bottom"/>
                    <w:rPr>
                      <w:rFonts w:eastAsiaTheme="minorEastAsia"/>
                      <w:color w:val="auto"/>
                      <w:kern w:val="0"/>
                      <w:szCs w:val="21"/>
                      <w:lang w:bidi="ar"/>
                    </w:rPr>
                  </w:pPr>
                  <w:r>
                    <w:rPr>
                      <w:rFonts w:hint="eastAsia" w:eastAsiaTheme="minorEastAsia"/>
                      <w:color w:val="auto"/>
                      <w:kern w:val="0"/>
                      <w:szCs w:val="21"/>
                      <w:lang w:bidi="ar"/>
                    </w:rPr>
                    <w:t>新建一座容积为600m³的循环水池。冷却水循环使用不外排，生活污水依托厂区现有化粪池预处理后排入园区排水管网进入园区污水处理厂处理。</w:t>
                  </w:r>
                </w:p>
              </w:tc>
              <w:tc>
                <w:tcPr>
                  <w:tcW w:w="300" w:type="pct"/>
                  <w:tcBorders>
                    <w:tl2br w:val="nil"/>
                    <w:tr2bl w:val="nil"/>
                  </w:tcBorders>
                  <w:vAlign w:val="center"/>
                </w:tcPr>
                <w:p w14:paraId="7AD25AB7">
                  <w:pPr>
                    <w:widowControl/>
                    <w:jc w:val="center"/>
                    <w:textAlignment w:val="bottom"/>
                    <w:rPr>
                      <w:rFonts w:hint="eastAsia" w:eastAsiaTheme="minorEastAsia"/>
                      <w:color w:val="auto"/>
                      <w:kern w:val="0"/>
                      <w:szCs w:val="21"/>
                      <w:lang w:val="en-US" w:eastAsia="zh-CN" w:bidi="ar"/>
                    </w:rPr>
                  </w:pPr>
                  <w:r>
                    <w:rPr>
                      <w:rFonts w:hint="eastAsia" w:eastAsiaTheme="minorEastAsia"/>
                      <w:color w:val="auto"/>
                      <w:kern w:val="0"/>
                      <w:szCs w:val="21"/>
                      <w:lang w:val="en-US" w:eastAsia="zh-CN" w:bidi="ar"/>
                    </w:rPr>
                    <w:t>新建</w:t>
                  </w:r>
                </w:p>
              </w:tc>
            </w:tr>
            <w:tr w14:paraId="555214C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91" w:type="pct"/>
                  <w:vMerge w:val="continue"/>
                  <w:tcBorders>
                    <w:tl2br w:val="nil"/>
                    <w:tr2bl w:val="nil"/>
                  </w:tcBorders>
                  <w:vAlign w:val="center"/>
                </w:tcPr>
                <w:p w14:paraId="7B394444">
                  <w:pPr>
                    <w:rPr>
                      <w:color w:val="auto"/>
                      <w:szCs w:val="21"/>
                    </w:rPr>
                  </w:pPr>
                </w:p>
              </w:tc>
              <w:tc>
                <w:tcPr>
                  <w:tcW w:w="654" w:type="pct"/>
                  <w:tcBorders>
                    <w:tl2br w:val="nil"/>
                    <w:tr2bl w:val="nil"/>
                  </w:tcBorders>
                  <w:vAlign w:val="center"/>
                </w:tcPr>
                <w:p w14:paraId="1CBD7C88">
                  <w:pPr>
                    <w:jc w:val="center"/>
                    <w:rPr>
                      <w:rFonts w:cs="宋体"/>
                      <w:color w:val="auto"/>
                      <w:szCs w:val="21"/>
                      <w:lang w:bidi="ar"/>
                    </w:rPr>
                  </w:pPr>
                  <w:r>
                    <w:rPr>
                      <w:rFonts w:hint="eastAsia" w:cs="宋体"/>
                      <w:color w:val="auto"/>
                      <w:szCs w:val="21"/>
                      <w:lang w:bidi="ar"/>
                    </w:rPr>
                    <w:t>供暖</w:t>
                  </w:r>
                </w:p>
              </w:tc>
              <w:tc>
                <w:tcPr>
                  <w:tcW w:w="3654" w:type="pct"/>
                  <w:tcBorders>
                    <w:tl2br w:val="nil"/>
                    <w:tr2bl w:val="nil"/>
                  </w:tcBorders>
                  <w:vAlign w:val="center"/>
                </w:tcPr>
                <w:p w14:paraId="57F6326B">
                  <w:pPr>
                    <w:widowControl/>
                    <w:textAlignment w:val="bottom"/>
                    <w:rPr>
                      <w:rFonts w:eastAsiaTheme="minorEastAsia"/>
                      <w:color w:val="auto"/>
                      <w:kern w:val="0"/>
                      <w:szCs w:val="21"/>
                      <w:lang w:bidi="ar"/>
                    </w:rPr>
                  </w:pPr>
                  <w:r>
                    <w:rPr>
                      <w:rFonts w:hint="eastAsia" w:eastAsiaTheme="minorEastAsia"/>
                      <w:color w:val="auto"/>
                      <w:kern w:val="0"/>
                      <w:szCs w:val="21"/>
                      <w:lang w:bidi="ar"/>
                    </w:rPr>
                    <w:t>管理用房采用</w:t>
                  </w:r>
                  <w:r>
                    <w:rPr>
                      <w:rFonts w:hint="eastAsia" w:cs="宋体"/>
                      <w:bCs/>
                      <w:color w:val="auto"/>
                      <w:kern w:val="0"/>
                      <w:szCs w:val="21"/>
                      <w:lang w:val="zh-CN" w:bidi="ar"/>
                    </w:rPr>
                    <w:t>电采暖，其他不采暖</w:t>
                  </w:r>
                </w:p>
              </w:tc>
              <w:tc>
                <w:tcPr>
                  <w:tcW w:w="300" w:type="pct"/>
                  <w:tcBorders>
                    <w:tl2br w:val="nil"/>
                    <w:tr2bl w:val="nil"/>
                  </w:tcBorders>
                  <w:vAlign w:val="center"/>
                </w:tcPr>
                <w:p w14:paraId="40C1EE1A">
                  <w:pPr>
                    <w:widowControl/>
                    <w:jc w:val="center"/>
                    <w:textAlignment w:val="bottom"/>
                    <w:rPr>
                      <w:rFonts w:hint="eastAsia" w:eastAsiaTheme="minorEastAsia"/>
                      <w:color w:val="auto"/>
                      <w:kern w:val="0"/>
                      <w:szCs w:val="21"/>
                      <w:lang w:val="en-US" w:eastAsia="zh-CN" w:bidi="ar"/>
                    </w:rPr>
                  </w:pPr>
                  <w:r>
                    <w:rPr>
                      <w:rFonts w:hint="eastAsia" w:eastAsiaTheme="minorEastAsia"/>
                      <w:color w:val="auto"/>
                      <w:kern w:val="0"/>
                      <w:szCs w:val="21"/>
                      <w:lang w:val="en-US" w:eastAsia="zh-CN" w:bidi="ar"/>
                    </w:rPr>
                    <w:t>/</w:t>
                  </w:r>
                </w:p>
              </w:tc>
            </w:tr>
            <w:tr w14:paraId="7233F01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391" w:type="pct"/>
                  <w:vMerge w:val="restart"/>
                  <w:tcBorders>
                    <w:tl2br w:val="nil"/>
                    <w:tr2bl w:val="nil"/>
                  </w:tcBorders>
                  <w:vAlign w:val="center"/>
                </w:tcPr>
                <w:p w14:paraId="285C4D03">
                  <w:pPr>
                    <w:adjustRightInd w:val="0"/>
                    <w:snapToGrid w:val="0"/>
                    <w:spacing w:line="320" w:lineRule="exact"/>
                    <w:rPr>
                      <w:color w:val="auto"/>
                      <w:szCs w:val="21"/>
                    </w:rPr>
                  </w:pPr>
                  <w:r>
                    <w:rPr>
                      <w:color w:val="auto"/>
                      <w:szCs w:val="21"/>
                    </w:rPr>
                    <w:t>环保</w:t>
                  </w:r>
                </w:p>
                <w:p w14:paraId="11AF6E8C">
                  <w:pPr>
                    <w:adjustRightInd w:val="0"/>
                    <w:snapToGrid w:val="0"/>
                    <w:spacing w:line="320" w:lineRule="exact"/>
                    <w:rPr>
                      <w:color w:val="auto"/>
                      <w:szCs w:val="21"/>
                    </w:rPr>
                  </w:pPr>
                  <w:r>
                    <w:rPr>
                      <w:color w:val="auto"/>
                      <w:szCs w:val="21"/>
                    </w:rPr>
                    <w:t>工程</w:t>
                  </w:r>
                </w:p>
              </w:tc>
              <w:tc>
                <w:tcPr>
                  <w:tcW w:w="654" w:type="pct"/>
                  <w:vMerge w:val="restart"/>
                  <w:tcBorders>
                    <w:tl2br w:val="nil"/>
                    <w:tr2bl w:val="nil"/>
                  </w:tcBorders>
                  <w:vAlign w:val="center"/>
                </w:tcPr>
                <w:p w14:paraId="5DE357E3">
                  <w:pPr>
                    <w:jc w:val="center"/>
                    <w:rPr>
                      <w:rFonts w:cs="宋体"/>
                      <w:color w:val="auto"/>
                      <w:szCs w:val="21"/>
                      <w:lang w:bidi="ar"/>
                    </w:rPr>
                  </w:pPr>
                  <w:r>
                    <w:rPr>
                      <w:rFonts w:hint="eastAsia" w:cs="宋体"/>
                      <w:color w:val="auto"/>
                      <w:szCs w:val="21"/>
                      <w:lang w:bidi="ar"/>
                    </w:rPr>
                    <w:t>废气</w:t>
                  </w:r>
                </w:p>
              </w:tc>
              <w:tc>
                <w:tcPr>
                  <w:tcW w:w="3654" w:type="pct"/>
                  <w:tcBorders>
                    <w:tl2br w:val="nil"/>
                    <w:tr2bl w:val="nil"/>
                  </w:tcBorders>
                </w:tcPr>
                <w:p w14:paraId="33D6C2FB">
                  <w:pPr>
                    <w:pStyle w:val="100"/>
                    <w:spacing w:before="58" w:line="228" w:lineRule="auto"/>
                    <w:rPr>
                      <w:rFonts w:ascii="Times New Roman" w:hAnsi="Times New Roman" w:cs="Times New Roman" w:eastAsiaTheme="minorEastAsia"/>
                      <w:color w:val="auto"/>
                      <w:sz w:val="21"/>
                      <w:szCs w:val="21"/>
                      <w:lang w:bidi="ar"/>
                    </w:rPr>
                  </w:pPr>
                  <w:r>
                    <w:rPr>
                      <w:rFonts w:hint="eastAsia" w:ascii="Times New Roman" w:hAnsi="Times New Roman" w:cs="Times New Roman" w:eastAsiaTheme="minorEastAsia"/>
                      <w:color w:val="auto"/>
                      <w:sz w:val="21"/>
                      <w:szCs w:val="21"/>
                      <w:lang w:bidi="ar"/>
                    </w:rPr>
                    <w:t>熔炼及浇筑废气经集气罩收集后，通过管道进入袋式除尘器处理，处理达标后经15米高排气筒排放</w:t>
                  </w:r>
                </w:p>
              </w:tc>
              <w:tc>
                <w:tcPr>
                  <w:tcW w:w="300" w:type="pct"/>
                  <w:tcBorders>
                    <w:tl2br w:val="nil"/>
                    <w:tr2bl w:val="nil"/>
                  </w:tcBorders>
                </w:tcPr>
                <w:p w14:paraId="6506AA6A">
                  <w:pPr>
                    <w:pStyle w:val="100"/>
                    <w:spacing w:before="58" w:line="228" w:lineRule="auto"/>
                    <w:jc w:val="center"/>
                    <w:rPr>
                      <w:rFonts w:hint="eastAsia" w:ascii="Times New Roman" w:hAnsi="Times New Roman" w:cs="Times New Roman" w:eastAsiaTheme="minorEastAsia"/>
                      <w:color w:val="auto"/>
                      <w:sz w:val="21"/>
                      <w:szCs w:val="21"/>
                      <w:lang w:val="en-US" w:eastAsia="zh-CN" w:bidi="ar"/>
                    </w:rPr>
                  </w:pPr>
                  <w:r>
                    <w:rPr>
                      <w:rFonts w:hint="eastAsia" w:ascii="Times New Roman" w:hAnsi="Times New Roman" w:cs="Times New Roman" w:eastAsiaTheme="minorEastAsia"/>
                      <w:color w:val="auto"/>
                      <w:sz w:val="21"/>
                      <w:szCs w:val="21"/>
                      <w:lang w:val="en-US" w:eastAsia="zh-CN" w:bidi="ar"/>
                    </w:rPr>
                    <w:t>新建</w:t>
                  </w:r>
                </w:p>
              </w:tc>
            </w:tr>
            <w:tr w14:paraId="2EC6325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vMerge w:val="continue"/>
                  <w:tcBorders>
                    <w:tl2br w:val="nil"/>
                    <w:tr2bl w:val="nil"/>
                  </w:tcBorders>
                  <w:vAlign w:val="center"/>
                </w:tcPr>
                <w:p w14:paraId="012445A7">
                  <w:pPr>
                    <w:adjustRightInd w:val="0"/>
                    <w:snapToGrid w:val="0"/>
                    <w:spacing w:line="320" w:lineRule="exact"/>
                    <w:rPr>
                      <w:color w:val="auto"/>
                      <w:szCs w:val="21"/>
                    </w:rPr>
                  </w:pPr>
                </w:p>
              </w:tc>
              <w:tc>
                <w:tcPr>
                  <w:tcW w:w="654" w:type="pct"/>
                  <w:vMerge w:val="continue"/>
                  <w:tcBorders>
                    <w:tl2br w:val="nil"/>
                    <w:tr2bl w:val="nil"/>
                  </w:tcBorders>
                  <w:vAlign w:val="center"/>
                </w:tcPr>
                <w:p w14:paraId="2B8EFE46">
                  <w:pPr>
                    <w:jc w:val="center"/>
                    <w:rPr>
                      <w:rFonts w:cs="宋体"/>
                      <w:color w:val="auto"/>
                      <w:szCs w:val="21"/>
                      <w:lang w:bidi="ar"/>
                    </w:rPr>
                  </w:pPr>
                </w:p>
              </w:tc>
              <w:tc>
                <w:tcPr>
                  <w:tcW w:w="3654" w:type="pct"/>
                  <w:tcBorders>
                    <w:tl2br w:val="nil"/>
                    <w:tr2bl w:val="nil"/>
                  </w:tcBorders>
                </w:tcPr>
                <w:p w14:paraId="31325D7E">
                  <w:pPr>
                    <w:pStyle w:val="100"/>
                    <w:spacing w:before="59" w:line="228" w:lineRule="auto"/>
                    <w:rPr>
                      <w:rFonts w:ascii="Times New Roman" w:hAnsi="Times New Roman" w:cs="Times New Roman" w:eastAsiaTheme="minorEastAsia"/>
                      <w:color w:val="auto"/>
                      <w:sz w:val="21"/>
                      <w:szCs w:val="21"/>
                      <w:lang w:bidi="ar"/>
                    </w:rPr>
                  </w:pPr>
                  <w:r>
                    <w:rPr>
                      <w:rFonts w:hint="eastAsia" w:ascii="Times New Roman" w:hAnsi="Times New Roman" w:cs="Times New Roman" w:eastAsiaTheme="minorEastAsia"/>
                      <w:color w:val="auto"/>
                      <w:sz w:val="21"/>
                      <w:szCs w:val="21"/>
                      <w:lang w:bidi="ar"/>
                    </w:rPr>
                    <w:t>焊接废气经集气罩收集后，通过管道进入袋式除尘器处理，处理达标后经15米高排气筒排放</w:t>
                  </w:r>
                </w:p>
              </w:tc>
              <w:tc>
                <w:tcPr>
                  <w:tcW w:w="300" w:type="pct"/>
                  <w:tcBorders>
                    <w:tl2br w:val="nil"/>
                    <w:tr2bl w:val="nil"/>
                  </w:tcBorders>
                </w:tcPr>
                <w:p w14:paraId="055B4A89">
                  <w:pPr>
                    <w:pStyle w:val="100"/>
                    <w:spacing w:before="59" w:line="228" w:lineRule="auto"/>
                    <w:jc w:val="center"/>
                    <w:rPr>
                      <w:rFonts w:hint="eastAsia" w:ascii="Times New Roman" w:hAnsi="Times New Roman" w:cs="Times New Roman" w:eastAsiaTheme="minorEastAsia"/>
                      <w:color w:val="auto"/>
                      <w:sz w:val="21"/>
                      <w:szCs w:val="21"/>
                      <w:lang w:val="en-US" w:eastAsia="zh-CN" w:bidi="ar"/>
                    </w:rPr>
                  </w:pPr>
                  <w:r>
                    <w:rPr>
                      <w:rFonts w:hint="eastAsia" w:ascii="Times New Roman" w:hAnsi="Times New Roman" w:cs="Times New Roman" w:eastAsiaTheme="minorEastAsia"/>
                      <w:color w:val="auto"/>
                      <w:sz w:val="21"/>
                      <w:szCs w:val="21"/>
                      <w:lang w:val="en-US" w:eastAsia="zh-CN" w:bidi="ar"/>
                    </w:rPr>
                    <w:t>新建</w:t>
                  </w:r>
                </w:p>
              </w:tc>
            </w:tr>
            <w:tr w14:paraId="77564F1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391" w:type="pct"/>
                  <w:vMerge w:val="continue"/>
                  <w:tcBorders>
                    <w:tl2br w:val="nil"/>
                    <w:tr2bl w:val="nil"/>
                  </w:tcBorders>
                  <w:vAlign w:val="center"/>
                </w:tcPr>
                <w:p w14:paraId="04A65E95">
                  <w:pPr>
                    <w:adjustRightInd w:val="0"/>
                    <w:snapToGrid w:val="0"/>
                    <w:spacing w:line="320" w:lineRule="exact"/>
                    <w:rPr>
                      <w:color w:val="auto"/>
                      <w:szCs w:val="21"/>
                    </w:rPr>
                  </w:pPr>
                </w:p>
              </w:tc>
              <w:tc>
                <w:tcPr>
                  <w:tcW w:w="654" w:type="pct"/>
                  <w:vMerge w:val="restart"/>
                  <w:tcBorders>
                    <w:tl2br w:val="nil"/>
                    <w:tr2bl w:val="nil"/>
                  </w:tcBorders>
                  <w:vAlign w:val="center"/>
                </w:tcPr>
                <w:p w14:paraId="39A11F56">
                  <w:pPr>
                    <w:adjustRightInd w:val="0"/>
                    <w:snapToGrid w:val="0"/>
                    <w:spacing w:line="320" w:lineRule="exact"/>
                    <w:jc w:val="center"/>
                    <w:rPr>
                      <w:color w:val="auto"/>
                      <w:szCs w:val="21"/>
                    </w:rPr>
                  </w:pPr>
                  <w:r>
                    <w:rPr>
                      <w:color w:val="auto"/>
                      <w:szCs w:val="21"/>
                    </w:rPr>
                    <w:t>废水</w:t>
                  </w:r>
                </w:p>
              </w:tc>
              <w:tc>
                <w:tcPr>
                  <w:tcW w:w="3654" w:type="pct"/>
                  <w:tcBorders>
                    <w:tl2br w:val="nil"/>
                    <w:tr2bl w:val="nil"/>
                  </w:tcBorders>
                  <w:vAlign w:val="center"/>
                </w:tcPr>
                <w:p w14:paraId="56983E62">
                  <w:pPr>
                    <w:widowControl/>
                    <w:jc w:val="left"/>
                    <w:rPr>
                      <w:color w:val="auto"/>
                      <w:szCs w:val="21"/>
                    </w:rPr>
                  </w:pPr>
                  <w:r>
                    <w:rPr>
                      <w:rFonts w:hint="eastAsia" w:eastAsiaTheme="minorEastAsia"/>
                      <w:color w:val="auto"/>
                      <w:kern w:val="0"/>
                      <w:szCs w:val="21"/>
                      <w:lang w:bidi="ar"/>
                    </w:rPr>
                    <w:t>冷却水循环使用不外排</w:t>
                  </w:r>
                </w:p>
              </w:tc>
              <w:tc>
                <w:tcPr>
                  <w:tcW w:w="300" w:type="pct"/>
                  <w:tcBorders>
                    <w:tl2br w:val="nil"/>
                    <w:tr2bl w:val="nil"/>
                  </w:tcBorders>
                  <w:vAlign w:val="center"/>
                </w:tcPr>
                <w:p w14:paraId="28562280">
                  <w:pPr>
                    <w:widowControl/>
                    <w:jc w:val="center"/>
                    <w:rPr>
                      <w:rFonts w:hint="eastAsia" w:eastAsiaTheme="minorEastAsia"/>
                      <w:color w:val="auto"/>
                      <w:kern w:val="0"/>
                      <w:szCs w:val="21"/>
                      <w:lang w:val="en-US" w:eastAsia="zh-CN" w:bidi="ar"/>
                    </w:rPr>
                  </w:pPr>
                  <w:r>
                    <w:rPr>
                      <w:rFonts w:hint="eastAsia" w:eastAsiaTheme="minorEastAsia"/>
                      <w:color w:val="auto"/>
                      <w:kern w:val="0"/>
                      <w:szCs w:val="21"/>
                      <w:lang w:val="en-US" w:eastAsia="zh-CN" w:bidi="ar"/>
                    </w:rPr>
                    <w:t>/</w:t>
                  </w:r>
                </w:p>
              </w:tc>
            </w:tr>
            <w:tr w14:paraId="64BB0B1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vMerge w:val="continue"/>
                  <w:tcBorders>
                    <w:tl2br w:val="nil"/>
                    <w:tr2bl w:val="nil"/>
                  </w:tcBorders>
                  <w:vAlign w:val="center"/>
                </w:tcPr>
                <w:p w14:paraId="7C0B39BA">
                  <w:pPr>
                    <w:adjustRightInd w:val="0"/>
                    <w:snapToGrid w:val="0"/>
                    <w:spacing w:line="320" w:lineRule="exact"/>
                    <w:rPr>
                      <w:color w:val="auto"/>
                      <w:szCs w:val="21"/>
                    </w:rPr>
                  </w:pPr>
                </w:p>
              </w:tc>
              <w:tc>
                <w:tcPr>
                  <w:tcW w:w="654" w:type="pct"/>
                  <w:vMerge w:val="continue"/>
                  <w:tcBorders>
                    <w:tl2br w:val="nil"/>
                    <w:tr2bl w:val="nil"/>
                  </w:tcBorders>
                  <w:vAlign w:val="center"/>
                </w:tcPr>
                <w:p w14:paraId="2A07E215">
                  <w:pPr>
                    <w:adjustRightInd w:val="0"/>
                    <w:snapToGrid w:val="0"/>
                    <w:spacing w:line="320" w:lineRule="exact"/>
                    <w:jc w:val="center"/>
                    <w:rPr>
                      <w:color w:val="auto"/>
                      <w:szCs w:val="21"/>
                    </w:rPr>
                  </w:pPr>
                </w:p>
              </w:tc>
              <w:tc>
                <w:tcPr>
                  <w:tcW w:w="3654" w:type="pct"/>
                  <w:tcBorders>
                    <w:tl2br w:val="nil"/>
                    <w:tr2bl w:val="nil"/>
                  </w:tcBorders>
                  <w:vAlign w:val="center"/>
                </w:tcPr>
                <w:p w14:paraId="330F72C2">
                  <w:pPr>
                    <w:widowControl/>
                    <w:jc w:val="left"/>
                    <w:rPr>
                      <w:rFonts w:ascii="宋体" w:hAnsi="宋体" w:cs="宋体"/>
                      <w:color w:val="auto"/>
                      <w:kern w:val="0"/>
                      <w:szCs w:val="21"/>
                    </w:rPr>
                  </w:pPr>
                  <w:r>
                    <w:rPr>
                      <w:rFonts w:hint="eastAsia" w:eastAsiaTheme="minorEastAsia"/>
                      <w:color w:val="auto"/>
                      <w:kern w:val="0"/>
                      <w:szCs w:val="21"/>
                      <w:lang w:bidi="ar"/>
                    </w:rPr>
                    <w:t>生活污水依托厂区现有化粪池预处理后排入园区排水管网进入园区污水处理厂处理</w:t>
                  </w:r>
                  <w:r>
                    <w:rPr>
                      <w:rFonts w:hint="eastAsia" w:ascii="宋体" w:hAnsi="宋体" w:cs="宋体"/>
                      <w:color w:val="auto"/>
                      <w:kern w:val="0"/>
                      <w:szCs w:val="21"/>
                    </w:rPr>
                    <w:t>。</w:t>
                  </w:r>
                </w:p>
              </w:tc>
              <w:tc>
                <w:tcPr>
                  <w:tcW w:w="300" w:type="pct"/>
                  <w:tcBorders>
                    <w:tl2br w:val="nil"/>
                    <w:tr2bl w:val="nil"/>
                  </w:tcBorders>
                  <w:vAlign w:val="center"/>
                </w:tcPr>
                <w:p w14:paraId="17AD8DDA">
                  <w:pPr>
                    <w:widowControl/>
                    <w:jc w:val="center"/>
                    <w:rPr>
                      <w:rFonts w:hint="eastAsia" w:eastAsiaTheme="minorEastAsia"/>
                      <w:color w:val="auto"/>
                      <w:kern w:val="0"/>
                      <w:szCs w:val="21"/>
                      <w:lang w:val="en-US" w:eastAsia="zh-CN" w:bidi="ar"/>
                    </w:rPr>
                  </w:pPr>
                  <w:r>
                    <w:rPr>
                      <w:rFonts w:hint="eastAsia" w:eastAsiaTheme="minorEastAsia"/>
                      <w:color w:val="auto"/>
                      <w:kern w:val="0"/>
                      <w:szCs w:val="21"/>
                      <w:lang w:val="en-US" w:eastAsia="zh-CN" w:bidi="ar"/>
                    </w:rPr>
                    <w:t>依托</w:t>
                  </w:r>
                </w:p>
              </w:tc>
            </w:tr>
            <w:tr w14:paraId="46AF993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vMerge w:val="continue"/>
                  <w:tcBorders>
                    <w:tl2br w:val="nil"/>
                    <w:tr2bl w:val="nil"/>
                  </w:tcBorders>
                  <w:vAlign w:val="center"/>
                </w:tcPr>
                <w:p w14:paraId="4C717FFB">
                  <w:pPr>
                    <w:adjustRightInd w:val="0"/>
                    <w:snapToGrid w:val="0"/>
                    <w:spacing w:line="320" w:lineRule="exact"/>
                    <w:rPr>
                      <w:color w:val="auto"/>
                      <w:szCs w:val="21"/>
                    </w:rPr>
                  </w:pPr>
                </w:p>
              </w:tc>
              <w:tc>
                <w:tcPr>
                  <w:tcW w:w="654" w:type="pct"/>
                  <w:tcBorders>
                    <w:tl2br w:val="nil"/>
                    <w:tr2bl w:val="nil"/>
                  </w:tcBorders>
                  <w:vAlign w:val="center"/>
                </w:tcPr>
                <w:p w14:paraId="5ED23F72">
                  <w:pPr>
                    <w:spacing w:line="320" w:lineRule="exact"/>
                    <w:jc w:val="center"/>
                    <w:rPr>
                      <w:color w:val="auto"/>
                      <w:szCs w:val="21"/>
                    </w:rPr>
                  </w:pPr>
                  <w:r>
                    <w:rPr>
                      <w:color w:val="auto"/>
                      <w:szCs w:val="21"/>
                    </w:rPr>
                    <w:t>噪声</w:t>
                  </w:r>
                </w:p>
              </w:tc>
              <w:tc>
                <w:tcPr>
                  <w:tcW w:w="3654" w:type="pct"/>
                  <w:tcBorders>
                    <w:tl2br w:val="nil"/>
                    <w:tr2bl w:val="nil"/>
                  </w:tcBorders>
                  <w:vAlign w:val="center"/>
                </w:tcPr>
                <w:p w14:paraId="070A519D">
                  <w:pPr>
                    <w:spacing w:line="320" w:lineRule="exact"/>
                    <w:rPr>
                      <w:color w:val="auto"/>
                      <w:szCs w:val="21"/>
                    </w:rPr>
                  </w:pPr>
                  <w:r>
                    <w:rPr>
                      <w:rFonts w:hint="eastAsia"/>
                      <w:color w:val="auto"/>
                      <w:spacing w:val="-6"/>
                      <w:kern w:val="0"/>
                      <w:szCs w:val="21"/>
                    </w:rPr>
                    <w:t>选用低噪声设备，隔声、减振安装，设备定期维护保养</w:t>
                  </w:r>
                </w:p>
              </w:tc>
              <w:tc>
                <w:tcPr>
                  <w:tcW w:w="300" w:type="pct"/>
                  <w:tcBorders>
                    <w:tl2br w:val="nil"/>
                    <w:tr2bl w:val="nil"/>
                  </w:tcBorders>
                  <w:vAlign w:val="center"/>
                </w:tcPr>
                <w:p w14:paraId="7FD3610D">
                  <w:pPr>
                    <w:spacing w:line="320" w:lineRule="exact"/>
                    <w:jc w:val="center"/>
                    <w:rPr>
                      <w:rFonts w:hint="eastAsia" w:eastAsia="宋体"/>
                      <w:color w:val="auto"/>
                      <w:spacing w:val="-6"/>
                      <w:kern w:val="0"/>
                      <w:szCs w:val="21"/>
                      <w:lang w:val="en-US" w:eastAsia="zh-CN"/>
                    </w:rPr>
                  </w:pPr>
                  <w:r>
                    <w:rPr>
                      <w:rFonts w:hint="eastAsia"/>
                      <w:color w:val="auto"/>
                      <w:spacing w:val="-6"/>
                      <w:kern w:val="0"/>
                      <w:szCs w:val="21"/>
                      <w:lang w:val="en-US" w:eastAsia="zh-CN"/>
                    </w:rPr>
                    <w:t>新建</w:t>
                  </w:r>
                </w:p>
              </w:tc>
            </w:tr>
            <w:tr w14:paraId="28F3125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vMerge w:val="continue"/>
                  <w:tcBorders>
                    <w:tl2br w:val="nil"/>
                    <w:tr2bl w:val="nil"/>
                  </w:tcBorders>
                  <w:vAlign w:val="center"/>
                </w:tcPr>
                <w:p w14:paraId="05B89C91">
                  <w:pPr>
                    <w:adjustRightInd w:val="0"/>
                    <w:snapToGrid w:val="0"/>
                    <w:spacing w:line="320" w:lineRule="exact"/>
                    <w:rPr>
                      <w:color w:val="auto"/>
                      <w:szCs w:val="21"/>
                    </w:rPr>
                  </w:pPr>
                </w:p>
              </w:tc>
              <w:tc>
                <w:tcPr>
                  <w:tcW w:w="654" w:type="pct"/>
                  <w:vMerge w:val="restart"/>
                  <w:tcBorders>
                    <w:tl2br w:val="nil"/>
                    <w:tr2bl w:val="nil"/>
                  </w:tcBorders>
                  <w:vAlign w:val="center"/>
                </w:tcPr>
                <w:p w14:paraId="07DA406A">
                  <w:pPr>
                    <w:adjustRightInd w:val="0"/>
                    <w:snapToGrid w:val="0"/>
                    <w:spacing w:line="320" w:lineRule="exact"/>
                    <w:jc w:val="center"/>
                    <w:rPr>
                      <w:color w:val="auto"/>
                      <w:szCs w:val="21"/>
                    </w:rPr>
                  </w:pPr>
                  <w:r>
                    <w:rPr>
                      <w:color w:val="auto"/>
                      <w:szCs w:val="21"/>
                    </w:rPr>
                    <w:t>固废</w:t>
                  </w:r>
                </w:p>
              </w:tc>
              <w:tc>
                <w:tcPr>
                  <w:tcW w:w="3654" w:type="pct"/>
                  <w:tcBorders>
                    <w:tl2br w:val="nil"/>
                    <w:tr2bl w:val="nil"/>
                  </w:tcBorders>
                  <w:vAlign w:val="center"/>
                </w:tcPr>
                <w:p w14:paraId="2C335AB1">
                  <w:pPr>
                    <w:adjustRightInd w:val="0"/>
                    <w:snapToGrid w:val="0"/>
                    <w:spacing w:line="320" w:lineRule="exact"/>
                    <w:rPr>
                      <w:color w:val="auto"/>
                      <w:szCs w:val="21"/>
                    </w:rPr>
                  </w:pPr>
                  <w:r>
                    <w:rPr>
                      <w:rFonts w:hint="eastAsia"/>
                      <w:color w:val="auto"/>
                      <w:szCs w:val="21"/>
                    </w:rPr>
                    <w:t>生活垃圾收集后由环卫部门统一清运。</w:t>
                  </w:r>
                  <w:r>
                    <w:rPr>
                      <w:color w:val="auto"/>
                      <w:szCs w:val="21"/>
                    </w:rPr>
                    <w:t xml:space="preserve"> </w:t>
                  </w:r>
                </w:p>
              </w:tc>
              <w:tc>
                <w:tcPr>
                  <w:tcW w:w="300" w:type="pct"/>
                  <w:tcBorders>
                    <w:tl2br w:val="nil"/>
                    <w:tr2bl w:val="nil"/>
                  </w:tcBorders>
                  <w:vAlign w:val="center"/>
                </w:tcPr>
                <w:p w14:paraId="2581B630">
                  <w:pPr>
                    <w:adjustRightInd w:val="0"/>
                    <w:snapToGrid w:val="0"/>
                    <w:spacing w:line="320" w:lineRule="exact"/>
                    <w:jc w:val="center"/>
                    <w:rPr>
                      <w:rFonts w:hint="eastAsia" w:eastAsia="宋体"/>
                      <w:color w:val="auto"/>
                      <w:szCs w:val="21"/>
                      <w:lang w:val="en-US" w:eastAsia="zh-CN"/>
                    </w:rPr>
                  </w:pPr>
                  <w:r>
                    <w:rPr>
                      <w:rFonts w:hint="eastAsia"/>
                      <w:color w:val="auto"/>
                      <w:szCs w:val="21"/>
                      <w:lang w:val="en-US" w:eastAsia="zh-CN"/>
                    </w:rPr>
                    <w:t>/</w:t>
                  </w:r>
                </w:p>
              </w:tc>
            </w:tr>
            <w:tr w14:paraId="42CFC21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vMerge w:val="continue"/>
                  <w:tcBorders>
                    <w:tl2br w:val="nil"/>
                    <w:tr2bl w:val="nil"/>
                  </w:tcBorders>
                  <w:vAlign w:val="center"/>
                </w:tcPr>
                <w:p w14:paraId="56645602">
                  <w:pPr>
                    <w:adjustRightInd w:val="0"/>
                    <w:snapToGrid w:val="0"/>
                    <w:spacing w:line="320" w:lineRule="exact"/>
                    <w:rPr>
                      <w:color w:val="auto"/>
                      <w:szCs w:val="21"/>
                    </w:rPr>
                  </w:pPr>
                </w:p>
              </w:tc>
              <w:tc>
                <w:tcPr>
                  <w:tcW w:w="654" w:type="pct"/>
                  <w:vMerge w:val="continue"/>
                  <w:tcBorders>
                    <w:tl2br w:val="nil"/>
                    <w:tr2bl w:val="nil"/>
                  </w:tcBorders>
                  <w:vAlign w:val="center"/>
                </w:tcPr>
                <w:p w14:paraId="093424AB">
                  <w:pPr>
                    <w:adjustRightInd w:val="0"/>
                    <w:snapToGrid w:val="0"/>
                    <w:spacing w:line="320" w:lineRule="exact"/>
                    <w:jc w:val="center"/>
                    <w:rPr>
                      <w:color w:val="auto"/>
                      <w:szCs w:val="21"/>
                    </w:rPr>
                  </w:pPr>
                </w:p>
              </w:tc>
              <w:tc>
                <w:tcPr>
                  <w:tcW w:w="3654" w:type="pct"/>
                  <w:tcBorders>
                    <w:tl2br w:val="nil"/>
                    <w:tr2bl w:val="nil"/>
                  </w:tcBorders>
                  <w:vAlign w:val="center"/>
                </w:tcPr>
                <w:p w14:paraId="52814E97">
                  <w:pPr>
                    <w:adjustRightInd w:val="0"/>
                    <w:snapToGrid w:val="0"/>
                    <w:spacing w:line="320" w:lineRule="exact"/>
                    <w:rPr>
                      <w:color w:val="auto"/>
                      <w:szCs w:val="21"/>
                    </w:rPr>
                  </w:pPr>
                  <w:r>
                    <w:rPr>
                      <w:rFonts w:hint="eastAsia"/>
                      <w:color w:val="auto"/>
                    </w:rPr>
                    <w:t>锯床、车床加工过程中会使用乳化液及液压油，其中乳化液循环使用，定期添加，不外排。废乳化液及废液压油</w:t>
                  </w:r>
                  <w:r>
                    <w:rPr>
                      <w:rFonts w:hint="eastAsia"/>
                      <w:color w:val="auto"/>
                      <w:lang w:val="en-US" w:eastAsia="zh-CN"/>
                    </w:rPr>
                    <w:t>暂存于新建危废间</w:t>
                  </w:r>
                  <w:r>
                    <w:rPr>
                      <w:rFonts w:hint="eastAsia"/>
                      <w:color w:val="auto"/>
                    </w:rPr>
                    <w:t>，</w:t>
                  </w:r>
                  <w:r>
                    <w:rPr>
                      <w:rFonts w:hint="eastAsia"/>
                      <w:color w:val="auto"/>
                      <w:lang w:val="en-US" w:eastAsia="zh-CN"/>
                    </w:rPr>
                    <w:t>建筑面积20m</w:t>
                  </w:r>
                  <w:r>
                    <w:rPr>
                      <w:rFonts w:hint="eastAsia"/>
                      <w:color w:val="auto"/>
                      <w:vertAlign w:val="superscript"/>
                      <w:lang w:val="en-US" w:eastAsia="zh-CN"/>
                    </w:rPr>
                    <w:t>2</w:t>
                  </w:r>
                  <w:r>
                    <w:rPr>
                      <w:rFonts w:hint="eastAsia"/>
                      <w:color w:val="auto"/>
                      <w:lang w:val="en-US" w:eastAsia="zh-CN"/>
                    </w:rPr>
                    <w:t>，</w:t>
                  </w:r>
                  <w:r>
                    <w:rPr>
                      <w:rFonts w:hint="eastAsia"/>
                      <w:color w:val="auto"/>
                    </w:rPr>
                    <w:t>委托有资质单位处置。</w:t>
                  </w:r>
                </w:p>
              </w:tc>
              <w:tc>
                <w:tcPr>
                  <w:tcW w:w="300" w:type="pct"/>
                  <w:tcBorders>
                    <w:tl2br w:val="nil"/>
                    <w:tr2bl w:val="nil"/>
                  </w:tcBorders>
                  <w:vAlign w:val="center"/>
                </w:tcPr>
                <w:p w14:paraId="1BD9C500">
                  <w:pPr>
                    <w:adjustRightInd w:val="0"/>
                    <w:snapToGrid w:val="0"/>
                    <w:spacing w:line="320" w:lineRule="exact"/>
                    <w:jc w:val="center"/>
                    <w:rPr>
                      <w:rFonts w:hint="eastAsia" w:eastAsia="宋体"/>
                      <w:color w:val="auto"/>
                      <w:lang w:val="en-US" w:eastAsia="zh-CN"/>
                    </w:rPr>
                  </w:pPr>
                  <w:r>
                    <w:rPr>
                      <w:rFonts w:hint="eastAsia"/>
                      <w:color w:val="auto"/>
                      <w:lang w:val="en-US" w:eastAsia="zh-CN"/>
                    </w:rPr>
                    <w:t>新建</w:t>
                  </w:r>
                </w:p>
              </w:tc>
            </w:tr>
            <w:tr w14:paraId="539B6AB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vMerge w:val="continue"/>
                  <w:tcBorders>
                    <w:tl2br w:val="nil"/>
                    <w:tr2bl w:val="nil"/>
                  </w:tcBorders>
                  <w:vAlign w:val="center"/>
                </w:tcPr>
                <w:p w14:paraId="5F856378">
                  <w:pPr>
                    <w:adjustRightInd w:val="0"/>
                    <w:snapToGrid w:val="0"/>
                    <w:spacing w:line="320" w:lineRule="exact"/>
                    <w:rPr>
                      <w:color w:val="auto"/>
                      <w:szCs w:val="21"/>
                    </w:rPr>
                  </w:pPr>
                </w:p>
              </w:tc>
              <w:tc>
                <w:tcPr>
                  <w:tcW w:w="654" w:type="pct"/>
                  <w:vMerge w:val="continue"/>
                  <w:tcBorders>
                    <w:tl2br w:val="nil"/>
                    <w:tr2bl w:val="nil"/>
                  </w:tcBorders>
                  <w:vAlign w:val="center"/>
                </w:tcPr>
                <w:p w14:paraId="53B54B99">
                  <w:pPr>
                    <w:adjustRightInd w:val="0"/>
                    <w:snapToGrid w:val="0"/>
                    <w:spacing w:line="320" w:lineRule="exact"/>
                    <w:jc w:val="center"/>
                    <w:rPr>
                      <w:color w:val="auto"/>
                      <w:szCs w:val="21"/>
                    </w:rPr>
                  </w:pPr>
                </w:p>
              </w:tc>
              <w:tc>
                <w:tcPr>
                  <w:tcW w:w="3654" w:type="pct"/>
                  <w:tcBorders>
                    <w:tl2br w:val="nil"/>
                    <w:tr2bl w:val="nil"/>
                  </w:tcBorders>
                  <w:vAlign w:val="center"/>
                </w:tcPr>
                <w:p w14:paraId="72F3B965">
                  <w:pPr>
                    <w:pStyle w:val="100"/>
                    <w:spacing w:before="66" w:line="228" w:lineRule="auto"/>
                    <w:ind w:left="8"/>
                    <w:rPr>
                      <w:rFonts w:ascii="Times New Roman" w:hAnsi="Times New Roman" w:cs="Times New Roman"/>
                      <w:color w:val="auto"/>
                      <w:sz w:val="21"/>
                      <w:szCs w:val="21"/>
                      <w:lang w:bidi="ar"/>
                    </w:rPr>
                  </w:pPr>
                  <w:r>
                    <w:rPr>
                      <w:rFonts w:hint="eastAsia" w:ascii="Times New Roman" w:hAnsi="Times New Roman" w:cs="Times New Roman"/>
                      <w:color w:val="auto"/>
                      <w:spacing w:val="6"/>
                      <w:sz w:val="21"/>
                      <w:szCs w:val="21"/>
                    </w:rPr>
                    <w:t>炉渣、废边角料、残次品及除尘灰由建设单位收集后</w:t>
                  </w:r>
                  <w:r>
                    <w:rPr>
                      <w:rFonts w:ascii="Times New Roman" w:hAnsi="Times New Roman" w:cs="Times New Roman"/>
                      <w:color w:val="auto"/>
                      <w:spacing w:val="6"/>
                      <w:sz w:val="21"/>
                      <w:szCs w:val="21"/>
                    </w:rPr>
                    <w:t>综合利用</w:t>
                  </w:r>
                </w:p>
              </w:tc>
              <w:tc>
                <w:tcPr>
                  <w:tcW w:w="300" w:type="pct"/>
                  <w:tcBorders>
                    <w:tl2br w:val="nil"/>
                    <w:tr2bl w:val="nil"/>
                  </w:tcBorders>
                  <w:vAlign w:val="center"/>
                </w:tcPr>
                <w:p w14:paraId="27758482">
                  <w:pPr>
                    <w:pStyle w:val="100"/>
                    <w:spacing w:before="66" w:line="228" w:lineRule="auto"/>
                    <w:ind w:left="8"/>
                    <w:jc w:val="center"/>
                    <w:rPr>
                      <w:rFonts w:hint="eastAsia" w:ascii="Times New Roman" w:hAnsi="Times New Roman" w:eastAsia="宋体" w:cs="Times New Roman"/>
                      <w:color w:val="auto"/>
                      <w:spacing w:val="6"/>
                      <w:sz w:val="21"/>
                      <w:szCs w:val="21"/>
                      <w:lang w:val="en-US" w:eastAsia="zh-CN"/>
                    </w:rPr>
                  </w:pPr>
                  <w:r>
                    <w:rPr>
                      <w:rFonts w:hint="eastAsia" w:ascii="Times New Roman" w:hAnsi="Times New Roman" w:cs="Times New Roman"/>
                      <w:color w:val="auto"/>
                      <w:spacing w:val="6"/>
                      <w:sz w:val="21"/>
                      <w:szCs w:val="21"/>
                      <w:lang w:val="en-US" w:eastAsia="zh-CN"/>
                    </w:rPr>
                    <w:t>/</w:t>
                  </w:r>
                </w:p>
              </w:tc>
            </w:tr>
            <w:tr w14:paraId="6990834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vMerge w:val="continue"/>
                  <w:tcBorders>
                    <w:tl2br w:val="nil"/>
                    <w:tr2bl w:val="nil"/>
                  </w:tcBorders>
                  <w:vAlign w:val="center"/>
                </w:tcPr>
                <w:p w14:paraId="5CC1A204">
                  <w:pPr>
                    <w:adjustRightInd w:val="0"/>
                    <w:snapToGrid w:val="0"/>
                    <w:spacing w:line="320" w:lineRule="exact"/>
                    <w:rPr>
                      <w:color w:val="auto"/>
                      <w:szCs w:val="21"/>
                    </w:rPr>
                  </w:pPr>
                </w:p>
              </w:tc>
              <w:tc>
                <w:tcPr>
                  <w:tcW w:w="654" w:type="pct"/>
                  <w:vMerge w:val="continue"/>
                  <w:tcBorders>
                    <w:tl2br w:val="nil"/>
                    <w:tr2bl w:val="nil"/>
                  </w:tcBorders>
                  <w:vAlign w:val="center"/>
                </w:tcPr>
                <w:p w14:paraId="79327F35">
                  <w:pPr>
                    <w:adjustRightInd w:val="0"/>
                    <w:snapToGrid w:val="0"/>
                    <w:spacing w:line="320" w:lineRule="exact"/>
                    <w:jc w:val="center"/>
                    <w:rPr>
                      <w:color w:val="auto"/>
                      <w:szCs w:val="21"/>
                    </w:rPr>
                  </w:pPr>
                </w:p>
              </w:tc>
              <w:tc>
                <w:tcPr>
                  <w:tcW w:w="3654" w:type="pct"/>
                  <w:tcBorders>
                    <w:tl2br w:val="nil"/>
                    <w:tr2bl w:val="nil"/>
                  </w:tcBorders>
                  <w:vAlign w:val="center"/>
                </w:tcPr>
                <w:p w14:paraId="6966FAB9">
                  <w:pPr>
                    <w:pStyle w:val="100"/>
                    <w:spacing w:before="66" w:line="228" w:lineRule="auto"/>
                    <w:ind w:left="8"/>
                    <w:rPr>
                      <w:rFonts w:ascii="Times New Roman" w:hAnsi="Times New Roman" w:cs="Times New Roman"/>
                      <w:color w:val="auto"/>
                      <w:spacing w:val="7"/>
                      <w:sz w:val="21"/>
                      <w:szCs w:val="21"/>
                    </w:rPr>
                  </w:pPr>
                  <w:r>
                    <w:rPr>
                      <w:rFonts w:hint="eastAsia" w:ascii="Times New Roman" w:hAnsi="Times New Roman" w:cs="Times New Roman"/>
                      <w:color w:val="auto"/>
                      <w:spacing w:val="7"/>
                      <w:sz w:val="21"/>
                      <w:szCs w:val="21"/>
                    </w:rPr>
                    <w:t>脱模剂外包装交由废品回收站处理</w:t>
                  </w:r>
                </w:p>
              </w:tc>
              <w:tc>
                <w:tcPr>
                  <w:tcW w:w="300" w:type="pct"/>
                  <w:tcBorders>
                    <w:tl2br w:val="nil"/>
                    <w:tr2bl w:val="nil"/>
                  </w:tcBorders>
                  <w:vAlign w:val="center"/>
                </w:tcPr>
                <w:p w14:paraId="1CFB83C3">
                  <w:pPr>
                    <w:pStyle w:val="100"/>
                    <w:spacing w:before="66" w:line="228" w:lineRule="auto"/>
                    <w:ind w:left="8"/>
                    <w:jc w:val="center"/>
                    <w:rPr>
                      <w:rFonts w:hint="eastAsia" w:ascii="Times New Roman" w:hAnsi="Times New Roman" w:eastAsia="宋体" w:cs="Times New Roman"/>
                      <w:color w:val="auto"/>
                      <w:spacing w:val="7"/>
                      <w:sz w:val="21"/>
                      <w:szCs w:val="21"/>
                      <w:lang w:val="en-US" w:eastAsia="zh-CN"/>
                    </w:rPr>
                  </w:pPr>
                  <w:r>
                    <w:rPr>
                      <w:rFonts w:hint="eastAsia" w:ascii="Times New Roman" w:hAnsi="Times New Roman" w:cs="Times New Roman"/>
                      <w:color w:val="auto"/>
                      <w:spacing w:val="7"/>
                      <w:sz w:val="21"/>
                      <w:szCs w:val="21"/>
                      <w:lang w:val="en-US" w:eastAsia="zh-CN"/>
                    </w:rPr>
                    <w:t>/</w:t>
                  </w:r>
                </w:p>
              </w:tc>
            </w:tr>
            <w:tr w14:paraId="0743353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vMerge w:val="continue"/>
                  <w:tcBorders>
                    <w:tl2br w:val="nil"/>
                    <w:tr2bl w:val="nil"/>
                  </w:tcBorders>
                  <w:vAlign w:val="center"/>
                </w:tcPr>
                <w:p w14:paraId="79B12342">
                  <w:pPr>
                    <w:adjustRightInd w:val="0"/>
                    <w:snapToGrid w:val="0"/>
                    <w:spacing w:line="320" w:lineRule="exact"/>
                    <w:rPr>
                      <w:color w:val="auto"/>
                      <w:szCs w:val="21"/>
                    </w:rPr>
                  </w:pPr>
                </w:p>
              </w:tc>
              <w:tc>
                <w:tcPr>
                  <w:tcW w:w="654" w:type="pct"/>
                  <w:vMerge w:val="continue"/>
                  <w:tcBorders>
                    <w:tl2br w:val="nil"/>
                    <w:tr2bl w:val="nil"/>
                  </w:tcBorders>
                  <w:vAlign w:val="center"/>
                </w:tcPr>
                <w:p w14:paraId="4C74DB6C">
                  <w:pPr>
                    <w:adjustRightInd w:val="0"/>
                    <w:snapToGrid w:val="0"/>
                    <w:spacing w:line="320" w:lineRule="exact"/>
                    <w:jc w:val="center"/>
                    <w:rPr>
                      <w:color w:val="auto"/>
                      <w:szCs w:val="21"/>
                    </w:rPr>
                  </w:pPr>
                </w:p>
              </w:tc>
              <w:tc>
                <w:tcPr>
                  <w:tcW w:w="3654" w:type="pct"/>
                  <w:tcBorders>
                    <w:tl2br w:val="nil"/>
                    <w:tr2bl w:val="nil"/>
                  </w:tcBorders>
                  <w:vAlign w:val="center"/>
                </w:tcPr>
                <w:p w14:paraId="726F8F62">
                  <w:pPr>
                    <w:pStyle w:val="100"/>
                    <w:spacing w:before="66" w:line="228" w:lineRule="auto"/>
                    <w:ind w:left="8"/>
                    <w:rPr>
                      <w:rFonts w:ascii="Times New Roman" w:hAnsi="Times New Roman" w:cs="Times New Roman"/>
                      <w:color w:val="auto"/>
                      <w:spacing w:val="7"/>
                      <w:sz w:val="21"/>
                      <w:szCs w:val="21"/>
                      <w:highlight w:val="yellow"/>
                    </w:rPr>
                  </w:pPr>
                  <w:r>
                    <w:rPr>
                      <w:rFonts w:hint="eastAsia" w:ascii="Times New Roman" w:hAnsi="Times New Roman" w:cs="Times New Roman"/>
                      <w:color w:val="auto"/>
                      <w:spacing w:val="7"/>
                      <w:sz w:val="21"/>
                      <w:szCs w:val="21"/>
                    </w:rPr>
                    <w:t>废金属模具由厂家回收，以旧换新</w:t>
                  </w:r>
                </w:p>
              </w:tc>
              <w:tc>
                <w:tcPr>
                  <w:tcW w:w="300" w:type="pct"/>
                  <w:tcBorders>
                    <w:tl2br w:val="nil"/>
                    <w:tr2bl w:val="nil"/>
                  </w:tcBorders>
                  <w:vAlign w:val="center"/>
                </w:tcPr>
                <w:p w14:paraId="4F06B62F">
                  <w:pPr>
                    <w:pStyle w:val="100"/>
                    <w:spacing w:before="66" w:line="228" w:lineRule="auto"/>
                    <w:ind w:left="8"/>
                    <w:jc w:val="center"/>
                    <w:rPr>
                      <w:rFonts w:hint="eastAsia" w:ascii="Times New Roman" w:hAnsi="Times New Roman" w:eastAsia="宋体" w:cs="Times New Roman"/>
                      <w:color w:val="auto"/>
                      <w:spacing w:val="7"/>
                      <w:sz w:val="21"/>
                      <w:szCs w:val="21"/>
                      <w:lang w:val="en-US" w:eastAsia="zh-CN"/>
                    </w:rPr>
                  </w:pPr>
                  <w:r>
                    <w:rPr>
                      <w:rFonts w:hint="eastAsia" w:ascii="Times New Roman" w:hAnsi="Times New Roman" w:cs="Times New Roman"/>
                      <w:color w:val="auto"/>
                      <w:spacing w:val="7"/>
                      <w:sz w:val="21"/>
                      <w:szCs w:val="21"/>
                      <w:lang w:val="en-US" w:eastAsia="zh-CN"/>
                    </w:rPr>
                    <w:t>/</w:t>
                  </w:r>
                </w:p>
              </w:tc>
            </w:tr>
            <w:tr w14:paraId="283EEC1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391" w:type="pct"/>
                  <w:vMerge w:val="continue"/>
                  <w:tcBorders>
                    <w:tl2br w:val="nil"/>
                    <w:tr2bl w:val="nil"/>
                  </w:tcBorders>
                  <w:vAlign w:val="center"/>
                </w:tcPr>
                <w:p w14:paraId="1F6DCFA4">
                  <w:pPr>
                    <w:adjustRightInd w:val="0"/>
                    <w:snapToGrid w:val="0"/>
                    <w:spacing w:line="320" w:lineRule="exact"/>
                    <w:rPr>
                      <w:color w:val="auto"/>
                      <w:szCs w:val="21"/>
                    </w:rPr>
                  </w:pPr>
                </w:p>
              </w:tc>
              <w:tc>
                <w:tcPr>
                  <w:tcW w:w="654" w:type="pct"/>
                  <w:vMerge w:val="continue"/>
                  <w:tcBorders>
                    <w:tl2br w:val="nil"/>
                    <w:tr2bl w:val="nil"/>
                  </w:tcBorders>
                  <w:vAlign w:val="center"/>
                </w:tcPr>
                <w:p w14:paraId="5FA75682">
                  <w:pPr>
                    <w:adjustRightInd w:val="0"/>
                    <w:snapToGrid w:val="0"/>
                    <w:spacing w:line="320" w:lineRule="exact"/>
                    <w:jc w:val="center"/>
                    <w:rPr>
                      <w:color w:val="auto"/>
                      <w:szCs w:val="21"/>
                    </w:rPr>
                  </w:pPr>
                </w:p>
              </w:tc>
              <w:tc>
                <w:tcPr>
                  <w:tcW w:w="3654" w:type="pct"/>
                  <w:tcBorders>
                    <w:tl2br w:val="nil"/>
                    <w:tr2bl w:val="nil"/>
                  </w:tcBorders>
                  <w:vAlign w:val="center"/>
                </w:tcPr>
                <w:p w14:paraId="50503525">
                  <w:pPr>
                    <w:pStyle w:val="100"/>
                    <w:spacing w:before="66" w:line="228" w:lineRule="auto"/>
                    <w:ind w:left="8"/>
                    <w:rPr>
                      <w:rFonts w:ascii="Times New Roman" w:hAnsi="Times New Roman" w:cs="Times New Roman"/>
                      <w:color w:val="auto"/>
                      <w:spacing w:val="7"/>
                      <w:sz w:val="21"/>
                      <w:szCs w:val="21"/>
                    </w:rPr>
                  </w:pPr>
                  <w:r>
                    <w:rPr>
                      <w:rFonts w:hint="eastAsia"/>
                      <w:color w:val="auto"/>
                      <w:sz w:val="21"/>
                      <w:szCs w:val="21"/>
                    </w:rPr>
                    <w:t>设备维护会使用机油，废机油</w:t>
                  </w:r>
                  <w:r>
                    <w:rPr>
                      <w:rFonts w:hint="eastAsia"/>
                      <w:color w:val="auto"/>
                      <w:sz w:val="21"/>
                      <w:szCs w:val="21"/>
                      <w:lang w:val="en-US" w:eastAsia="zh-CN"/>
                    </w:rPr>
                    <w:t>暂存于新建危废间</w:t>
                  </w:r>
                  <w:r>
                    <w:rPr>
                      <w:rFonts w:hint="eastAsia"/>
                      <w:color w:val="auto"/>
                      <w:sz w:val="21"/>
                      <w:szCs w:val="21"/>
                    </w:rPr>
                    <w:t>，</w:t>
                  </w:r>
                  <w:r>
                    <w:rPr>
                      <w:rFonts w:hint="eastAsia"/>
                      <w:color w:val="auto"/>
                      <w:sz w:val="21"/>
                      <w:szCs w:val="21"/>
                      <w:lang w:val="en-US" w:eastAsia="zh-CN"/>
                    </w:rPr>
                    <w:t>建筑面积20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eastAsia"/>
                      <w:color w:val="auto"/>
                      <w:sz w:val="21"/>
                      <w:szCs w:val="21"/>
                      <w:lang w:val="en-US" w:eastAsia="zh-CN"/>
                    </w:rPr>
                    <w:t>，</w:t>
                  </w:r>
                  <w:r>
                    <w:rPr>
                      <w:rFonts w:hint="eastAsia"/>
                      <w:color w:val="auto"/>
                      <w:sz w:val="21"/>
                      <w:szCs w:val="21"/>
                    </w:rPr>
                    <w:t>委托有资质单位处置。</w:t>
                  </w:r>
                </w:p>
              </w:tc>
              <w:tc>
                <w:tcPr>
                  <w:tcW w:w="300" w:type="pct"/>
                  <w:tcBorders>
                    <w:tl2br w:val="nil"/>
                    <w:tr2bl w:val="nil"/>
                  </w:tcBorders>
                  <w:vAlign w:val="center"/>
                </w:tcPr>
                <w:p w14:paraId="6F4B9DC1">
                  <w:pPr>
                    <w:pStyle w:val="100"/>
                    <w:spacing w:before="66" w:line="228" w:lineRule="auto"/>
                    <w:ind w:left="8"/>
                    <w:jc w:val="center"/>
                    <w:rPr>
                      <w:rFonts w:hint="eastAsia" w:eastAsia="宋体"/>
                      <w:color w:val="auto"/>
                      <w:sz w:val="21"/>
                      <w:szCs w:val="21"/>
                      <w:lang w:val="en-US" w:eastAsia="zh-CN"/>
                    </w:rPr>
                  </w:pPr>
                  <w:r>
                    <w:rPr>
                      <w:rFonts w:hint="eastAsia"/>
                      <w:color w:val="auto"/>
                      <w:sz w:val="21"/>
                      <w:szCs w:val="21"/>
                      <w:lang w:val="en-US" w:eastAsia="zh-CN"/>
                    </w:rPr>
                    <w:t>新建</w:t>
                  </w:r>
                </w:p>
              </w:tc>
            </w:tr>
          </w:tbl>
          <w:p w14:paraId="0FEE1EDF">
            <w:pPr>
              <w:adjustRightInd w:val="0"/>
              <w:snapToGrid w:val="0"/>
              <w:spacing w:line="520" w:lineRule="exact"/>
              <w:ind w:firstLine="482" w:firstLineChars="200"/>
              <w:rPr>
                <w:rFonts w:eastAsiaTheme="minorEastAsia"/>
                <w:b/>
                <w:bCs/>
                <w:color w:val="auto"/>
                <w:sz w:val="24"/>
                <w:lang w:bidi="ar"/>
              </w:rPr>
            </w:pPr>
            <w:r>
              <w:rPr>
                <w:rFonts w:hint="eastAsia" w:eastAsiaTheme="minorEastAsia"/>
                <w:b/>
                <w:bCs/>
                <w:color w:val="auto"/>
                <w:sz w:val="24"/>
                <w:lang w:bidi="ar"/>
              </w:rPr>
              <w:t>3、主要产品及产能</w:t>
            </w:r>
          </w:p>
          <w:p w14:paraId="69E5326B">
            <w:pPr>
              <w:tabs>
                <w:tab w:val="left" w:pos="3225"/>
              </w:tabs>
              <w:spacing w:line="560" w:lineRule="exact"/>
              <w:ind w:firstLine="480" w:firstLineChars="200"/>
              <w:rPr>
                <w:b/>
                <w:color w:val="auto"/>
                <w:lang w:val="zh-CN"/>
              </w:rPr>
            </w:pPr>
            <w:r>
              <w:rPr>
                <w:rFonts w:hint="eastAsia"/>
                <w:color w:val="auto"/>
                <w:sz w:val="24"/>
              </w:rPr>
              <w:t>本项目年产7000000万件管桩端板法兰片，总重量为67805t/a。产品方案见表2-2。</w:t>
            </w:r>
          </w:p>
          <w:p w14:paraId="52982E1F">
            <w:pPr>
              <w:autoSpaceDE w:val="0"/>
              <w:autoSpaceDN w:val="0"/>
              <w:adjustRightInd w:val="0"/>
              <w:jc w:val="center"/>
              <w:rPr>
                <w:b/>
                <w:color w:val="auto"/>
                <w:lang w:val="zh-CN"/>
              </w:rPr>
            </w:pPr>
          </w:p>
          <w:p w14:paraId="26AC17ED">
            <w:pPr>
              <w:autoSpaceDE w:val="0"/>
              <w:autoSpaceDN w:val="0"/>
              <w:adjustRightInd w:val="0"/>
              <w:jc w:val="center"/>
              <w:rPr>
                <w:b/>
                <w:color w:val="auto"/>
                <w:lang w:val="zh-CN"/>
              </w:rPr>
            </w:pPr>
            <w:r>
              <w:rPr>
                <w:b/>
                <w:color w:val="auto"/>
                <w:lang w:val="zh-CN"/>
              </w:rPr>
              <w:t>表2-</w:t>
            </w:r>
            <w:r>
              <w:rPr>
                <w:rFonts w:hint="eastAsia"/>
                <w:b/>
                <w:color w:val="auto"/>
                <w:lang w:val="zh-CN"/>
              </w:rPr>
              <w:t>2</w:t>
            </w:r>
            <w:r>
              <w:rPr>
                <w:b/>
                <w:color w:val="auto"/>
                <w:lang w:val="zh-CN"/>
              </w:rPr>
              <w:t xml:space="preserve">  </w:t>
            </w:r>
            <w:r>
              <w:rPr>
                <w:rFonts w:hint="eastAsia"/>
                <w:b/>
                <w:color w:val="auto"/>
              </w:rPr>
              <w:t>项目产品（管桩端板头）方案</w:t>
            </w:r>
            <w:r>
              <w:rPr>
                <w:b/>
                <w:color w:val="auto"/>
                <w:lang w:val="zh-CN"/>
              </w:rPr>
              <w:t>一览表</w:t>
            </w:r>
          </w:p>
          <w:tbl>
            <w:tblPr>
              <w:tblStyle w:val="25"/>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988"/>
              <w:gridCol w:w="988"/>
              <w:gridCol w:w="789"/>
              <w:gridCol w:w="988"/>
              <w:gridCol w:w="1183"/>
              <w:gridCol w:w="1234"/>
              <w:gridCol w:w="1117"/>
            </w:tblGrid>
            <w:tr w14:paraId="4DB850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tcBorders>
                    <w:tl2br w:val="nil"/>
                    <w:tr2bl w:val="nil"/>
                  </w:tcBorders>
                  <w:vAlign w:val="center"/>
                </w:tcPr>
                <w:p w14:paraId="67C3D361">
                  <w:pPr>
                    <w:adjustRightInd w:val="0"/>
                    <w:snapToGrid w:val="0"/>
                    <w:jc w:val="center"/>
                    <w:rPr>
                      <w:rFonts w:eastAsiaTheme="minorEastAsia"/>
                      <w:b/>
                      <w:color w:val="auto"/>
                      <w:szCs w:val="21"/>
                    </w:rPr>
                  </w:pPr>
                  <w:r>
                    <w:rPr>
                      <w:rFonts w:hint="eastAsia" w:eastAsiaTheme="minorEastAsia"/>
                      <w:b/>
                      <w:color w:val="auto"/>
                      <w:szCs w:val="21"/>
                    </w:rPr>
                    <w:t>规格</w:t>
                  </w:r>
                </w:p>
              </w:tc>
              <w:tc>
                <w:tcPr>
                  <w:tcW w:w="589" w:type="pct"/>
                  <w:tcBorders>
                    <w:tl2br w:val="nil"/>
                    <w:tr2bl w:val="nil"/>
                  </w:tcBorders>
                  <w:vAlign w:val="center"/>
                </w:tcPr>
                <w:p w14:paraId="394C4862">
                  <w:pPr>
                    <w:adjustRightInd w:val="0"/>
                    <w:snapToGrid w:val="0"/>
                    <w:jc w:val="center"/>
                    <w:rPr>
                      <w:rFonts w:eastAsiaTheme="minorEastAsia"/>
                      <w:b/>
                      <w:color w:val="auto"/>
                      <w:szCs w:val="21"/>
                    </w:rPr>
                  </w:pPr>
                  <w:r>
                    <w:rPr>
                      <w:rFonts w:hint="eastAsia" w:eastAsiaTheme="minorEastAsia"/>
                      <w:b/>
                      <w:color w:val="auto"/>
                      <w:szCs w:val="21"/>
                    </w:rPr>
                    <w:t>外径</w:t>
                  </w:r>
                </w:p>
                <w:p w14:paraId="4E5C7061">
                  <w:pPr>
                    <w:adjustRightInd w:val="0"/>
                    <w:snapToGrid w:val="0"/>
                    <w:jc w:val="center"/>
                    <w:rPr>
                      <w:rFonts w:eastAsiaTheme="minorEastAsia"/>
                      <w:b/>
                      <w:color w:val="auto"/>
                      <w:szCs w:val="21"/>
                    </w:rPr>
                  </w:pPr>
                  <w:r>
                    <w:rPr>
                      <w:rFonts w:hint="eastAsia" w:eastAsiaTheme="minorEastAsia"/>
                      <w:b/>
                      <w:color w:val="auto"/>
                      <w:szCs w:val="21"/>
                    </w:rPr>
                    <w:t>（mm）</w:t>
                  </w:r>
                </w:p>
              </w:tc>
              <w:tc>
                <w:tcPr>
                  <w:tcW w:w="589" w:type="pct"/>
                  <w:tcBorders>
                    <w:tl2br w:val="nil"/>
                    <w:tr2bl w:val="nil"/>
                  </w:tcBorders>
                  <w:vAlign w:val="center"/>
                </w:tcPr>
                <w:p w14:paraId="71F974A8">
                  <w:pPr>
                    <w:adjustRightInd w:val="0"/>
                    <w:snapToGrid w:val="0"/>
                    <w:jc w:val="center"/>
                    <w:rPr>
                      <w:rFonts w:eastAsiaTheme="minorEastAsia"/>
                      <w:b/>
                      <w:color w:val="auto"/>
                      <w:szCs w:val="21"/>
                    </w:rPr>
                  </w:pPr>
                  <w:r>
                    <w:rPr>
                      <w:rFonts w:hint="eastAsia" w:eastAsiaTheme="minorEastAsia"/>
                      <w:b/>
                      <w:color w:val="auto"/>
                      <w:szCs w:val="21"/>
                    </w:rPr>
                    <w:t>内径（mm）</w:t>
                  </w:r>
                </w:p>
              </w:tc>
              <w:tc>
                <w:tcPr>
                  <w:tcW w:w="470" w:type="pct"/>
                  <w:tcBorders>
                    <w:tl2br w:val="nil"/>
                    <w:tr2bl w:val="nil"/>
                  </w:tcBorders>
                  <w:vAlign w:val="center"/>
                </w:tcPr>
                <w:p w14:paraId="0E772661">
                  <w:pPr>
                    <w:adjustRightInd w:val="0"/>
                    <w:snapToGrid w:val="0"/>
                    <w:jc w:val="center"/>
                    <w:rPr>
                      <w:rFonts w:eastAsiaTheme="minorEastAsia"/>
                      <w:b/>
                      <w:color w:val="auto"/>
                      <w:szCs w:val="21"/>
                    </w:rPr>
                  </w:pPr>
                  <w:r>
                    <w:rPr>
                      <w:rFonts w:hint="eastAsia" w:eastAsiaTheme="minorEastAsia"/>
                      <w:b/>
                      <w:color w:val="auto"/>
                      <w:szCs w:val="21"/>
                    </w:rPr>
                    <w:t>孔数</w:t>
                  </w:r>
                </w:p>
              </w:tc>
              <w:tc>
                <w:tcPr>
                  <w:tcW w:w="589" w:type="pct"/>
                  <w:tcBorders>
                    <w:tl2br w:val="nil"/>
                    <w:tr2bl w:val="nil"/>
                  </w:tcBorders>
                  <w:vAlign w:val="center"/>
                </w:tcPr>
                <w:p w14:paraId="20C7ECBD">
                  <w:pPr>
                    <w:adjustRightInd w:val="0"/>
                    <w:snapToGrid w:val="0"/>
                    <w:jc w:val="center"/>
                    <w:rPr>
                      <w:rFonts w:eastAsiaTheme="minorEastAsia"/>
                      <w:b/>
                      <w:color w:val="auto"/>
                      <w:szCs w:val="21"/>
                    </w:rPr>
                  </w:pPr>
                  <w:r>
                    <w:rPr>
                      <w:rFonts w:hint="eastAsia" w:eastAsiaTheme="minorEastAsia"/>
                      <w:b/>
                      <w:color w:val="auto"/>
                      <w:szCs w:val="21"/>
                    </w:rPr>
                    <w:t>厚度（mm）</w:t>
                  </w:r>
                </w:p>
              </w:tc>
              <w:tc>
                <w:tcPr>
                  <w:tcW w:w="705" w:type="pct"/>
                  <w:tcBorders>
                    <w:tl2br w:val="nil"/>
                    <w:tr2bl w:val="nil"/>
                  </w:tcBorders>
                  <w:vAlign w:val="center"/>
                </w:tcPr>
                <w:p w14:paraId="3D58F8DA">
                  <w:pPr>
                    <w:adjustRightInd w:val="0"/>
                    <w:snapToGrid w:val="0"/>
                    <w:jc w:val="center"/>
                    <w:rPr>
                      <w:rFonts w:eastAsiaTheme="minorEastAsia"/>
                      <w:b/>
                      <w:color w:val="auto"/>
                      <w:szCs w:val="21"/>
                    </w:rPr>
                  </w:pPr>
                  <w:r>
                    <w:rPr>
                      <w:rFonts w:hint="eastAsia" w:eastAsiaTheme="minorEastAsia"/>
                      <w:b/>
                      <w:color w:val="auto"/>
                      <w:szCs w:val="21"/>
                    </w:rPr>
                    <w:t>平均单片重量（Kg）</w:t>
                  </w:r>
                </w:p>
              </w:tc>
              <w:tc>
                <w:tcPr>
                  <w:tcW w:w="735" w:type="pct"/>
                  <w:tcBorders>
                    <w:tl2br w:val="nil"/>
                    <w:tr2bl w:val="nil"/>
                  </w:tcBorders>
                  <w:vAlign w:val="center"/>
                </w:tcPr>
                <w:p w14:paraId="4F00E5E4">
                  <w:pPr>
                    <w:adjustRightInd w:val="0"/>
                    <w:snapToGrid w:val="0"/>
                    <w:jc w:val="center"/>
                    <w:rPr>
                      <w:rFonts w:eastAsiaTheme="minorEastAsia"/>
                      <w:b/>
                      <w:color w:val="auto"/>
                      <w:szCs w:val="21"/>
                    </w:rPr>
                  </w:pPr>
                  <w:r>
                    <w:rPr>
                      <w:rFonts w:hint="eastAsia" w:eastAsiaTheme="minorEastAsia"/>
                      <w:b/>
                      <w:color w:val="auto"/>
                      <w:szCs w:val="21"/>
                    </w:rPr>
                    <w:t>产品数量</w:t>
                  </w:r>
                </w:p>
                <w:p w14:paraId="16289FA1">
                  <w:pPr>
                    <w:adjustRightInd w:val="0"/>
                    <w:snapToGrid w:val="0"/>
                    <w:jc w:val="center"/>
                    <w:rPr>
                      <w:rFonts w:eastAsiaTheme="minorEastAsia"/>
                      <w:b/>
                      <w:color w:val="auto"/>
                      <w:szCs w:val="21"/>
                    </w:rPr>
                  </w:pPr>
                  <w:r>
                    <w:rPr>
                      <w:rFonts w:hint="eastAsia" w:eastAsiaTheme="minorEastAsia"/>
                      <w:b/>
                      <w:color w:val="auto"/>
                      <w:szCs w:val="21"/>
                    </w:rPr>
                    <w:t>（万件/a）</w:t>
                  </w:r>
                </w:p>
              </w:tc>
              <w:tc>
                <w:tcPr>
                  <w:tcW w:w="665" w:type="pct"/>
                  <w:tcBorders>
                    <w:tl2br w:val="nil"/>
                    <w:tr2bl w:val="nil"/>
                  </w:tcBorders>
                  <w:vAlign w:val="center"/>
                </w:tcPr>
                <w:p w14:paraId="50991AEF">
                  <w:pPr>
                    <w:adjustRightInd w:val="0"/>
                    <w:snapToGrid w:val="0"/>
                    <w:jc w:val="center"/>
                    <w:rPr>
                      <w:rFonts w:eastAsiaTheme="minorEastAsia"/>
                      <w:b/>
                      <w:color w:val="auto"/>
                      <w:szCs w:val="21"/>
                    </w:rPr>
                  </w:pPr>
                  <w:r>
                    <w:rPr>
                      <w:rFonts w:hint="eastAsia" w:eastAsiaTheme="minorEastAsia"/>
                      <w:b/>
                      <w:color w:val="auto"/>
                      <w:szCs w:val="21"/>
                    </w:rPr>
                    <w:t>总重量（t/a）</w:t>
                  </w:r>
                </w:p>
              </w:tc>
            </w:tr>
            <w:tr w14:paraId="5DFD48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tcBorders>
                    <w:tl2br w:val="nil"/>
                    <w:tr2bl w:val="nil"/>
                  </w:tcBorders>
                  <w:vAlign w:val="center"/>
                </w:tcPr>
                <w:p w14:paraId="64E80B2B">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300</w:t>
                  </w:r>
                  <w:r>
                    <w:rPr>
                      <w:rFonts w:ascii="Arial" w:hAnsi="Arial" w:cs="Arial"/>
                      <w:color w:val="auto"/>
                      <w:sz w:val="19"/>
                      <w:szCs w:val="19"/>
                      <w:shd w:val="clear" w:color="auto" w:fill="FFFFFF"/>
                    </w:rPr>
                    <w:t>×</w:t>
                  </w:r>
                  <w:r>
                    <w:rPr>
                      <w:rFonts w:hint="eastAsia" w:ascii="Segoe UI" w:hAnsi="Segoe UI" w:cs="Segoe UI"/>
                      <w:color w:val="auto"/>
                      <w:sz w:val="19"/>
                      <w:szCs w:val="19"/>
                      <w:shd w:val="clear" w:color="auto" w:fill="FFFFFF"/>
                    </w:rPr>
                    <w:t>70</w:t>
                  </w:r>
                </w:p>
              </w:tc>
              <w:tc>
                <w:tcPr>
                  <w:tcW w:w="589" w:type="pct"/>
                  <w:tcBorders>
                    <w:tl2br w:val="nil"/>
                    <w:tr2bl w:val="nil"/>
                  </w:tcBorders>
                  <w:vAlign w:val="center"/>
                </w:tcPr>
                <w:p w14:paraId="0BCA633C">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299</w:t>
                  </w:r>
                </w:p>
              </w:tc>
              <w:tc>
                <w:tcPr>
                  <w:tcW w:w="589" w:type="pct"/>
                  <w:tcBorders>
                    <w:tl2br w:val="nil"/>
                    <w:tr2bl w:val="nil"/>
                  </w:tcBorders>
                  <w:vAlign w:val="center"/>
                </w:tcPr>
                <w:p w14:paraId="7E0D6387">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160</w:t>
                  </w:r>
                </w:p>
              </w:tc>
              <w:tc>
                <w:tcPr>
                  <w:tcW w:w="470" w:type="pct"/>
                  <w:tcBorders>
                    <w:tl2br w:val="nil"/>
                    <w:tr2bl w:val="nil"/>
                  </w:tcBorders>
                  <w:vAlign w:val="center"/>
                </w:tcPr>
                <w:p w14:paraId="758CB6BF">
                  <w:pPr>
                    <w:adjustRightInd w:val="0"/>
                    <w:snapToGrid w:val="0"/>
                    <w:jc w:val="center"/>
                    <w:rPr>
                      <w:rFonts w:eastAsiaTheme="minorEastAsia"/>
                      <w:bCs/>
                      <w:color w:val="auto"/>
                      <w:szCs w:val="21"/>
                    </w:rPr>
                  </w:pPr>
                  <w:r>
                    <w:rPr>
                      <w:rFonts w:hint="eastAsia" w:eastAsiaTheme="minorEastAsia"/>
                      <w:bCs/>
                      <w:color w:val="auto"/>
                      <w:szCs w:val="21"/>
                    </w:rPr>
                    <w:t>6-8</w:t>
                  </w:r>
                </w:p>
              </w:tc>
              <w:tc>
                <w:tcPr>
                  <w:tcW w:w="589" w:type="pct"/>
                  <w:tcBorders>
                    <w:tl2br w:val="nil"/>
                    <w:tr2bl w:val="nil"/>
                  </w:tcBorders>
                  <w:vAlign w:val="center"/>
                </w:tcPr>
                <w:p w14:paraId="0F5F5837">
                  <w:pPr>
                    <w:adjustRightInd w:val="0"/>
                    <w:snapToGrid w:val="0"/>
                    <w:jc w:val="center"/>
                    <w:rPr>
                      <w:rFonts w:eastAsiaTheme="minorEastAsia"/>
                      <w:bCs/>
                      <w:color w:val="auto"/>
                      <w:szCs w:val="21"/>
                    </w:rPr>
                  </w:pPr>
                  <w:r>
                    <w:rPr>
                      <w:rFonts w:hint="eastAsia" w:eastAsiaTheme="minorEastAsia"/>
                      <w:bCs/>
                      <w:color w:val="auto"/>
                      <w:szCs w:val="21"/>
                    </w:rPr>
                    <w:t>18-20</w:t>
                  </w:r>
                </w:p>
              </w:tc>
              <w:tc>
                <w:tcPr>
                  <w:tcW w:w="705" w:type="pct"/>
                  <w:tcBorders>
                    <w:tl2br w:val="nil"/>
                    <w:tr2bl w:val="nil"/>
                  </w:tcBorders>
                  <w:vAlign w:val="center"/>
                </w:tcPr>
                <w:p w14:paraId="056E4402">
                  <w:pPr>
                    <w:adjustRightInd w:val="0"/>
                    <w:snapToGrid w:val="0"/>
                    <w:jc w:val="center"/>
                    <w:rPr>
                      <w:rFonts w:eastAsiaTheme="minorEastAsia"/>
                      <w:bCs/>
                      <w:color w:val="auto"/>
                      <w:szCs w:val="21"/>
                    </w:rPr>
                  </w:pPr>
                  <w:r>
                    <w:rPr>
                      <w:rFonts w:hint="eastAsia" w:eastAsiaTheme="minorEastAsia"/>
                      <w:bCs/>
                      <w:color w:val="auto"/>
                      <w:szCs w:val="21"/>
                    </w:rPr>
                    <w:t>6.1</w:t>
                  </w:r>
                </w:p>
              </w:tc>
              <w:tc>
                <w:tcPr>
                  <w:tcW w:w="735" w:type="pct"/>
                  <w:tcBorders>
                    <w:tl2br w:val="nil"/>
                    <w:tr2bl w:val="nil"/>
                  </w:tcBorders>
                  <w:vAlign w:val="center"/>
                </w:tcPr>
                <w:p w14:paraId="285760E1">
                  <w:pPr>
                    <w:adjustRightInd w:val="0"/>
                    <w:snapToGrid w:val="0"/>
                    <w:jc w:val="center"/>
                    <w:rPr>
                      <w:rFonts w:eastAsiaTheme="minorEastAsia"/>
                      <w:bCs/>
                      <w:color w:val="auto"/>
                      <w:szCs w:val="21"/>
                    </w:rPr>
                  </w:pPr>
                  <w:r>
                    <w:rPr>
                      <w:rFonts w:hint="eastAsia" w:eastAsiaTheme="minorEastAsia"/>
                      <w:bCs/>
                      <w:color w:val="auto"/>
                      <w:szCs w:val="21"/>
                    </w:rPr>
                    <w:t>330</w:t>
                  </w:r>
                </w:p>
              </w:tc>
              <w:tc>
                <w:tcPr>
                  <w:tcW w:w="665" w:type="pct"/>
                  <w:tcBorders>
                    <w:tl2br w:val="nil"/>
                    <w:tr2bl w:val="nil"/>
                  </w:tcBorders>
                  <w:vAlign w:val="center"/>
                </w:tcPr>
                <w:p w14:paraId="6634EC48">
                  <w:pPr>
                    <w:adjustRightInd w:val="0"/>
                    <w:snapToGrid w:val="0"/>
                    <w:jc w:val="center"/>
                    <w:rPr>
                      <w:rFonts w:eastAsiaTheme="minorEastAsia"/>
                      <w:bCs/>
                      <w:color w:val="auto"/>
                      <w:szCs w:val="21"/>
                    </w:rPr>
                  </w:pPr>
                  <w:r>
                    <w:rPr>
                      <w:rFonts w:hint="eastAsia" w:eastAsiaTheme="minorEastAsia"/>
                      <w:bCs/>
                      <w:color w:val="auto"/>
                      <w:szCs w:val="21"/>
                    </w:rPr>
                    <w:t>20130</w:t>
                  </w:r>
                </w:p>
              </w:tc>
            </w:tr>
            <w:tr w14:paraId="70A6E7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tcBorders>
                    <w:tl2br w:val="nil"/>
                    <w:tr2bl w:val="nil"/>
                  </w:tcBorders>
                  <w:vAlign w:val="center"/>
                </w:tcPr>
                <w:p w14:paraId="63A4FC92">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400</w:t>
                  </w:r>
                  <w:r>
                    <w:rPr>
                      <w:rFonts w:ascii="Arial" w:hAnsi="Arial" w:cs="Arial"/>
                      <w:color w:val="auto"/>
                      <w:sz w:val="19"/>
                      <w:szCs w:val="19"/>
                      <w:shd w:val="clear" w:color="auto" w:fill="FFFFFF"/>
                    </w:rPr>
                    <w:t>×</w:t>
                  </w:r>
                  <w:r>
                    <w:rPr>
                      <w:rFonts w:hint="eastAsia" w:ascii="Arial" w:hAnsi="Arial" w:cs="Arial"/>
                      <w:color w:val="auto"/>
                      <w:sz w:val="19"/>
                      <w:szCs w:val="19"/>
                      <w:shd w:val="clear" w:color="auto" w:fill="FFFFFF"/>
                    </w:rPr>
                    <w:t>95</w:t>
                  </w:r>
                </w:p>
              </w:tc>
              <w:tc>
                <w:tcPr>
                  <w:tcW w:w="589" w:type="pct"/>
                  <w:tcBorders>
                    <w:tl2br w:val="nil"/>
                    <w:tr2bl w:val="nil"/>
                  </w:tcBorders>
                  <w:vAlign w:val="center"/>
                </w:tcPr>
                <w:p w14:paraId="1E33D1B3">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399</w:t>
                  </w:r>
                </w:p>
              </w:tc>
              <w:tc>
                <w:tcPr>
                  <w:tcW w:w="589" w:type="pct"/>
                  <w:tcBorders>
                    <w:tl2br w:val="nil"/>
                    <w:tr2bl w:val="nil"/>
                  </w:tcBorders>
                  <w:vAlign w:val="center"/>
                </w:tcPr>
                <w:p w14:paraId="00240B6D">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210</w:t>
                  </w:r>
                </w:p>
              </w:tc>
              <w:tc>
                <w:tcPr>
                  <w:tcW w:w="470" w:type="pct"/>
                  <w:tcBorders>
                    <w:tl2br w:val="nil"/>
                    <w:tr2bl w:val="nil"/>
                  </w:tcBorders>
                  <w:vAlign w:val="center"/>
                </w:tcPr>
                <w:p w14:paraId="28BE4469">
                  <w:pPr>
                    <w:adjustRightInd w:val="0"/>
                    <w:snapToGrid w:val="0"/>
                    <w:jc w:val="center"/>
                    <w:rPr>
                      <w:rFonts w:eastAsiaTheme="minorEastAsia"/>
                      <w:bCs/>
                      <w:color w:val="auto"/>
                      <w:szCs w:val="21"/>
                    </w:rPr>
                  </w:pPr>
                  <w:r>
                    <w:rPr>
                      <w:rFonts w:hint="eastAsia"/>
                      <w:color w:val="auto"/>
                      <w:szCs w:val="21"/>
                    </w:rPr>
                    <w:t>7-13</w:t>
                  </w:r>
                </w:p>
              </w:tc>
              <w:tc>
                <w:tcPr>
                  <w:tcW w:w="589" w:type="pct"/>
                  <w:tcBorders>
                    <w:tl2br w:val="nil"/>
                    <w:tr2bl w:val="nil"/>
                  </w:tcBorders>
                  <w:vAlign w:val="center"/>
                </w:tcPr>
                <w:p w14:paraId="65F28AC8">
                  <w:pPr>
                    <w:adjustRightInd w:val="0"/>
                    <w:snapToGrid w:val="0"/>
                    <w:jc w:val="center"/>
                    <w:rPr>
                      <w:rFonts w:eastAsiaTheme="minorEastAsia"/>
                      <w:bCs/>
                      <w:color w:val="auto"/>
                      <w:szCs w:val="21"/>
                    </w:rPr>
                  </w:pPr>
                  <w:r>
                    <w:rPr>
                      <w:rFonts w:hint="eastAsia" w:eastAsiaTheme="minorEastAsia"/>
                      <w:bCs/>
                      <w:color w:val="auto"/>
                      <w:szCs w:val="21"/>
                    </w:rPr>
                    <w:t>20</w:t>
                  </w:r>
                </w:p>
              </w:tc>
              <w:tc>
                <w:tcPr>
                  <w:tcW w:w="705" w:type="pct"/>
                  <w:tcBorders>
                    <w:tl2br w:val="nil"/>
                    <w:tr2bl w:val="nil"/>
                  </w:tcBorders>
                  <w:vAlign w:val="center"/>
                </w:tcPr>
                <w:p w14:paraId="377D0BBB">
                  <w:pPr>
                    <w:adjustRightInd w:val="0"/>
                    <w:snapToGrid w:val="0"/>
                    <w:jc w:val="center"/>
                    <w:rPr>
                      <w:rFonts w:eastAsiaTheme="minorEastAsia"/>
                      <w:bCs/>
                      <w:color w:val="auto"/>
                      <w:szCs w:val="21"/>
                    </w:rPr>
                  </w:pPr>
                  <w:r>
                    <w:rPr>
                      <w:rFonts w:hint="eastAsia" w:eastAsiaTheme="minorEastAsia"/>
                      <w:bCs/>
                      <w:color w:val="auto"/>
                      <w:szCs w:val="21"/>
                    </w:rPr>
                    <w:t>11.5</w:t>
                  </w:r>
                </w:p>
              </w:tc>
              <w:tc>
                <w:tcPr>
                  <w:tcW w:w="735" w:type="pct"/>
                  <w:tcBorders>
                    <w:tl2br w:val="nil"/>
                    <w:tr2bl w:val="nil"/>
                  </w:tcBorders>
                  <w:vAlign w:val="center"/>
                </w:tcPr>
                <w:p w14:paraId="7997D57E">
                  <w:pPr>
                    <w:adjustRightInd w:val="0"/>
                    <w:snapToGrid w:val="0"/>
                    <w:jc w:val="center"/>
                    <w:rPr>
                      <w:rFonts w:eastAsiaTheme="minorEastAsia"/>
                      <w:bCs/>
                      <w:color w:val="auto"/>
                      <w:szCs w:val="21"/>
                    </w:rPr>
                  </w:pPr>
                  <w:r>
                    <w:rPr>
                      <w:rFonts w:hint="eastAsia" w:eastAsiaTheme="minorEastAsia"/>
                      <w:bCs/>
                      <w:color w:val="auto"/>
                      <w:szCs w:val="21"/>
                    </w:rPr>
                    <w:t>310</w:t>
                  </w:r>
                </w:p>
              </w:tc>
              <w:tc>
                <w:tcPr>
                  <w:tcW w:w="665" w:type="pct"/>
                  <w:tcBorders>
                    <w:tl2br w:val="nil"/>
                    <w:tr2bl w:val="nil"/>
                  </w:tcBorders>
                  <w:vAlign w:val="center"/>
                </w:tcPr>
                <w:p w14:paraId="4C798439">
                  <w:pPr>
                    <w:adjustRightInd w:val="0"/>
                    <w:snapToGrid w:val="0"/>
                    <w:jc w:val="center"/>
                    <w:rPr>
                      <w:rFonts w:eastAsiaTheme="minorEastAsia"/>
                      <w:bCs/>
                      <w:color w:val="auto"/>
                      <w:szCs w:val="21"/>
                    </w:rPr>
                  </w:pPr>
                  <w:r>
                    <w:rPr>
                      <w:rFonts w:hint="eastAsia" w:eastAsiaTheme="minorEastAsia"/>
                      <w:bCs/>
                      <w:color w:val="auto"/>
                      <w:szCs w:val="21"/>
                    </w:rPr>
                    <w:t>35650</w:t>
                  </w:r>
                </w:p>
              </w:tc>
            </w:tr>
            <w:tr w14:paraId="3B8BC5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tcBorders>
                    <w:tl2br w:val="nil"/>
                    <w:tr2bl w:val="nil"/>
                  </w:tcBorders>
                  <w:vAlign w:val="center"/>
                </w:tcPr>
                <w:p w14:paraId="07B6331D">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500</w:t>
                  </w:r>
                  <w:r>
                    <w:rPr>
                      <w:rFonts w:ascii="Arial" w:hAnsi="Arial" w:cs="Arial"/>
                      <w:color w:val="auto"/>
                      <w:sz w:val="19"/>
                      <w:szCs w:val="19"/>
                      <w:shd w:val="clear" w:color="auto" w:fill="FFFFFF"/>
                    </w:rPr>
                    <w:t>×</w:t>
                  </w:r>
                  <w:r>
                    <w:rPr>
                      <w:rFonts w:hint="eastAsia" w:ascii="Arial" w:hAnsi="Arial" w:cs="Arial"/>
                      <w:color w:val="auto"/>
                      <w:sz w:val="19"/>
                      <w:szCs w:val="19"/>
                      <w:shd w:val="clear" w:color="auto" w:fill="FFFFFF"/>
                    </w:rPr>
                    <w:t>100</w:t>
                  </w:r>
                </w:p>
              </w:tc>
              <w:tc>
                <w:tcPr>
                  <w:tcW w:w="589" w:type="pct"/>
                  <w:tcBorders>
                    <w:tl2br w:val="nil"/>
                    <w:tr2bl w:val="nil"/>
                  </w:tcBorders>
                  <w:vAlign w:val="center"/>
                </w:tcPr>
                <w:p w14:paraId="632834F3">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499</w:t>
                  </w:r>
                </w:p>
              </w:tc>
              <w:tc>
                <w:tcPr>
                  <w:tcW w:w="589" w:type="pct"/>
                  <w:tcBorders>
                    <w:tl2br w:val="nil"/>
                    <w:tr2bl w:val="nil"/>
                  </w:tcBorders>
                  <w:vAlign w:val="center"/>
                </w:tcPr>
                <w:p w14:paraId="546D7088">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300</w:t>
                  </w:r>
                </w:p>
              </w:tc>
              <w:tc>
                <w:tcPr>
                  <w:tcW w:w="470" w:type="pct"/>
                  <w:tcBorders>
                    <w:tl2br w:val="nil"/>
                    <w:tr2bl w:val="nil"/>
                  </w:tcBorders>
                  <w:vAlign w:val="center"/>
                </w:tcPr>
                <w:p w14:paraId="6072E702">
                  <w:pPr>
                    <w:adjustRightInd w:val="0"/>
                    <w:snapToGrid w:val="0"/>
                    <w:jc w:val="center"/>
                    <w:rPr>
                      <w:rFonts w:eastAsiaTheme="minorEastAsia"/>
                      <w:bCs/>
                      <w:color w:val="auto"/>
                      <w:szCs w:val="21"/>
                    </w:rPr>
                  </w:pPr>
                  <w:r>
                    <w:rPr>
                      <w:rFonts w:hint="eastAsia" w:eastAsiaTheme="minorEastAsia"/>
                      <w:bCs/>
                      <w:color w:val="auto"/>
                      <w:szCs w:val="21"/>
                    </w:rPr>
                    <w:t>11</w:t>
                  </w:r>
                </w:p>
              </w:tc>
              <w:tc>
                <w:tcPr>
                  <w:tcW w:w="589" w:type="pct"/>
                  <w:tcBorders>
                    <w:tl2br w:val="nil"/>
                    <w:tr2bl w:val="nil"/>
                  </w:tcBorders>
                  <w:vAlign w:val="center"/>
                </w:tcPr>
                <w:p w14:paraId="5A42269A">
                  <w:pPr>
                    <w:adjustRightInd w:val="0"/>
                    <w:snapToGrid w:val="0"/>
                    <w:jc w:val="center"/>
                    <w:rPr>
                      <w:rFonts w:eastAsiaTheme="minorEastAsia"/>
                      <w:bCs/>
                      <w:color w:val="auto"/>
                      <w:szCs w:val="21"/>
                    </w:rPr>
                  </w:pPr>
                  <w:r>
                    <w:rPr>
                      <w:rFonts w:hint="eastAsia" w:eastAsiaTheme="minorEastAsia"/>
                      <w:bCs/>
                      <w:color w:val="auto"/>
                      <w:szCs w:val="21"/>
                    </w:rPr>
                    <w:t>20-24</w:t>
                  </w:r>
                </w:p>
              </w:tc>
              <w:tc>
                <w:tcPr>
                  <w:tcW w:w="705" w:type="pct"/>
                  <w:tcBorders>
                    <w:tl2br w:val="nil"/>
                    <w:tr2bl w:val="nil"/>
                  </w:tcBorders>
                  <w:vAlign w:val="center"/>
                </w:tcPr>
                <w:p w14:paraId="478EBF78">
                  <w:pPr>
                    <w:adjustRightInd w:val="0"/>
                    <w:snapToGrid w:val="0"/>
                    <w:jc w:val="center"/>
                    <w:rPr>
                      <w:rFonts w:eastAsiaTheme="minorEastAsia"/>
                      <w:bCs/>
                      <w:color w:val="auto"/>
                      <w:szCs w:val="21"/>
                    </w:rPr>
                  </w:pPr>
                  <w:r>
                    <w:rPr>
                      <w:rFonts w:hint="eastAsia" w:eastAsiaTheme="minorEastAsia"/>
                      <w:bCs/>
                      <w:color w:val="auto"/>
                      <w:szCs w:val="21"/>
                    </w:rPr>
                    <w:t>17.6</w:t>
                  </w:r>
                </w:p>
              </w:tc>
              <w:tc>
                <w:tcPr>
                  <w:tcW w:w="735" w:type="pct"/>
                  <w:tcBorders>
                    <w:tl2br w:val="nil"/>
                    <w:tr2bl w:val="nil"/>
                  </w:tcBorders>
                  <w:vAlign w:val="center"/>
                </w:tcPr>
                <w:p w14:paraId="5ADC1E2A">
                  <w:pPr>
                    <w:adjustRightInd w:val="0"/>
                    <w:snapToGrid w:val="0"/>
                    <w:jc w:val="center"/>
                    <w:rPr>
                      <w:rFonts w:eastAsiaTheme="minorEastAsia"/>
                      <w:bCs/>
                      <w:color w:val="auto"/>
                      <w:szCs w:val="21"/>
                    </w:rPr>
                  </w:pPr>
                  <w:r>
                    <w:rPr>
                      <w:rFonts w:hint="eastAsia" w:eastAsiaTheme="minorEastAsia"/>
                      <w:bCs/>
                      <w:color w:val="auto"/>
                      <w:szCs w:val="21"/>
                    </w:rPr>
                    <w:t>30</w:t>
                  </w:r>
                </w:p>
              </w:tc>
              <w:tc>
                <w:tcPr>
                  <w:tcW w:w="665" w:type="pct"/>
                  <w:tcBorders>
                    <w:tl2br w:val="nil"/>
                    <w:tr2bl w:val="nil"/>
                  </w:tcBorders>
                  <w:vAlign w:val="center"/>
                </w:tcPr>
                <w:p w14:paraId="0D78324E">
                  <w:pPr>
                    <w:adjustRightInd w:val="0"/>
                    <w:snapToGrid w:val="0"/>
                    <w:jc w:val="center"/>
                    <w:rPr>
                      <w:rFonts w:eastAsiaTheme="minorEastAsia"/>
                      <w:bCs/>
                      <w:color w:val="auto"/>
                      <w:szCs w:val="21"/>
                    </w:rPr>
                  </w:pPr>
                  <w:r>
                    <w:rPr>
                      <w:rFonts w:hint="eastAsia" w:eastAsiaTheme="minorEastAsia"/>
                      <w:bCs/>
                      <w:color w:val="auto"/>
                      <w:szCs w:val="21"/>
                    </w:rPr>
                    <w:t>5280</w:t>
                  </w:r>
                </w:p>
              </w:tc>
            </w:tr>
            <w:tr w14:paraId="685A33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tcBorders>
                    <w:tl2br w:val="nil"/>
                    <w:tr2bl w:val="nil"/>
                  </w:tcBorders>
                  <w:vAlign w:val="center"/>
                </w:tcPr>
                <w:p w14:paraId="0952E8D2">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500</w:t>
                  </w:r>
                  <w:r>
                    <w:rPr>
                      <w:rFonts w:ascii="Arial" w:hAnsi="Arial" w:cs="Arial"/>
                      <w:color w:val="auto"/>
                      <w:sz w:val="19"/>
                      <w:szCs w:val="19"/>
                      <w:shd w:val="clear" w:color="auto" w:fill="FFFFFF"/>
                    </w:rPr>
                    <w:t>×</w:t>
                  </w:r>
                  <w:r>
                    <w:rPr>
                      <w:rFonts w:hint="eastAsia" w:ascii="Arial" w:hAnsi="Arial" w:cs="Arial"/>
                      <w:color w:val="auto"/>
                      <w:sz w:val="19"/>
                      <w:szCs w:val="19"/>
                      <w:shd w:val="clear" w:color="auto" w:fill="FFFFFF"/>
                    </w:rPr>
                    <w:t>125</w:t>
                  </w:r>
                </w:p>
              </w:tc>
              <w:tc>
                <w:tcPr>
                  <w:tcW w:w="589" w:type="pct"/>
                  <w:tcBorders>
                    <w:tl2br w:val="nil"/>
                    <w:tr2bl w:val="nil"/>
                  </w:tcBorders>
                  <w:vAlign w:val="center"/>
                </w:tcPr>
                <w:p w14:paraId="553AB77F">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499</w:t>
                  </w:r>
                </w:p>
              </w:tc>
              <w:tc>
                <w:tcPr>
                  <w:tcW w:w="589" w:type="pct"/>
                  <w:tcBorders>
                    <w:tl2br w:val="nil"/>
                    <w:tr2bl w:val="nil"/>
                  </w:tcBorders>
                  <w:vAlign w:val="center"/>
                </w:tcPr>
                <w:p w14:paraId="5C315739">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250</w:t>
                  </w:r>
                </w:p>
              </w:tc>
              <w:tc>
                <w:tcPr>
                  <w:tcW w:w="470" w:type="pct"/>
                  <w:tcBorders>
                    <w:tl2br w:val="nil"/>
                    <w:tr2bl w:val="nil"/>
                  </w:tcBorders>
                  <w:vAlign w:val="center"/>
                </w:tcPr>
                <w:p w14:paraId="20009429">
                  <w:pPr>
                    <w:adjustRightInd w:val="0"/>
                    <w:snapToGrid w:val="0"/>
                    <w:jc w:val="center"/>
                    <w:rPr>
                      <w:rFonts w:eastAsiaTheme="minorEastAsia"/>
                      <w:bCs/>
                      <w:color w:val="auto"/>
                      <w:szCs w:val="21"/>
                    </w:rPr>
                  </w:pPr>
                  <w:r>
                    <w:rPr>
                      <w:rFonts w:hint="eastAsia" w:eastAsiaTheme="minorEastAsia"/>
                      <w:bCs/>
                      <w:color w:val="auto"/>
                      <w:szCs w:val="21"/>
                    </w:rPr>
                    <w:t>12</w:t>
                  </w:r>
                </w:p>
              </w:tc>
              <w:tc>
                <w:tcPr>
                  <w:tcW w:w="589" w:type="pct"/>
                  <w:tcBorders>
                    <w:tl2br w:val="nil"/>
                    <w:tr2bl w:val="nil"/>
                  </w:tcBorders>
                  <w:vAlign w:val="center"/>
                </w:tcPr>
                <w:p w14:paraId="346FA950">
                  <w:pPr>
                    <w:adjustRightInd w:val="0"/>
                    <w:snapToGrid w:val="0"/>
                    <w:jc w:val="center"/>
                    <w:rPr>
                      <w:rFonts w:eastAsiaTheme="minorEastAsia"/>
                      <w:bCs/>
                      <w:color w:val="auto"/>
                      <w:szCs w:val="21"/>
                    </w:rPr>
                  </w:pPr>
                  <w:r>
                    <w:rPr>
                      <w:rFonts w:hint="eastAsia" w:eastAsiaTheme="minorEastAsia"/>
                      <w:bCs/>
                      <w:color w:val="auto"/>
                      <w:szCs w:val="21"/>
                    </w:rPr>
                    <w:t>20-24</w:t>
                  </w:r>
                </w:p>
              </w:tc>
              <w:tc>
                <w:tcPr>
                  <w:tcW w:w="705" w:type="pct"/>
                  <w:tcBorders>
                    <w:tl2br w:val="nil"/>
                    <w:tr2bl w:val="nil"/>
                  </w:tcBorders>
                  <w:vAlign w:val="center"/>
                </w:tcPr>
                <w:p w14:paraId="6880B8FD">
                  <w:pPr>
                    <w:adjustRightInd w:val="0"/>
                    <w:snapToGrid w:val="0"/>
                    <w:jc w:val="center"/>
                    <w:rPr>
                      <w:rFonts w:eastAsiaTheme="minorEastAsia"/>
                      <w:bCs/>
                      <w:color w:val="auto"/>
                      <w:szCs w:val="21"/>
                    </w:rPr>
                  </w:pPr>
                  <w:r>
                    <w:rPr>
                      <w:rFonts w:hint="eastAsia" w:eastAsiaTheme="minorEastAsia"/>
                      <w:bCs/>
                      <w:color w:val="auto"/>
                      <w:szCs w:val="21"/>
                    </w:rPr>
                    <w:t>20.9</w:t>
                  </w:r>
                </w:p>
              </w:tc>
              <w:tc>
                <w:tcPr>
                  <w:tcW w:w="735" w:type="pct"/>
                  <w:tcBorders>
                    <w:tl2br w:val="nil"/>
                    <w:tr2bl w:val="nil"/>
                  </w:tcBorders>
                  <w:vAlign w:val="center"/>
                </w:tcPr>
                <w:p w14:paraId="22E9DECA">
                  <w:pPr>
                    <w:adjustRightInd w:val="0"/>
                    <w:snapToGrid w:val="0"/>
                    <w:jc w:val="center"/>
                    <w:rPr>
                      <w:rFonts w:eastAsiaTheme="minorEastAsia"/>
                      <w:bCs/>
                      <w:color w:val="auto"/>
                      <w:szCs w:val="21"/>
                    </w:rPr>
                  </w:pPr>
                  <w:r>
                    <w:rPr>
                      <w:rFonts w:hint="eastAsia" w:eastAsiaTheme="minorEastAsia"/>
                      <w:bCs/>
                      <w:color w:val="auto"/>
                      <w:szCs w:val="21"/>
                    </w:rPr>
                    <w:t>20</w:t>
                  </w:r>
                </w:p>
              </w:tc>
              <w:tc>
                <w:tcPr>
                  <w:tcW w:w="665" w:type="pct"/>
                  <w:tcBorders>
                    <w:tl2br w:val="nil"/>
                    <w:tr2bl w:val="nil"/>
                  </w:tcBorders>
                  <w:vAlign w:val="center"/>
                </w:tcPr>
                <w:p w14:paraId="6428952E">
                  <w:pPr>
                    <w:adjustRightInd w:val="0"/>
                    <w:snapToGrid w:val="0"/>
                    <w:jc w:val="center"/>
                    <w:rPr>
                      <w:rFonts w:eastAsiaTheme="minorEastAsia"/>
                      <w:bCs/>
                      <w:color w:val="auto"/>
                      <w:szCs w:val="21"/>
                    </w:rPr>
                  </w:pPr>
                  <w:r>
                    <w:rPr>
                      <w:rFonts w:hint="eastAsia" w:eastAsiaTheme="minorEastAsia"/>
                      <w:bCs/>
                      <w:color w:val="auto"/>
                      <w:szCs w:val="21"/>
                    </w:rPr>
                    <w:t>4180</w:t>
                  </w:r>
                </w:p>
              </w:tc>
            </w:tr>
            <w:tr w14:paraId="74ECBA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tcBorders>
                    <w:tl2br w:val="nil"/>
                    <w:tr2bl w:val="nil"/>
                  </w:tcBorders>
                  <w:vAlign w:val="center"/>
                </w:tcPr>
                <w:p w14:paraId="081E0DE4">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600</w:t>
                  </w:r>
                  <w:r>
                    <w:rPr>
                      <w:rFonts w:ascii="Arial" w:hAnsi="Arial" w:cs="Arial"/>
                      <w:color w:val="auto"/>
                      <w:sz w:val="19"/>
                      <w:szCs w:val="19"/>
                      <w:shd w:val="clear" w:color="auto" w:fill="FFFFFF"/>
                    </w:rPr>
                    <w:t>×</w:t>
                  </w:r>
                  <w:r>
                    <w:rPr>
                      <w:rFonts w:hint="eastAsia" w:ascii="Arial" w:hAnsi="Arial" w:cs="Arial"/>
                      <w:color w:val="auto"/>
                      <w:sz w:val="19"/>
                      <w:szCs w:val="19"/>
                      <w:shd w:val="clear" w:color="auto" w:fill="FFFFFF"/>
                    </w:rPr>
                    <w:t>110</w:t>
                  </w:r>
                </w:p>
              </w:tc>
              <w:tc>
                <w:tcPr>
                  <w:tcW w:w="589" w:type="pct"/>
                  <w:tcBorders>
                    <w:tl2br w:val="nil"/>
                    <w:tr2bl w:val="nil"/>
                  </w:tcBorders>
                  <w:vAlign w:val="center"/>
                </w:tcPr>
                <w:p w14:paraId="405AF9B2">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599</w:t>
                  </w:r>
                </w:p>
              </w:tc>
              <w:tc>
                <w:tcPr>
                  <w:tcW w:w="589" w:type="pct"/>
                  <w:tcBorders>
                    <w:tl2br w:val="nil"/>
                    <w:tr2bl w:val="nil"/>
                  </w:tcBorders>
                  <w:vAlign w:val="center"/>
                </w:tcPr>
                <w:p w14:paraId="25172EF4">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380</w:t>
                  </w:r>
                </w:p>
              </w:tc>
              <w:tc>
                <w:tcPr>
                  <w:tcW w:w="470" w:type="pct"/>
                  <w:tcBorders>
                    <w:tl2br w:val="nil"/>
                    <w:tr2bl w:val="nil"/>
                  </w:tcBorders>
                  <w:vAlign w:val="center"/>
                </w:tcPr>
                <w:p w14:paraId="518752B8">
                  <w:pPr>
                    <w:adjustRightInd w:val="0"/>
                    <w:snapToGrid w:val="0"/>
                    <w:jc w:val="center"/>
                    <w:rPr>
                      <w:rFonts w:eastAsiaTheme="minorEastAsia"/>
                      <w:bCs/>
                      <w:color w:val="auto"/>
                      <w:szCs w:val="21"/>
                    </w:rPr>
                  </w:pPr>
                  <w:r>
                    <w:rPr>
                      <w:rFonts w:hint="eastAsia"/>
                      <w:color w:val="auto"/>
                      <w:szCs w:val="21"/>
                    </w:rPr>
                    <w:t>14</w:t>
                  </w:r>
                </w:p>
              </w:tc>
              <w:tc>
                <w:tcPr>
                  <w:tcW w:w="589" w:type="pct"/>
                  <w:tcBorders>
                    <w:tl2br w:val="nil"/>
                    <w:tr2bl w:val="nil"/>
                  </w:tcBorders>
                  <w:vAlign w:val="center"/>
                </w:tcPr>
                <w:p w14:paraId="5430ADF4">
                  <w:pPr>
                    <w:adjustRightInd w:val="0"/>
                    <w:snapToGrid w:val="0"/>
                    <w:jc w:val="center"/>
                    <w:rPr>
                      <w:rFonts w:eastAsiaTheme="minorEastAsia"/>
                      <w:bCs/>
                      <w:color w:val="auto"/>
                      <w:szCs w:val="21"/>
                    </w:rPr>
                  </w:pPr>
                  <w:r>
                    <w:rPr>
                      <w:rFonts w:hint="eastAsia" w:eastAsiaTheme="minorEastAsia"/>
                      <w:bCs/>
                      <w:color w:val="auto"/>
                      <w:szCs w:val="21"/>
                    </w:rPr>
                    <w:t>20-24</w:t>
                  </w:r>
                </w:p>
              </w:tc>
              <w:tc>
                <w:tcPr>
                  <w:tcW w:w="705" w:type="pct"/>
                  <w:tcBorders>
                    <w:tl2br w:val="nil"/>
                    <w:tr2bl w:val="nil"/>
                  </w:tcBorders>
                  <w:vAlign w:val="center"/>
                </w:tcPr>
                <w:p w14:paraId="15273039">
                  <w:pPr>
                    <w:adjustRightInd w:val="0"/>
                    <w:snapToGrid w:val="0"/>
                    <w:jc w:val="center"/>
                    <w:rPr>
                      <w:rFonts w:eastAsiaTheme="minorEastAsia"/>
                      <w:bCs/>
                      <w:color w:val="auto"/>
                      <w:szCs w:val="21"/>
                    </w:rPr>
                  </w:pPr>
                  <w:r>
                    <w:rPr>
                      <w:rFonts w:hint="eastAsia" w:eastAsiaTheme="minorEastAsia"/>
                      <w:bCs/>
                      <w:color w:val="auto"/>
                      <w:szCs w:val="21"/>
                    </w:rPr>
                    <w:t>24</w:t>
                  </w:r>
                </w:p>
              </w:tc>
              <w:tc>
                <w:tcPr>
                  <w:tcW w:w="735" w:type="pct"/>
                  <w:tcBorders>
                    <w:tl2br w:val="nil"/>
                    <w:tr2bl w:val="nil"/>
                  </w:tcBorders>
                  <w:vAlign w:val="center"/>
                </w:tcPr>
                <w:p w14:paraId="4083A2A3">
                  <w:pPr>
                    <w:adjustRightInd w:val="0"/>
                    <w:snapToGrid w:val="0"/>
                    <w:jc w:val="center"/>
                    <w:rPr>
                      <w:rFonts w:eastAsiaTheme="minorEastAsia"/>
                      <w:bCs/>
                      <w:color w:val="auto"/>
                      <w:szCs w:val="21"/>
                    </w:rPr>
                  </w:pPr>
                  <w:r>
                    <w:rPr>
                      <w:rFonts w:hint="eastAsia" w:eastAsiaTheme="minorEastAsia"/>
                      <w:bCs/>
                      <w:color w:val="auto"/>
                      <w:szCs w:val="21"/>
                    </w:rPr>
                    <w:t>5</w:t>
                  </w:r>
                </w:p>
              </w:tc>
              <w:tc>
                <w:tcPr>
                  <w:tcW w:w="665" w:type="pct"/>
                  <w:tcBorders>
                    <w:tl2br w:val="nil"/>
                    <w:tr2bl w:val="nil"/>
                  </w:tcBorders>
                  <w:vAlign w:val="center"/>
                </w:tcPr>
                <w:p w14:paraId="47E3BF02">
                  <w:pPr>
                    <w:adjustRightInd w:val="0"/>
                    <w:snapToGrid w:val="0"/>
                    <w:jc w:val="center"/>
                    <w:rPr>
                      <w:rFonts w:eastAsiaTheme="minorEastAsia"/>
                      <w:bCs/>
                      <w:color w:val="auto"/>
                      <w:szCs w:val="21"/>
                    </w:rPr>
                  </w:pPr>
                  <w:r>
                    <w:rPr>
                      <w:rFonts w:hint="eastAsia" w:eastAsiaTheme="minorEastAsia"/>
                      <w:bCs/>
                      <w:color w:val="auto"/>
                      <w:szCs w:val="21"/>
                    </w:rPr>
                    <w:t>1200</w:t>
                  </w:r>
                </w:p>
              </w:tc>
            </w:tr>
            <w:tr w14:paraId="55B7D7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pct"/>
                  <w:tcBorders>
                    <w:tl2br w:val="nil"/>
                    <w:tr2bl w:val="nil"/>
                  </w:tcBorders>
                  <w:vAlign w:val="center"/>
                </w:tcPr>
                <w:p w14:paraId="76379466">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600</w:t>
                  </w:r>
                  <w:r>
                    <w:rPr>
                      <w:rFonts w:ascii="Arial" w:hAnsi="Arial" w:cs="Arial"/>
                      <w:color w:val="auto"/>
                      <w:sz w:val="19"/>
                      <w:szCs w:val="19"/>
                      <w:shd w:val="clear" w:color="auto" w:fill="FFFFFF"/>
                    </w:rPr>
                    <w:t>×</w:t>
                  </w:r>
                  <w:r>
                    <w:rPr>
                      <w:rFonts w:hint="eastAsia" w:ascii="Arial" w:hAnsi="Arial" w:cs="Arial"/>
                      <w:color w:val="auto"/>
                      <w:sz w:val="19"/>
                      <w:szCs w:val="19"/>
                      <w:shd w:val="clear" w:color="auto" w:fill="FFFFFF"/>
                    </w:rPr>
                    <w:t>130</w:t>
                  </w:r>
                </w:p>
              </w:tc>
              <w:tc>
                <w:tcPr>
                  <w:tcW w:w="589" w:type="pct"/>
                  <w:tcBorders>
                    <w:tl2br w:val="nil"/>
                    <w:tr2bl w:val="nil"/>
                  </w:tcBorders>
                  <w:vAlign w:val="center"/>
                </w:tcPr>
                <w:p w14:paraId="40CFB8D2">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599</w:t>
                  </w:r>
                </w:p>
              </w:tc>
              <w:tc>
                <w:tcPr>
                  <w:tcW w:w="589" w:type="pct"/>
                  <w:tcBorders>
                    <w:tl2br w:val="nil"/>
                    <w:tr2bl w:val="nil"/>
                  </w:tcBorders>
                  <w:vAlign w:val="center"/>
                </w:tcPr>
                <w:p w14:paraId="50DA3CAC">
                  <w:pPr>
                    <w:adjustRightInd w:val="0"/>
                    <w:snapToGrid w:val="0"/>
                    <w:jc w:val="center"/>
                    <w:rPr>
                      <w:bCs/>
                      <w:color w:val="auto"/>
                      <w:szCs w:val="21"/>
                    </w:rPr>
                  </w:pPr>
                  <w:r>
                    <w:rPr>
                      <w:rFonts w:ascii="Segoe UI" w:hAnsi="Segoe UI" w:eastAsia="Segoe UI" w:cs="Segoe UI"/>
                      <w:color w:val="auto"/>
                      <w:sz w:val="19"/>
                      <w:szCs w:val="19"/>
                      <w:shd w:val="clear" w:color="auto" w:fill="FFFFFF"/>
                    </w:rPr>
                    <w:t>Ø</w:t>
                  </w:r>
                  <w:r>
                    <w:rPr>
                      <w:rFonts w:hint="eastAsia" w:ascii="Segoe UI" w:hAnsi="Segoe UI" w:cs="Segoe UI"/>
                      <w:color w:val="auto"/>
                      <w:sz w:val="19"/>
                      <w:szCs w:val="19"/>
                      <w:shd w:val="clear" w:color="auto" w:fill="FFFFFF"/>
                    </w:rPr>
                    <w:t>340</w:t>
                  </w:r>
                </w:p>
              </w:tc>
              <w:tc>
                <w:tcPr>
                  <w:tcW w:w="470" w:type="pct"/>
                  <w:tcBorders>
                    <w:tl2br w:val="nil"/>
                    <w:tr2bl w:val="nil"/>
                  </w:tcBorders>
                  <w:vAlign w:val="center"/>
                </w:tcPr>
                <w:p w14:paraId="0F07E4BB">
                  <w:pPr>
                    <w:adjustRightInd w:val="0"/>
                    <w:snapToGrid w:val="0"/>
                    <w:jc w:val="center"/>
                    <w:rPr>
                      <w:rFonts w:eastAsiaTheme="minorEastAsia"/>
                      <w:bCs/>
                      <w:color w:val="auto"/>
                      <w:szCs w:val="21"/>
                    </w:rPr>
                  </w:pPr>
                  <w:r>
                    <w:rPr>
                      <w:rFonts w:hint="eastAsia"/>
                      <w:color w:val="auto"/>
                      <w:szCs w:val="21"/>
                    </w:rPr>
                    <w:t>16</w:t>
                  </w:r>
                </w:p>
              </w:tc>
              <w:tc>
                <w:tcPr>
                  <w:tcW w:w="589" w:type="pct"/>
                  <w:tcBorders>
                    <w:tl2br w:val="nil"/>
                    <w:tr2bl w:val="nil"/>
                  </w:tcBorders>
                  <w:vAlign w:val="center"/>
                </w:tcPr>
                <w:p w14:paraId="52A79CC3">
                  <w:pPr>
                    <w:adjustRightInd w:val="0"/>
                    <w:snapToGrid w:val="0"/>
                    <w:jc w:val="center"/>
                    <w:rPr>
                      <w:rFonts w:eastAsiaTheme="minorEastAsia"/>
                      <w:bCs/>
                      <w:color w:val="auto"/>
                      <w:szCs w:val="21"/>
                    </w:rPr>
                  </w:pPr>
                  <w:r>
                    <w:rPr>
                      <w:rFonts w:hint="eastAsia" w:eastAsiaTheme="minorEastAsia"/>
                      <w:bCs/>
                      <w:color w:val="auto"/>
                      <w:szCs w:val="21"/>
                    </w:rPr>
                    <w:t>20-24</w:t>
                  </w:r>
                </w:p>
              </w:tc>
              <w:tc>
                <w:tcPr>
                  <w:tcW w:w="705" w:type="pct"/>
                  <w:tcBorders>
                    <w:tl2br w:val="nil"/>
                    <w:tr2bl w:val="nil"/>
                  </w:tcBorders>
                  <w:vAlign w:val="center"/>
                </w:tcPr>
                <w:p w14:paraId="57709309">
                  <w:pPr>
                    <w:adjustRightInd w:val="0"/>
                    <w:snapToGrid w:val="0"/>
                    <w:jc w:val="center"/>
                    <w:rPr>
                      <w:rFonts w:eastAsiaTheme="minorEastAsia"/>
                      <w:bCs/>
                      <w:color w:val="auto"/>
                      <w:szCs w:val="21"/>
                    </w:rPr>
                  </w:pPr>
                  <w:r>
                    <w:rPr>
                      <w:rFonts w:hint="eastAsia" w:eastAsiaTheme="minorEastAsia"/>
                      <w:bCs/>
                      <w:color w:val="auto"/>
                      <w:szCs w:val="21"/>
                    </w:rPr>
                    <w:t>27.3</w:t>
                  </w:r>
                </w:p>
              </w:tc>
              <w:tc>
                <w:tcPr>
                  <w:tcW w:w="735" w:type="pct"/>
                  <w:tcBorders>
                    <w:tl2br w:val="nil"/>
                    <w:tr2bl w:val="nil"/>
                  </w:tcBorders>
                  <w:vAlign w:val="center"/>
                </w:tcPr>
                <w:p w14:paraId="372F229C">
                  <w:pPr>
                    <w:adjustRightInd w:val="0"/>
                    <w:snapToGrid w:val="0"/>
                    <w:jc w:val="center"/>
                    <w:rPr>
                      <w:rFonts w:eastAsiaTheme="minorEastAsia"/>
                      <w:bCs/>
                      <w:color w:val="auto"/>
                      <w:szCs w:val="21"/>
                    </w:rPr>
                  </w:pPr>
                  <w:r>
                    <w:rPr>
                      <w:rFonts w:hint="eastAsia" w:eastAsiaTheme="minorEastAsia"/>
                      <w:bCs/>
                      <w:color w:val="auto"/>
                      <w:szCs w:val="21"/>
                    </w:rPr>
                    <w:t>5</w:t>
                  </w:r>
                </w:p>
              </w:tc>
              <w:tc>
                <w:tcPr>
                  <w:tcW w:w="665" w:type="pct"/>
                  <w:tcBorders>
                    <w:tl2br w:val="nil"/>
                    <w:tr2bl w:val="nil"/>
                  </w:tcBorders>
                  <w:vAlign w:val="center"/>
                </w:tcPr>
                <w:p w14:paraId="18C2C021">
                  <w:pPr>
                    <w:adjustRightInd w:val="0"/>
                    <w:snapToGrid w:val="0"/>
                    <w:jc w:val="center"/>
                    <w:rPr>
                      <w:rFonts w:eastAsiaTheme="minorEastAsia"/>
                      <w:bCs/>
                      <w:color w:val="auto"/>
                      <w:szCs w:val="21"/>
                    </w:rPr>
                  </w:pPr>
                  <w:r>
                    <w:rPr>
                      <w:rFonts w:hint="eastAsia" w:eastAsiaTheme="minorEastAsia"/>
                      <w:bCs/>
                      <w:color w:val="auto"/>
                      <w:szCs w:val="21"/>
                    </w:rPr>
                    <w:t>1365</w:t>
                  </w:r>
                </w:p>
              </w:tc>
            </w:tr>
          </w:tbl>
          <w:p w14:paraId="46C86181">
            <w:pPr>
              <w:adjustRightInd w:val="0"/>
              <w:snapToGrid w:val="0"/>
              <w:spacing w:line="560" w:lineRule="exact"/>
              <w:ind w:firstLine="482" w:firstLineChars="200"/>
              <w:rPr>
                <w:b/>
                <w:color w:val="auto"/>
                <w:sz w:val="24"/>
              </w:rPr>
            </w:pPr>
            <w:r>
              <w:rPr>
                <w:rFonts w:hint="eastAsia" w:eastAsiaTheme="minorEastAsia"/>
                <w:b/>
                <w:color w:val="auto"/>
                <w:sz w:val="24"/>
              </w:rPr>
              <w:t>4、主要</w:t>
            </w:r>
            <w:r>
              <w:rPr>
                <w:b/>
                <w:color w:val="auto"/>
                <w:sz w:val="24"/>
              </w:rPr>
              <w:t>生产设备</w:t>
            </w:r>
          </w:p>
          <w:p w14:paraId="20A6C586">
            <w:pPr>
              <w:tabs>
                <w:tab w:val="left" w:pos="3225"/>
              </w:tabs>
              <w:spacing w:line="240" w:lineRule="auto"/>
              <w:ind w:firstLine="480" w:firstLineChars="200"/>
              <w:rPr>
                <w:color w:val="auto"/>
                <w:sz w:val="24"/>
              </w:rPr>
            </w:pPr>
            <w:r>
              <w:rPr>
                <w:color w:val="auto"/>
                <w:sz w:val="24"/>
              </w:rPr>
              <w:t>本项目主要</w:t>
            </w:r>
            <w:r>
              <w:rPr>
                <w:rFonts w:hint="eastAsia"/>
                <w:color w:val="auto"/>
                <w:sz w:val="24"/>
              </w:rPr>
              <w:t>生产</w:t>
            </w:r>
            <w:r>
              <w:rPr>
                <w:color w:val="auto"/>
                <w:sz w:val="24"/>
              </w:rPr>
              <w:t>设备见</w:t>
            </w:r>
            <w:r>
              <w:rPr>
                <w:rFonts w:hint="eastAsia"/>
                <w:color w:val="auto"/>
                <w:sz w:val="24"/>
              </w:rPr>
              <w:t>表2-3</w:t>
            </w:r>
            <w:r>
              <w:rPr>
                <w:color w:val="auto"/>
                <w:sz w:val="24"/>
              </w:rPr>
              <w:t>。</w:t>
            </w:r>
          </w:p>
          <w:tbl>
            <w:tblPr>
              <w:tblStyle w:val="25"/>
              <w:tblpPr w:leftFromText="180" w:rightFromText="180" w:vertAnchor="text" w:horzAnchor="page" w:tblpX="100" w:tblpY="265"/>
              <w:tblOverlap w:val="never"/>
              <w:tblW w:w="4997"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39"/>
              <w:gridCol w:w="1074"/>
              <w:gridCol w:w="956"/>
              <w:gridCol w:w="2652"/>
              <w:gridCol w:w="782"/>
              <w:gridCol w:w="1077"/>
            </w:tblGrid>
            <w:tr w14:paraId="5021E3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6FCA9ED4">
                  <w:pPr>
                    <w:adjustRightInd w:val="0"/>
                    <w:snapToGrid w:val="0"/>
                    <w:jc w:val="center"/>
                    <w:rPr>
                      <w:rFonts w:eastAsiaTheme="minorEastAsia"/>
                      <w:b/>
                      <w:color w:val="auto"/>
                      <w:szCs w:val="21"/>
                    </w:rPr>
                  </w:pPr>
                  <w:r>
                    <w:rPr>
                      <w:rFonts w:hint="eastAsia" w:eastAsiaTheme="minorEastAsia"/>
                      <w:b/>
                      <w:color w:val="auto"/>
                      <w:szCs w:val="21"/>
                    </w:rPr>
                    <w:t>序号</w:t>
                  </w:r>
                </w:p>
              </w:tc>
              <w:tc>
                <w:tcPr>
                  <w:tcW w:w="679" w:type="pct"/>
                  <w:tcBorders>
                    <w:tl2br w:val="nil"/>
                    <w:tr2bl w:val="nil"/>
                  </w:tcBorders>
                  <w:vAlign w:val="center"/>
                </w:tcPr>
                <w:p w14:paraId="186D2AE3">
                  <w:pPr>
                    <w:adjustRightInd w:val="0"/>
                    <w:snapToGrid w:val="0"/>
                    <w:jc w:val="center"/>
                    <w:rPr>
                      <w:rFonts w:eastAsiaTheme="minorEastAsia"/>
                      <w:b/>
                      <w:color w:val="auto"/>
                      <w:szCs w:val="21"/>
                    </w:rPr>
                  </w:pPr>
                  <w:r>
                    <w:rPr>
                      <w:rFonts w:hint="eastAsia" w:eastAsiaTheme="minorEastAsia"/>
                      <w:b/>
                      <w:color w:val="auto"/>
                      <w:szCs w:val="21"/>
                    </w:rPr>
                    <w:t>分类工段</w:t>
                  </w:r>
                </w:p>
              </w:tc>
              <w:tc>
                <w:tcPr>
                  <w:tcW w:w="640" w:type="pct"/>
                  <w:tcBorders>
                    <w:tl2br w:val="nil"/>
                    <w:tr2bl w:val="nil"/>
                  </w:tcBorders>
                  <w:vAlign w:val="center"/>
                </w:tcPr>
                <w:p w14:paraId="00FC7933">
                  <w:pPr>
                    <w:adjustRightInd w:val="0"/>
                    <w:snapToGrid w:val="0"/>
                    <w:jc w:val="center"/>
                    <w:rPr>
                      <w:rFonts w:eastAsiaTheme="minorEastAsia"/>
                      <w:b/>
                      <w:color w:val="auto"/>
                      <w:szCs w:val="21"/>
                    </w:rPr>
                  </w:pPr>
                  <w:r>
                    <w:rPr>
                      <w:rFonts w:hint="eastAsia" w:eastAsiaTheme="minorEastAsia"/>
                      <w:b/>
                      <w:color w:val="auto"/>
                      <w:szCs w:val="21"/>
                    </w:rPr>
                    <w:t>单项设备名称</w:t>
                  </w:r>
                </w:p>
              </w:tc>
              <w:tc>
                <w:tcPr>
                  <w:tcW w:w="570" w:type="pct"/>
                  <w:tcBorders>
                    <w:tl2br w:val="nil"/>
                    <w:tr2bl w:val="nil"/>
                  </w:tcBorders>
                  <w:vAlign w:val="center"/>
                </w:tcPr>
                <w:p w14:paraId="387AEA50">
                  <w:pPr>
                    <w:adjustRightInd w:val="0"/>
                    <w:snapToGrid w:val="0"/>
                    <w:jc w:val="center"/>
                    <w:rPr>
                      <w:rFonts w:eastAsiaTheme="minorEastAsia"/>
                      <w:b/>
                      <w:color w:val="auto"/>
                      <w:szCs w:val="21"/>
                    </w:rPr>
                  </w:pPr>
                  <w:r>
                    <w:rPr>
                      <w:rFonts w:hint="eastAsia" w:eastAsiaTheme="minorEastAsia"/>
                      <w:b/>
                      <w:color w:val="auto"/>
                      <w:szCs w:val="21"/>
                    </w:rPr>
                    <w:t>单机功率（Kw）</w:t>
                  </w:r>
                </w:p>
              </w:tc>
              <w:tc>
                <w:tcPr>
                  <w:tcW w:w="1581" w:type="pct"/>
                  <w:tcBorders>
                    <w:tl2br w:val="nil"/>
                    <w:tr2bl w:val="nil"/>
                  </w:tcBorders>
                  <w:vAlign w:val="center"/>
                </w:tcPr>
                <w:p w14:paraId="2A313AD3">
                  <w:pPr>
                    <w:adjustRightInd w:val="0"/>
                    <w:snapToGrid w:val="0"/>
                    <w:jc w:val="center"/>
                    <w:rPr>
                      <w:rFonts w:eastAsiaTheme="minorEastAsia"/>
                      <w:b/>
                      <w:color w:val="auto"/>
                      <w:szCs w:val="21"/>
                    </w:rPr>
                  </w:pPr>
                  <w:r>
                    <w:rPr>
                      <w:rFonts w:hint="eastAsia" w:eastAsiaTheme="minorEastAsia"/>
                      <w:b/>
                      <w:color w:val="auto"/>
                      <w:szCs w:val="21"/>
                    </w:rPr>
                    <w:t>规格型号</w:t>
                  </w:r>
                </w:p>
              </w:tc>
              <w:tc>
                <w:tcPr>
                  <w:tcW w:w="466" w:type="pct"/>
                  <w:tcBorders>
                    <w:tl2br w:val="nil"/>
                    <w:tr2bl w:val="nil"/>
                  </w:tcBorders>
                  <w:vAlign w:val="center"/>
                </w:tcPr>
                <w:p w14:paraId="7184AA19">
                  <w:pPr>
                    <w:adjustRightInd w:val="0"/>
                    <w:snapToGrid w:val="0"/>
                    <w:jc w:val="center"/>
                    <w:rPr>
                      <w:rFonts w:eastAsiaTheme="minorEastAsia"/>
                      <w:b/>
                      <w:color w:val="auto"/>
                      <w:szCs w:val="21"/>
                    </w:rPr>
                  </w:pPr>
                  <w:r>
                    <w:rPr>
                      <w:rFonts w:hint="eastAsia" w:eastAsiaTheme="minorEastAsia"/>
                      <w:b/>
                      <w:color w:val="auto"/>
                      <w:szCs w:val="21"/>
                    </w:rPr>
                    <w:t>数量</w:t>
                  </w:r>
                </w:p>
              </w:tc>
              <w:tc>
                <w:tcPr>
                  <w:tcW w:w="642" w:type="pct"/>
                  <w:tcBorders>
                    <w:tl2br w:val="nil"/>
                    <w:tr2bl w:val="nil"/>
                  </w:tcBorders>
                  <w:vAlign w:val="center"/>
                </w:tcPr>
                <w:p w14:paraId="79FF6E93">
                  <w:pPr>
                    <w:adjustRightInd w:val="0"/>
                    <w:snapToGrid w:val="0"/>
                    <w:jc w:val="center"/>
                    <w:rPr>
                      <w:rFonts w:eastAsiaTheme="minorEastAsia"/>
                      <w:b/>
                      <w:color w:val="auto"/>
                      <w:szCs w:val="21"/>
                    </w:rPr>
                  </w:pPr>
                  <w:r>
                    <w:rPr>
                      <w:rFonts w:hint="eastAsia" w:eastAsiaTheme="minorEastAsia"/>
                      <w:b/>
                      <w:color w:val="auto"/>
                      <w:szCs w:val="21"/>
                    </w:rPr>
                    <w:t>合计功率（Kw）</w:t>
                  </w:r>
                </w:p>
              </w:tc>
            </w:tr>
            <w:tr w14:paraId="2352D6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21560C26">
                  <w:pPr>
                    <w:adjustRightInd w:val="0"/>
                    <w:snapToGrid w:val="0"/>
                    <w:jc w:val="center"/>
                    <w:rPr>
                      <w:bCs/>
                      <w:color w:val="auto"/>
                      <w:szCs w:val="21"/>
                    </w:rPr>
                  </w:pPr>
                  <w:r>
                    <w:rPr>
                      <w:rFonts w:hint="eastAsia"/>
                      <w:bCs/>
                      <w:color w:val="auto"/>
                      <w:szCs w:val="21"/>
                    </w:rPr>
                    <w:t>1</w:t>
                  </w:r>
                </w:p>
              </w:tc>
              <w:tc>
                <w:tcPr>
                  <w:tcW w:w="679" w:type="pct"/>
                  <w:vMerge w:val="restart"/>
                  <w:tcBorders>
                    <w:tl2br w:val="nil"/>
                    <w:tr2bl w:val="nil"/>
                  </w:tcBorders>
                  <w:vAlign w:val="center"/>
                </w:tcPr>
                <w:p w14:paraId="4D4E6F88">
                  <w:pPr>
                    <w:adjustRightInd w:val="0"/>
                    <w:snapToGrid w:val="0"/>
                    <w:jc w:val="center"/>
                    <w:rPr>
                      <w:rFonts w:eastAsiaTheme="minorEastAsia"/>
                      <w:bCs/>
                      <w:color w:val="auto"/>
                      <w:szCs w:val="21"/>
                    </w:rPr>
                  </w:pPr>
                  <w:r>
                    <w:rPr>
                      <w:rFonts w:hint="eastAsia" w:eastAsiaTheme="minorEastAsia"/>
                      <w:bCs/>
                      <w:color w:val="auto"/>
                      <w:szCs w:val="21"/>
                    </w:rPr>
                    <w:t>熔炼、浇筑</w:t>
                  </w:r>
                </w:p>
              </w:tc>
              <w:tc>
                <w:tcPr>
                  <w:tcW w:w="640" w:type="pct"/>
                  <w:tcBorders>
                    <w:tl2br w:val="nil"/>
                    <w:tr2bl w:val="nil"/>
                  </w:tcBorders>
                  <w:vAlign w:val="center"/>
                </w:tcPr>
                <w:p w14:paraId="30860D78">
                  <w:pPr>
                    <w:adjustRightInd w:val="0"/>
                    <w:snapToGrid w:val="0"/>
                    <w:jc w:val="center"/>
                    <w:rPr>
                      <w:rFonts w:eastAsiaTheme="minorEastAsia"/>
                      <w:bCs/>
                      <w:color w:val="auto"/>
                      <w:szCs w:val="21"/>
                    </w:rPr>
                  </w:pPr>
                  <w:r>
                    <w:rPr>
                      <w:rFonts w:hint="eastAsia" w:eastAsiaTheme="minorEastAsia"/>
                      <w:bCs/>
                      <w:color w:val="auto"/>
                      <w:szCs w:val="21"/>
                    </w:rPr>
                    <w:t>中频感应电炉</w:t>
                  </w:r>
                </w:p>
              </w:tc>
              <w:tc>
                <w:tcPr>
                  <w:tcW w:w="570" w:type="pct"/>
                  <w:tcBorders>
                    <w:tl2br w:val="nil"/>
                    <w:tr2bl w:val="nil"/>
                  </w:tcBorders>
                  <w:vAlign w:val="center"/>
                </w:tcPr>
                <w:p w14:paraId="49915324">
                  <w:pPr>
                    <w:adjustRightInd w:val="0"/>
                    <w:snapToGrid w:val="0"/>
                    <w:jc w:val="center"/>
                    <w:rPr>
                      <w:rFonts w:eastAsiaTheme="minorEastAsia"/>
                      <w:bCs/>
                      <w:color w:val="auto"/>
                      <w:szCs w:val="21"/>
                    </w:rPr>
                  </w:pPr>
                  <w:r>
                    <w:rPr>
                      <w:rFonts w:hint="eastAsia" w:eastAsiaTheme="minorEastAsia"/>
                      <w:bCs/>
                      <w:color w:val="auto"/>
                      <w:szCs w:val="21"/>
                    </w:rPr>
                    <w:t>4000</w:t>
                  </w:r>
                </w:p>
              </w:tc>
              <w:tc>
                <w:tcPr>
                  <w:tcW w:w="1581" w:type="pct"/>
                  <w:tcBorders>
                    <w:tl2br w:val="nil"/>
                    <w:tr2bl w:val="nil"/>
                  </w:tcBorders>
                  <w:vAlign w:val="center"/>
                </w:tcPr>
                <w:p w14:paraId="4CE6E5BA">
                  <w:pPr>
                    <w:adjustRightInd w:val="0"/>
                    <w:snapToGrid w:val="0"/>
                    <w:jc w:val="center"/>
                    <w:rPr>
                      <w:rFonts w:eastAsiaTheme="minorEastAsia"/>
                      <w:bCs/>
                      <w:color w:val="auto"/>
                      <w:szCs w:val="21"/>
                    </w:rPr>
                  </w:pPr>
                  <w:r>
                    <w:rPr>
                      <w:rFonts w:hint="eastAsia" w:eastAsiaTheme="minorEastAsia"/>
                      <w:bCs/>
                      <w:color w:val="auto"/>
                      <w:szCs w:val="21"/>
                    </w:rPr>
                    <w:t>3吨--功率3000Kw</w:t>
                  </w:r>
                </w:p>
              </w:tc>
              <w:tc>
                <w:tcPr>
                  <w:tcW w:w="466" w:type="pct"/>
                  <w:tcBorders>
                    <w:tl2br w:val="nil"/>
                    <w:tr2bl w:val="nil"/>
                  </w:tcBorders>
                  <w:vAlign w:val="center"/>
                </w:tcPr>
                <w:p w14:paraId="136CF32C">
                  <w:pPr>
                    <w:adjustRightInd w:val="0"/>
                    <w:snapToGrid w:val="0"/>
                    <w:jc w:val="center"/>
                    <w:rPr>
                      <w:rFonts w:eastAsiaTheme="minorEastAsia"/>
                      <w:bCs/>
                      <w:color w:val="auto"/>
                      <w:szCs w:val="21"/>
                    </w:rPr>
                  </w:pPr>
                  <w:r>
                    <w:rPr>
                      <w:rFonts w:hint="eastAsia" w:eastAsiaTheme="minorEastAsia"/>
                      <w:bCs/>
                      <w:color w:val="auto"/>
                      <w:szCs w:val="21"/>
                    </w:rPr>
                    <w:t>3台--两用一备</w:t>
                  </w:r>
                </w:p>
              </w:tc>
              <w:tc>
                <w:tcPr>
                  <w:tcW w:w="642" w:type="pct"/>
                  <w:tcBorders>
                    <w:tl2br w:val="nil"/>
                    <w:tr2bl w:val="nil"/>
                  </w:tcBorders>
                  <w:vAlign w:val="center"/>
                </w:tcPr>
                <w:p w14:paraId="0875218A">
                  <w:pPr>
                    <w:adjustRightInd w:val="0"/>
                    <w:snapToGrid w:val="0"/>
                    <w:jc w:val="center"/>
                    <w:rPr>
                      <w:rFonts w:eastAsiaTheme="minorEastAsia"/>
                      <w:bCs/>
                      <w:color w:val="auto"/>
                      <w:szCs w:val="21"/>
                    </w:rPr>
                  </w:pPr>
                  <w:r>
                    <w:rPr>
                      <w:rFonts w:hint="eastAsia" w:eastAsiaTheme="minorEastAsia"/>
                      <w:bCs/>
                      <w:color w:val="auto"/>
                      <w:szCs w:val="21"/>
                    </w:rPr>
                    <w:t>12000</w:t>
                  </w:r>
                </w:p>
              </w:tc>
            </w:tr>
            <w:tr w14:paraId="28F15B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21E34958">
                  <w:pPr>
                    <w:adjustRightInd w:val="0"/>
                    <w:snapToGrid w:val="0"/>
                    <w:jc w:val="center"/>
                    <w:rPr>
                      <w:bCs/>
                      <w:color w:val="auto"/>
                      <w:szCs w:val="21"/>
                    </w:rPr>
                  </w:pPr>
                  <w:r>
                    <w:rPr>
                      <w:rFonts w:hint="eastAsia"/>
                      <w:bCs/>
                      <w:color w:val="auto"/>
                      <w:szCs w:val="21"/>
                    </w:rPr>
                    <w:t>2</w:t>
                  </w:r>
                </w:p>
              </w:tc>
              <w:tc>
                <w:tcPr>
                  <w:tcW w:w="679" w:type="pct"/>
                  <w:vMerge w:val="continue"/>
                  <w:tcBorders>
                    <w:tl2br w:val="nil"/>
                    <w:tr2bl w:val="nil"/>
                  </w:tcBorders>
                  <w:vAlign w:val="center"/>
                </w:tcPr>
                <w:p w14:paraId="7A916754">
                  <w:pPr>
                    <w:adjustRightInd w:val="0"/>
                    <w:snapToGrid w:val="0"/>
                    <w:rPr>
                      <w:rFonts w:eastAsiaTheme="minorEastAsia"/>
                      <w:bCs/>
                      <w:color w:val="auto"/>
                      <w:szCs w:val="21"/>
                    </w:rPr>
                  </w:pPr>
                </w:p>
              </w:tc>
              <w:tc>
                <w:tcPr>
                  <w:tcW w:w="640" w:type="pct"/>
                  <w:tcBorders>
                    <w:tl2br w:val="nil"/>
                    <w:tr2bl w:val="nil"/>
                  </w:tcBorders>
                  <w:vAlign w:val="center"/>
                </w:tcPr>
                <w:p w14:paraId="5BE7CBC0">
                  <w:pPr>
                    <w:adjustRightInd w:val="0"/>
                    <w:snapToGrid w:val="0"/>
                    <w:jc w:val="center"/>
                    <w:rPr>
                      <w:rFonts w:eastAsiaTheme="minorEastAsia"/>
                      <w:bCs/>
                      <w:color w:val="auto"/>
                      <w:szCs w:val="21"/>
                    </w:rPr>
                  </w:pPr>
                  <w:r>
                    <w:rPr>
                      <w:rFonts w:hint="eastAsia" w:eastAsiaTheme="minorEastAsia"/>
                      <w:bCs/>
                      <w:color w:val="auto"/>
                      <w:szCs w:val="21"/>
                    </w:rPr>
                    <w:t>中频炉冷却水泵系统</w:t>
                  </w:r>
                </w:p>
              </w:tc>
              <w:tc>
                <w:tcPr>
                  <w:tcW w:w="570" w:type="pct"/>
                  <w:tcBorders>
                    <w:tl2br w:val="nil"/>
                    <w:tr2bl w:val="nil"/>
                  </w:tcBorders>
                  <w:vAlign w:val="center"/>
                </w:tcPr>
                <w:p w14:paraId="408FF500">
                  <w:pPr>
                    <w:adjustRightInd w:val="0"/>
                    <w:snapToGrid w:val="0"/>
                    <w:jc w:val="center"/>
                    <w:rPr>
                      <w:rFonts w:eastAsiaTheme="minorEastAsia"/>
                      <w:bCs/>
                      <w:color w:val="auto"/>
                      <w:szCs w:val="21"/>
                    </w:rPr>
                  </w:pPr>
                  <w:r>
                    <w:rPr>
                      <w:rFonts w:hint="eastAsia" w:eastAsiaTheme="minorEastAsia"/>
                      <w:bCs/>
                      <w:color w:val="auto"/>
                      <w:szCs w:val="21"/>
                    </w:rPr>
                    <w:t>95</w:t>
                  </w:r>
                </w:p>
              </w:tc>
              <w:tc>
                <w:tcPr>
                  <w:tcW w:w="1581" w:type="pct"/>
                  <w:tcBorders>
                    <w:tl2br w:val="nil"/>
                    <w:tr2bl w:val="nil"/>
                  </w:tcBorders>
                  <w:vAlign w:val="center"/>
                </w:tcPr>
                <w:p w14:paraId="012FAA10">
                  <w:pPr>
                    <w:adjustRightInd w:val="0"/>
                    <w:snapToGrid w:val="0"/>
                    <w:jc w:val="center"/>
                    <w:rPr>
                      <w:rFonts w:eastAsiaTheme="minorEastAsia"/>
                      <w:bCs/>
                      <w:color w:val="auto"/>
                      <w:szCs w:val="21"/>
                    </w:rPr>
                  </w:pPr>
                  <w:r>
                    <w:rPr>
                      <w:rFonts w:hint="eastAsia" w:eastAsiaTheme="minorEastAsia"/>
                      <w:bCs/>
                      <w:color w:val="auto"/>
                      <w:szCs w:val="21"/>
                    </w:rPr>
                    <w:t>/</w:t>
                  </w:r>
                </w:p>
              </w:tc>
              <w:tc>
                <w:tcPr>
                  <w:tcW w:w="466" w:type="pct"/>
                  <w:tcBorders>
                    <w:tl2br w:val="nil"/>
                    <w:tr2bl w:val="nil"/>
                  </w:tcBorders>
                  <w:vAlign w:val="center"/>
                </w:tcPr>
                <w:p w14:paraId="6B1C292A">
                  <w:pPr>
                    <w:adjustRightInd w:val="0"/>
                    <w:snapToGrid w:val="0"/>
                    <w:jc w:val="center"/>
                    <w:rPr>
                      <w:rFonts w:eastAsiaTheme="minorEastAsia"/>
                      <w:bCs/>
                      <w:color w:val="auto"/>
                      <w:szCs w:val="21"/>
                    </w:rPr>
                  </w:pPr>
                  <w:r>
                    <w:rPr>
                      <w:rFonts w:hint="eastAsia" w:eastAsiaTheme="minorEastAsia"/>
                      <w:bCs/>
                      <w:color w:val="auto"/>
                      <w:szCs w:val="21"/>
                    </w:rPr>
                    <w:t>/</w:t>
                  </w:r>
                </w:p>
              </w:tc>
              <w:tc>
                <w:tcPr>
                  <w:tcW w:w="642" w:type="pct"/>
                  <w:tcBorders>
                    <w:tl2br w:val="nil"/>
                    <w:tr2bl w:val="nil"/>
                  </w:tcBorders>
                  <w:vAlign w:val="center"/>
                </w:tcPr>
                <w:p w14:paraId="0252E485">
                  <w:pPr>
                    <w:adjustRightInd w:val="0"/>
                    <w:snapToGrid w:val="0"/>
                    <w:jc w:val="center"/>
                    <w:rPr>
                      <w:rFonts w:eastAsiaTheme="minorEastAsia"/>
                      <w:bCs/>
                      <w:color w:val="auto"/>
                      <w:szCs w:val="21"/>
                    </w:rPr>
                  </w:pPr>
                  <w:r>
                    <w:rPr>
                      <w:rFonts w:hint="eastAsia" w:eastAsiaTheme="minorEastAsia"/>
                      <w:bCs/>
                      <w:color w:val="auto"/>
                      <w:szCs w:val="21"/>
                    </w:rPr>
                    <w:t>95</w:t>
                  </w:r>
                </w:p>
              </w:tc>
            </w:tr>
            <w:tr w14:paraId="37905E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38CFBF5E">
                  <w:pPr>
                    <w:adjustRightInd w:val="0"/>
                    <w:snapToGrid w:val="0"/>
                    <w:jc w:val="center"/>
                    <w:rPr>
                      <w:bCs/>
                      <w:color w:val="auto"/>
                      <w:szCs w:val="21"/>
                    </w:rPr>
                  </w:pPr>
                  <w:r>
                    <w:rPr>
                      <w:rFonts w:hint="eastAsia"/>
                      <w:bCs/>
                      <w:color w:val="auto"/>
                      <w:szCs w:val="21"/>
                    </w:rPr>
                    <w:t>3</w:t>
                  </w:r>
                </w:p>
              </w:tc>
              <w:tc>
                <w:tcPr>
                  <w:tcW w:w="679" w:type="pct"/>
                  <w:vMerge w:val="continue"/>
                  <w:tcBorders>
                    <w:tl2br w:val="nil"/>
                    <w:tr2bl w:val="nil"/>
                  </w:tcBorders>
                  <w:vAlign w:val="center"/>
                </w:tcPr>
                <w:p w14:paraId="1008CC16">
                  <w:pPr>
                    <w:adjustRightInd w:val="0"/>
                    <w:snapToGrid w:val="0"/>
                    <w:rPr>
                      <w:rFonts w:eastAsiaTheme="minorEastAsia"/>
                      <w:bCs/>
                      <w:color w:val="auto"/>
                      <w:szCs w:val="21"/>
                    </w:rPr>
                  </w:pPr>
                </w:p>
              </w:tc>
              <w:tc>
                <w:tcPr>
                  <w:tcW w:w="640" w:type="pct"/>
                  <w:tcBorders>
                    <w:tl2br w:val="nil"/>
                    <w:tr2bl w:val="nil"/>
                  </w:tcBorders>
                  <w:vAlign w:val="center"/>
                </w:tcPr>
                <w:p w14:paraId="216E6E05">
                  <w:pPr>
                    <w:adjustRightInd w:val="0"/>
                    <w:snapToGrid w:val="0"/>
                    <w:jc w:val="center"/>
                    <w:rPr>
                      <w:rFonts w:eastAsiaTheme="minorEastAsia"/>
                      <w:bCs/>
                      <w:color w:val="auto"/>
                      <w:szCs w:val="21"/>
                    </w:rPr>
                  </w:pPr>
                  <w:r>
                    <w:rPr>
                      <w:rFonts w:hint="eastAsia" w:eastAsiaTheme="minorEastAsia"/>
                      <w:bCs/>
                      <w:color w:val="auto"/>
                      <w:szCs w:val="21"/>
                    </w:rPr>
                    <w:t>除尘器</w:t>
                  </w:r>
                </w:p>
              </w:tc>
              <w:tc>
                <w:tcPr>
                  <w:tcW w:w="570" w:type="pct"/>
                  <w:tcBorders>
                    <w:tl2br w:val="nil"/>
                    <w:tr2bl w:val="nil"/>
                  </w:tcBorders>
                  <w:vAlign w:val="center"/>
                </w:tcPr>
                <w:p w14:paraId="7E08F30C">
                  <w:pPr>
                    <w:adjustRightInd w:val="0"/>
                    <w:snapToGrid w:val="0"/>
                    <w:jc w:val="center"/>
                    <w:rPr>
                      <w:rFonts w:eastAsiaTheme="minorEastAsia"/>
                      <w:bCs/>
                      <w:color w:val="auto"/>
                      <w:szCs w:val="21"/>
                    </w:rPr>
                  </w:pPr>
                  <w:r>
                    <w:rPr>
                      <w:rFonts w:hint="eastAsia" w:eastAsiaTheme="minorEastAsia"/>
                      <w:bCs/>
                      <w:color w:val="auto"/>
                      <w:szCs w:val="21"/>
                    </w:rPr>
                    <w:t>380</w:t>
                  </w:r>
                </w:p>
              </w:tc>
              <w:tc>
                <w:tcPr>
                  <w:tcW w:w="1581" w:type="pct"/>
                  <w:tcBorders>
                    <w:tl2br w:val="nil"/>
                    <w:tr2bl w:val="nil"/>
                  </w:tcBorders>
                  <w:vAlign w:val="center"/>
                </w:tcPr>
                <w:p w14:paraId="73F47F72">
                  <w:pPr>
                    <w:adjustRightInd w:val="0"/>
                    <w:snapToGrid w:val="0"/>
                    <w:jc w:val="center"/>
                    <w:rPr>
                      <w:rFonts w:eastAsiaTheme="minorEastAsia"/>
                      <w:bCs/>
                      <w:color w:val="auto"/>
                      <w:szCs w:val="21"/>
                    </w:rPr>
                  </w:pPr>
                  <w:r>
                    <w:rPr>
                      <w:rFonts w:hint="eastAsia" w:eastAsiaTheme="minorEastAsia"/>
                      <w:bCs/>
                      <w:color w:val="auto"/>
                      <w:szCs w:val="21"/>
                    </w:rPr>
                    <w:t>风量220000m³/h</w:t>
                  </w:r>
                </w:p>
              </w:tc>
              <w:tc>
                <w:tcPr>
                  <w:tcW w:w="466" w:type="pct"/>
                  <w:tcBorders>
                    <w:tl2br w:val="nil"/>
                    <w:tr2bl w:val="nil"/>
                  </w:tcBorders>
                  <w:vAlign w:val="center"/>
                </w:tcPr>
                <w:p w14:paraId="3DE6B542">
                  <w:pPr>
                    <w:adjustRightInd w:val="0"/>
                    <w:snapToGrid w:val="0"/>
                    <w:jc w:val="center"/>
                    <w:rPr>
                      <w:rFonts w:eastAsiaTheme="minorEastAsia"/>
                      <w:bCs/>
                      <w:color w:val="auto"/>
                      <w:szCs w:val="21"/>
                    </w:rPr>
                  </w:pPr>
                  <w:r>
                    <w:rPr>
                      <w:rFonts w:hint="eastAsia" w:eastAsiaTheme="minorEastAsia"/>
                      <w:bCs/>
                      <w:color w:val="auto"/>
                      <w:szCs w:val="21"/>
                    </w:rPr>
                    <w:t>/</w:t>
                  </w:r>
                </w:p>
              </w:tc>
              <w:tc>
                <w:tcPr>
                  <w:tcW w:w="642" w:type="pct"/>
                  <w:tcBorders>
                    <w:tl2br w:val="nil"/>
                    <w:tr2bl w:val="nil"/>
                  </w:tcBorders>
                  <w:vAlign w:val="center"/>
                </w:tcPr>
                <w:p w14:paraId="0A512C41">
                  <w:pPr>
                    <w:adjustRightInd w:val="0"/>
                    <w:snapToGrid w:val="0"/>
                    <w:jc w:val="center"/>
                    <w:rPr>
                      <w:rFonts w:eastAsiaTheme="minorEastAsia"/>
                      <w:bCs/>
                      <w:color w:val="auto"/>
                      <w:szCs w:val="21"/>
                    </w:rPr>
                  </w:pPr>
                  <w:r>
                    <w:rPr>
                      <w:rFonts w:hint="eastAsia" w:eastAsiaTheme="minorEastAsia"/>
                      <w:bCs/>
                      <w:color w:val="auto"/>
                      <w:szCs w:val="21"/>
                    </w:rPr>
                    <w:t>380</w:t>
                  </w:r>
                </w:p>
              </w:tc>
            </w:tr>
            <w:tr w14:paraId="572D76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1E0FE15F">
                  <w:pPr>
                    <w:adjustRightInd w:val="0"/>
                    <w:snapToGrid w:val="0"/>
                    <w:jc w:val="center"/>
                    <w:rPr>
                      <w:bCs/>
                      <w:color w:val="auto"/>
                      <w:szCs w:val="21"/>
                    </w:rPr>
                  </w:pPr>
                  <w:r>
                    <w:rPr>
                      <w:rFonts w:hint="eastAsia"/>
                      <w:bCs/>
                      <w:color w:val="auto"/>
                      <w:szCs w:val="21"/>
                    </w:rPr>
                    <w:t>4</w:t>
                  </w:r>
                </w:p>
              </w:tc>
              <w:tc>
                <w:tcPr>
                  <w:tcW w:w="679" w:type="pct"/>
                  <w:vMerge w:val="continue"/>
                  <w:tcBorders>
                    <w:tl2br w:val="nil"/>
                    <w:tr2bl w:val="nil"/>
                  </w:tcBorders>
                  <w:vAlign w:val="center"/>
                </w:tcPr>
                <w:p w14:paraId="0421436A">
                  <w:pPr>
                    <w:adjustRightInd w:val="0"/>
                    <w:snapToGrid w:val="0"/>
                    <w:rPr>
                      <w:rFonts w:eastAsiaTheme="minorEastAsia"/>
                      <w:bCs/>
                      <w:color w:val="auto"/>
                      <w:szCs w:val="21"/>
                    </w:rPr>
                  </w:pPr>
                </w:p>
              </w:tc>
              <w:tc>
                <w:tcPr>
                  <w:tcW w:w="640" w:type="pct"/>
                  <w:tcBorders>
                    <w:tl2br w:val="nil"/>
                    <w:tr2bl w:val="nil"/>
                  </w:tcBorders>
                  <w:vAlign w:val="center"/>
                </w:tcPr>
                <w:p w14:paraId="6F811FBE">
                  <w:pPr>
                    <w:adjustRightInd w:val="0"/>
                    <w:snapToGrid w:val="0"/>
                    <w:jc w:val="center"/>
                    <w:rPr>
                      <w:rFonts w:eastAsiaTheme="minorEastAsia"/>
                      <w:bCs/>
                      <w:color w:val="auto"/>
                      <w:szCs w:val="21"/>
                    </w:rPr>
                  </w:pPr>
                  <w:r>
                    <w:rPr>
                      <w:rFonts w:hint="eastAsia" w:eastAsiaTheme="minorEastAsia"/>
                      <w:bCs/>
                      <w:color w:val="auto"/>
                      <w:szCs w:val="21"/>
                    </w:rPr>
                    <w:t>加料小车</w:t>
                  </w:r>
                </w:p>
              </w:tc>
              <w:tc>
                <w:tcPr>
                  <w:tcW w:w="570" w:type="pct"/>
                  <w:tcBorders>
                    <w:tl2br w:val="nil"/>
                    <w:tr2bl w:val="nil"/>
                  </w:tcBorders>
                  <w:vAlign w:val="center"/>
                </w:tcPr>
                <w:p w14:paraId="626C63C6">
                  <w:pPr>
                    <w:adjustRightInd w:val="0"/>
                    <w:snapToGrid w:val="0"/>
                    <w:jc w:val="center"/>
                    <w:rPr>
                      <w:rFonts w:eastAsiaTheme="minorEastAsia"/>
                      <w:bCs/>
                      <w:color w:val="auto"/>
                      <w:szCs w:val="21"/>
                    </w:rPr>
                  </w:pPr>
                  <w:r>
                    <w:rPr>
                      <w:rFonts w:hint="eastAsia" w:eastAsiaTheme="minorEastAsia"/>
                      <w:bCs/>
                      <w:color w:val="auto"/>
                      <w:szCs w:val="21"/>
                    </w:rPr>
                    <w:t>18</w:t>
                  </w:r>
                </w:p>
              </w:tc>
              <w:tc>
                <w:tcPr>
                  <w:tcW w:w="1581" w:type="pct"/>
                  <w:tcBorders>
                    <w:tl2br w:val="nil"/>
                    <w:tr2bl w:val="nil"/>
                  </w:tcBorders>
                  <w:vAlign w:val="center"/>
                </w:tcPr>
                <w:p w14:paraId="495FC72E">
                  <w:pPr>
                    <w:adjustRightInd w:val="0"/>
                    <w:snapToGrid w:val="0"/>
                    <w:jc w:val="center"/>
                    <w:rPr>
                      <w:rFonts w:eastAsiaTheme="minorEastAsia"/>
                      <w:bCs/>
                      <w:color w:val="auto"/>
                      <w:szCs w:val="21"/>
                    </w:rPr>
                  </w:pPr>
                  <w:r>
                    <w:rPr>
                      <w:rFonts w:hint="eastAsia" w:eastAsiaTheme="minorEastAsia"/>
                      <w:bCs/>
                      <w:color w:val="auto"/>
                      <w:szCs w:val="21"/>
                    </w:rPr>
                    <w:t>/</w:t>
                  </w:r>
                </w:p>
              </w:tc>
              <w:tc>
                <w:tcPr>
                  <w:tcW w:w="466" w:type="pct"/>
                  <w:tcBorders>
                    <w:tl2br w:val="nil"/>
                    <w:tr2bl w:val="nil"/>
                  </w:tcBorders>
                  <w:vAlign w:val="center"/>
                </w:tcPr>
                <w:p w14:paraId="23AC9BF9">
                  <w:pPr>
                    <w:adjustRightInd w:val="0"/>
                    <w:snapToGrid w:val="0"/>
                    <w:jc w:val="center"/>
                    <w:rPr>
                      <w:rFonts w:eastAsiaTheme="minorEastAsia"/>
                      <w:bCs/>
                      <w:color w:val="auto"/>
                      <w:szCs w:val="21"/>
                    </w:rPr>
                  </w:pPr>
                  <w:r>
                    <w:rPr>
                      <w:rFonts w:hint="eastAsia" w:eastAsiaTheme="minorEastAsia"/>
                      <w:bCs/>
                      <w:color w:val="auto"/>
                      <w:szCs w:val="21"/>
                    </w:rPr>
                    <w:t>3台</w:t>
                  </w:r>
                </w:p>
              </w:tc>
              <w:tc>
                <w:tcPr>
                  <w:tcW w:w="642" w:type="pct"/>
                  <w:tcBorders>
                    <w:tl2br w:val="nil"/>
                    <w:tr2bl w:val="nil"/>
                  </w:tcBorders>
                  <w:vAlign w:val="center"/>
                </w:tcPr>
                <w:p w14:paraId="57DD037C">
                  <w:pPr>
                    <w:adjustRightInd w:val="0"/>
                    <w:snapToGrid w:val="0"/>
                    <w:jc w:val="center"/>
                    <w:rPr>
                      <w:rFonts w:eastAsiaTheme="minorEastAsia"/>
                      <w:bCs/>
                      <w:color w:val="auto"/>
                      <w:szCs w:val="21"/>
                    </w:rPr>
                  </w:pPr>
                  <w:r>
                    <w:rPr>
                      <w:rFonts w:hint="eastAsia" w:eastAsiaTheme="minorEastAsia"/>
                      <w:bCs/>
                      <w:color w:val="auto"/>
                      <w:szCs w:val="21"/>
                    </w:rPr>
                    <w:t>54</w:t>
                  </w:r>
                </w:p>
              </w:tc>
            </w:tr>
            <w:tr w14:paraId="1EB0BB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5C8C2955">
                  <w:pPr>
                    <w:adjustRightInd w:val="0"/>
                    <w:snapToGrid w:val="0"/>
                    <w:jc w:val="center"/>
                    <w:rPr>
                      <w:bCs/>
                      <w:color w:val="auto"/>
                      <w:szCs w:val="21"/>
                    </w:rPr>
                  </w:pPr>
                  <w:r>
                    <w:rPr>
                      <w:rFonts w:hint="eastAsia"/>
                      <w:bCs/>
                      <w:color w:val="auto"/>
                      <w:szCs w:val="21"/>
                    </w:rPr>
                    <w:t>5</w:t>
                  </w:r>
                </w:p>
              </w:tc>
              <w:tc>
                <w:tcPr>
                  <w:tcW w:w="679" w:type="pct"/>
                  <w:vMerge w:val="continue"/>
                  <w:tcBorders>
                    <w:tl2br w:val="nil"/>
                    <w:tr2bl w:val="nil"/>
                  </w:tcBorders>
                  <w:vAlign w:val="center"/>
                </w:tcPr>
                <w:p w14:paraId="0DD7E016">
                  <w:pPr>
                    <w:adjustRightInd w:val="0"/>
                    <w:snapToGrid w:val="0"/>
                    <w:rPr>
                      <w:rFonts w:eastAsiaTheme="minorEastAsia"/>
                      <w:bCs/>
                      <w:color w:val="auto"/>
                      <w:szCs w:val="21"/>
                    </w:rPr>
                  </w:pPr>
                </w:p>
              </w:tc>
              <w:tc>
                <w:tcPr>
                  <w:tcW w:w="640" w:type="pct"/>
                  <w:tcBorders>
                    <w:tl2br w:val="nil"/>
                    <w:tr2bl w:val="nil"/>
                  </w:tcBorders>
                  <w:vAlign w:val="center"/>
                </w:tcPr>
                <w:p w14:paraId="504B999F">
                  <w:pPr>
                    <w:adjustRightInd w:val="0"/>
                    <w:snapToGrid w:val="0"/>
                    <w:jc w:val="center"/>
                    <w:rPr>
                      <w:rFonts w:eastAsiaTheme="minorEastAsia"/>
                      <w:bCs/>
                      <w:color w:val="auto"/>
                      <w:szCs w:val="21"/>
                    </w:rPr>
                  </w:pPr>
                  <w:r>
                    <w:rPr>
                      <w:rFonts w:hint="eastAsia" w:eastAsiaTheme="minorEastAsia"/>
                      <w:bCs/>
                      <w:color w:val="auto"/>
                      <w:szCs w:val="21"/>
                    </w:rPr>
                    <w:t>金属模具</w:t>
                  </w:r>
                </w:p>
              </w:tc>
              <w:tc>
                <w:tcPr>
                  <w:tcW w:w="570" w:type="pct"/>
                  <w:tcBorders>
                    <w:tl2br w:val="nil"/>
                    <w:tr2bl w:val="nil"/>
                  </w:tcBorders>
                  <w:vAlign w:val="center"/>
                </w:tcPr>
                <w:p w14:paraId="0A86DCE0">
                  <w:pPr>
                    <w:adjustRightInd w:val="0"/>
                    <w:snapToGrid w:val="0"/>
                    <w:jc w:val="center"/>
                    <w:rPr>
                      <w:rFonts w:eastAsiaTheme="minorEastAsia"/>
                      <w:bCs/>
                      <w:color w:val="auto"/>
                      <w:szCs w:val="21"/>
                    </w:rPr>
                  </w:pPr>
                  <w:r>
                    <w:rPr>
                      <w:rFonts w:hint="eastAsia" w:eastAsiaTheme="minorEastAsia"/>
                      <w:bCs/>
                      <w:color w:val="auto"/>
                      <w:szCs w:val="21"/>
                    </w:rPr>
                    <w:t>/</w:t>
                  </w:r>
                </w:p>
              </w:tc>
              <w:tc>
                <w:tcPr>
                  <w:tcW w:w="1581" w:type="pct"/>
                  <w:tcBorders>
                    <w:tl2br w:val="nil"/>
                    <w:tr2bl w:val="nil"/>
                  </w:tcBorders>
                  <w:vAlign w:val="center"/>
                </w:tcPr>
                <w:p w14:paraId="501391AA">
                  <w:pPr>
                    <w:adjustRightInd w:val="0"/>
                    <w:snapToGrid w:val="0"/>
                    <w:jc w:val="center"/>
                    <w:rPr>
                      <w:rFonts w:eastAsiaTheme="minorEastAsia"/>
                      <w:bCs/>
                      <w:color w:val="auto"/>
                      <w:szCs w:val="21"/>
                    </w:rPr>
                  </w:pPr>
                  <w:r>
                    <w:rPr>
                      <w:rFonts w:hint="eastAsia" w:eastAsiaTheme="minorEastAsia"/>
                      <w:bCs/>
                      <w:color w:val="auto"/>
                      <w:szCs w:val="21"/>
                    </w:rPr>
                    <w:t>/</w:t>
                  </w:r>
                </w:p>
              </w:tc>
              <w:tc>
                <w:tcPr>
                  <w:tcW w:w="466" w:type="pct"/>
                  <w:tcBorders>
                    <w:tl2br w:val="nil"/>
                    <w:tr2bl w:val="nil"/>
                  </w:tcBorders>
                  <w:vAlign w:val="center"/>
                </w:tcPr>
                <w:p w14:paraId="66448859">
                  <w:pPr>
                    <w:adjustRightInd w:val="0"/>
                    <w:snapToGrid w:val="0"/>
                    <w:jc w:val="center"/>
                    <w:rPr>
                      <w:rFonts w:eastAsiaTheme="minorEastAsia"/>
                      <w:bCs/>
                      <w:color w:val="auto"/>
                      <w:szCs w:val="21"/>
                    </w:rPr>
                  </w:pPr>
                  <w:r>
                    <w:rPr>
                      <w:rFonts w:hint="eastAsia" w:eastAsiaTheme="minorEastAsia"/>
                      <w:bCs/>
                      <w:color w:val="auto"/>
                      <w:szCs w:val="21"/>
                    </w:rPr>
                    <w:t>1套</w:t>
                  </w:r>
                </w:p>
              </w:tc>
              <w:tc>
                <w:tcPr>
                  <w:tcW w:w="642" w:type="pct"/>
                  <w:tcBorders>
                    <w:tl2br w:val="nil"/>
                    <w:tr2bl w:val="nil"/>
                  </w:tcBorders>
                  <w:vAlign w:val="center"/>
                </w:tcPr>
                <w:p w14:paraId="27B900BE">
                  <w:pPr>
                    <w:adjustRightInd w:val="0"/>
                    <w:snapToGrid w:val="0"/>
                    <w:jc w:val="center"/>
                    <w:rPr>
                      <w:rFonts w:eastAsiaTheme="minorEastAsia"/>
                      <w:bCs/>
                      <w:color w:val="auto"/>
                      <w:szCs w:val="21"/>
                    </w:rPr>
                  </w:pPr>
                  <w:r>
                    <w:rPr>
                      <w:rFonts w:hint="eastAsia" w:eastAsiaTheme="minorEastAsia"/>
                      <w:bCs/>
                      <w:color w:val="auto"/>
                      <w:szCs w:val="21"/>
                    </w:rPr>
                    <w:t>0</w:t>
                  </w:r>
                </w:p>
              </w:tc>
            </w:tr>
            <w:tr w14:paraId="411C7C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1A1B3ABC">
                  <w:pPr>
                    <w:adjustRightInd w:val="0"/>
                    <w:snapToGrid w:val="0"/>
                    <w:jc w:val="center"/>
                    <w:rPr>
                      <w:bCs/>
                      <w:color w:val="auto"/>
                      <w:szCs w:val="21"/>
                    </w:rPr>
                  </w:pPr>
                  <w:r>
                    <w:rPr>
                      <w:rFonts w:hint="eastAsia"/>
                      <w:bCs/>
                      <w:color w:val="auto"/>
                      <w:szCs w:val="21"/>
                    </w:rPr>
                    <w:t>6</w:t>
                  </w:r>
                </w:p>
              </w:tc>
              <w:tc>
                <w:tcPr>
                  <w:tcW w:w="679" w:type="pct"/>
                  <w:vMerge w:val="continue"/>
                  <w:tcBorders>
                    <w:tl2br w:val="nil"/>
                    <w:tr2bl w:val="nil"/>
                  </w:tcBorders>
                  <w:vAlign w:val="center"/>
                </w:tcPr>
                <w:p w14:paraId="08188136">
                  <w:pPr>
                    <w:adjustRightInd w:val="0"/>
                    <w:snapToGrid w:val="0"/>
                    <w:rPr>
                      <w:rFonts w:eastAsiaTheme="minorEastAsia"/>
                      <w:bCs/>
                      <w:color w:val="auto"/>
                      <w:szCs w:val="21"/>
                    </w:rPr>
                  </w:pPr>
                </w:p>
              </w:tc>
              <w:tc>
                <w:tcPr>
                  <w:tcW w:w="640" w:type="pct"/>
                  <w:tcBorders>
                    <w:tl2br w:val="nil"/>
                    <w:tr2bl w:val="nil"/>
                  </w:tcBorders>
                  <w:vAlign w:val="center"/>
                </w:tcPr>
                <w:p w14:paraId="60E83BF3">
                  <w:pPr>
                    <w:adjustRightInd w:val="0"/>
                    <w:snapToGrid w:val="0"/>
                    <w:jc w:val="center"/>
                    <w:rPr>
                      <w:rFonts w:eastAsiaTheme="minorEastAsia"/>
                      <w:bCs/>
                      <w:color w:val="auto"/>
                      <w:szCs w:val="21"/>
                    </w:rPr>
                  </w:pPr>
                  <w:r>
                    <w:rPr>
                      <w:rFonts w:hint="eastAsia" w:eastAsiaTheme="minorEastAsia"/>
                      <w:bCs/>
                      <w:color w:val="auto"/>
                      <w:szCs w:val="21"/>
                    </w:rPr>
                    <w:t>浇筑包</w:t>
                  </w:r>
                </w:p>
              </w:tc>
              <w:tc>
                <w:tcPr>
                  <w:tcW w:w="570" w:type="pct"/>
                  <w:tcBorders>
                    <w:tl2br w:val="nil"/>
                    <w:tr2bl w:val="nil"/>
                  </w:tcBorders>
                  <w:vAlign w:val="center"/>
                </w:tcPr>
                <w:p w14:paraId="367BB46D">
                  <w:pPr>
                    <w:adjustRightInd w:val="0"/>
                    <w:snapToGrid w:val="0"/>
                    <w:jc w:val="center"/>
                    <w:rPr>
                      <w:rFonts w:eastAsiaTheme="minorEastAsia"/>
                      <w:bCs/>
                      <w:color w:val="auto"/>
                      <w:szCs w:val="21"/>
                    </w:rPr>
                  </w:pPr>
                  <w:r>
                    <w:rPr>
                      <w:rFonts w:hint="eastAsia" w:eastAsiaTheme="minorEastAsia"/>
                      <w:bCs/>
                      <w:color w:val="auto"/>
                      <w:szCs w:val="21"/>
                    </w:rPr>
                    <w:t>/</w:t>
                  </w:r>
                </w:p>
              </w:tc>
              <w:tc>
                <w:tcPr>
                  <w:tcW w:w="1581" w:type="pct"/>
                  <w:tcBorders>
                    <w:tl2br w:val="nil"/>
                    <w:tr2bl w:val="nil"/>
                  </w:tcBorders>
                  <w:vAlign w:val="center"/>
                </w:tcPr>
                <w:p w14:paraId="0280948F">
                  <w:pPr>
                    <w:adjustRightInd w:val="0"/>
                    <w:snapToGrid w:val="0"/>
                    <w:jc w:val="center"/>
                    <w:rPr>
                      <w:rFonts w:eastAsiaTheme="minorEastAsia"/>
                      <w:bCs/>
                      <w:color w:val="auto"/>
                      <w:szCs w:val="21"/>
                    </w:rPr>
                  </w:pPr>
                  <w:r>
                    <w:rPr>
                      <w:rFonts w:hint="eastAsia" w:eastAsiaTheme="minorEastAsia"/>
                      <w:bCs/>
                      <w:color w:val="auto"/>
                      <w:szCs w:val="21"/>
                    </w:rPr>
                    <w:t>/</w:t>
                  </w:r>
                </w:p>
              </w:tc>
              <w:tc>
                <w:tcPr>
                  <w:tcW w:w="466" w:type="pct"/>
                  <w:tcBorders>
                    <w:tl2br w:val="nil"/>
                    <w:tr2bl w:val="nil"/>
                  </w:tcBorders>
                  <w:vAlign w:val="center"/>
                </w:tcPr>
                <w:p w14:paraId="064D7049">
                  <w:pPr>
                    <w:adjustRightInd w:val="0"/>
                    <w:snapToGrid w:val="0"/>
                    <w:jc w:val="center"/>
                    <w:rPr>
                      <w:rFonts w:eastAsiaTheme="minorEastAsia"/>
                      <w:bCs/>
                      <w:color w:val="auto"/>
                      <w:szCs w:val="21"/>
                    </w:rPr>
                  </w:pPr>
                  <w:r>
                    <w:rPr>
                      <w:rFonts w:hint="eastAsia" w:eastAsiaTheme="minorEastAsia"/>
                      <w:bCs/>
                      <w:color w:val="auto"/>
                      <w:szCs w:val="21"/>
                    </w:rPr>
                    <w:t>3只</w:t>
                  </w:r>
                </w:p>
              </w:tc>
              <w:tc>
                <w:tcPr>
                  <w:tcW w:w="642" w:type="pct"/>
                  <w:tcBorders>
                    <w:tl2br w:val="nil"/>
                    <w:tr2bl w:val="nil"/>
                  </w:tcBorders>
                  <w:vAlign w:val="center"/>
                </w:tcPr>
                <w:p w14:paraId="6366AF5C">
                  <w:pPr>
                    <w:adjustRightInd w:val="0"/>
                    <w:snapToGrid w:val="0"/>
                    <w:jc w:val="center"/>
                    <w:rPr>
                      <w:rFonts w:eastAsiaTheme="minorEastAsia"/>
                      <w:bCs/>
                      <w:color w:val="auto"/>
                      <w:szCs w:val="21"/>
                    </w:rPr>
                  </w:pPr>
                  <w:r>
                    <w:rPr>
                      <w:rFonts w:hint="eastAsia" w:eastAsiaTheme="minorEastAsia"/>
                      <w:bCs/>
                      <w:color w:val="auto"/>
                      <w:szCs w:val="21"/>
                    </w:rPr>
                    <w:t>0</w:t>
                  </w:r>
                </w:p>
              </w:tc>
            </w:tr>
            <w:tr w14:paraId="16002C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211995D6">
                  <w:pPr>
                    <w:adjustRightInd w:val="0"/>
                    <w:snapToGrid w:val="0"/>
                    <w:jc w:val="center"/>
                    <w:rPr>
                      <w:bCs/>
                      <w:color w:val="auto"/>
                      <w:szCs w:val="21"/>
                    </w:rPr>
                  </w:pPr>
                  <w:r>
                    <w:rPr>
                      <w:rFonts w:hint="eastAsia"/>
                      <w:bCs/>
                      <w:color w:val="auto"/>
                      <w:szCs w:val="21"/>
                    </w:rPr>
                    <w:t>7</w:t>
                  </w:r>
                </w:p>
              </w:tc>
              <w:tc>
                <w:tcPr>
                  <w:tcW w:w="679" w:type="pct"/>
                  <w:vMerge w:val="continue"/>
                  <w:tcBorders>
                    <w:tl2br w:val="nil"/>
                    <w:tr2bl w:val="nil"/>
                  </w:tcBorders>
                  <w:vAlign w:val="center"/>
                </w:tcPr>
                <w:p w14:paraId="330E55E8">
                  <w:pPr>
                    <w:adjustRightInd w:val="0"/>
                    <w:snapToGrid w:val="0"/>
                    <w:rPr>
                      <w:rFonts w:eastAsiaTheme="minorEastAsia"/>
                      <w:bCs/>
                      <w:color w:val="auto"/>
                      <w:szCs w:val="21"/>
                    </w:rPr>
                  </w:pPr>
                </w:p>
              </w:tc>
              <w:tc>
                <w:tcPr>
                  <w:tcW w:w="640" w:type="pct"/>
                  <w:tcBorders>
                    <w:tl2br w:val="nil"/>
                    <w:tr2bl w:val="nil"/>
                  </w:tcBorders>
                  <w:vAlign w:val="center"/>
                </w:tcPr>
                <w:p w14:paraId="602AD14B">
                  <w:pPr>
                    <w:adjustRightInd w:val="0"/>
                    <w:snapToGrid w:val="0"/>
                    <w:jc w:val="center"/>
                    <w:rPr>
                      <w:rFonts w:eastAsiaTheme="minorEastAsia"/>
                      <w:bCs/>
                      <w:color w:val="auto"/>
                      <w:szCs w:val="21"/>
                    </w:rPr>
                  </w:pPr>
                  <w:r>
                    <w:rPr>
                      <w:rFonts w:hint="eastAsia" w:eastAsiaTheme="minorEastAsia"/>
                      <w:bCs/>
                      <w:color w:val="auto"/>
                      <w:szCs w:val="21"/>
                    </w:rPr>
                    <w:t>检测设备</w:t>
                  </w:r>
                </w:p>
              </w:tc>
              <w:tc>
                <w:tcPr>
                  <w:tcW w:w="570" w:type="pct"/>
                  <w:tcBorders>
                    <w:tl2br w:val="nil"/>
                    <w:tr2bl w:val="nil"/>
                  </w:tcBorders>
                  <w:vAlign w:val="center"/>
                </w:tcPr>
                <w:p w14:paraId="4D8199DA">
                  <w:pPr>
                    <w:adjustRightInd w:val="0"/>
                    <w:snapToGrid w:val="0"/>
                    <w:jc w:val="center"/>
                    <w:rPr>
                      <w:rFonts w:eastAsiaTheme="minorEastAsia"/>
                      <w:bCs/>
                      <w:color w:val="auto"/>
                      <w:szCs w:val="21"/>
                    </w:rPr>
                  </w:pPr>
                  <w:r>
                    <w:rPr>
                      <w:rFonts w:hint="eastAsia" w:eastAsiaTheme="minorEastAsia"/>
                      <w:bCs/>
                      <w:color w:val="auto"/>
                      <w:szCs w:val="21"/>
                    </w:rPr>
                    <w:t>/</w:t>
                  </w:r>
                </w:p>
              </w:tc>
              <w:tc>
                <w:tcPr>
                  <w:tcW w:w="1581" w:type="pct"/>
                  <w:tcBorders>
                    <w:tl2br w:val="nil"/>
                    <w:tr2bl w:val="nil"/>
                  </w:tcBorders>
                  <w:vAlign w:val="center"/>
                </w:tcPr>
                <w:p w14:paraId="137380C8">
                  <w:pPr>
                    <w:adjustRightInd w:val="0"/>
                    <w:snapToGrid w:val="0"/>
                    <w:jc w:val="center"/>
                    <w:rPr>
                      <w:rFonts w:eastAsiaTheme="minorEastAsia"/>
                      <w:bCs/>
                      <w:color w:val="auto"/>
                      <w:szCs w:val="21"/>
                    </w:rPr>
                  </w:pPr>
                  <w:r>
                    <w:rPr>
                      <w:rFonts w:hint="eastAsia" w:eastAsiaTheme="minorEastAsia"/>
                      <w:bCs/>
                      <w:color w:val="auto"/>
                      <w:szCs w:val="21"/>
                    </w:rPr>
                    <w:t>/</w:t>
                  </w:r>
                </w:p>
              </w:tc>
              <w:tc>
                <w:tcPr>
                  <w:tcW w:w="466" w:type="pct"/>
                  <w:tcBorders>
                    <w:tl2br w:val="nil"/>
                    <w:tr2bl w:val="nil"/>
                  </w:tcBorders>
                  <w:vAlign w:val="center"/>
                </w:tcPr>
                <w:p w14:paraId="5BF16226">
                  <w:pPr>
                    <w:adjustRightInd w:val="0"/>
                    <w:snapToGrid w:val="0"/>
                    <w:jc w:val="center"/>
                    <w:rPr>
                      <w:rFonts w:eastAsiaTheme="minorEastAsia"/>
                      <w:bCs/>
                      <w:color w:val="auto"/>
                      <w:szCs w:val="21"/>
                    </w:rPr>
                  </w:pPr>
                  <w:r>
                    <w:rPr>
                      <w:rFonts w:hint="eastAsia" w:eastAsiaTheme="minorEastAsia"/>
                      <w:bCs/>
                      <w:color w:val="auto"/>
                      <w:szCs w:val="21"/>
                    </w:rPr>
                    <w:t>1套</w:t>
                  </w:r>
                </w:p>
              </w:tc>
              <w:tc>
                <w:tcPr>
                  <w:tcW w:w="642" w:type="pct"/>
                  <w:tcBorders>
                    <w:tl2br w:val="nil"/>
                    <w:tr2bl w:val="nil"/>
                  </w:tcBorders>
                  <w:vAlign w:val="center"/>
                </w:tcPr>
                <w:p w14:paraId="3E29E425">
                  <w:pPr>
                    <w:adjustRightInd w:val="0"/>
                    <w:snapToGrid w:val="0"/>
                    <w:jc w:val="center"/>
                    <w:rPr>
                      <w:rFonts w:eastAsiaTheme="minorEastAsia"/>
                      <w:bCs/>
                      <w:color w:val="auto"/>
                      <w:szCs w:val="21"/>
                    </w:rPr>
                  </w:pPr>
                  <w:r>
                    <w:rPr>
                      <w:rFonts w:hint="eastAsia" w:eastAsiaTheme="minorEastAsia"/>
                      <w:bCs/>
                      <w:color w:val="auto"/>
                      <w:szCs w:val="21"/>
                    </w:rPr>
                    <w:t>/</w:t>
                  </w:r>
                </w:p>
              </w:tc>
            </w:tr>
            <w:tr w14:paraId="38E79B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44D65B69">
                  <w:pPr>
                    <w:adjustRightInd w:val="0"/>
                    <w:snapToGrid w:val="0"/>
                    <w:jc w:val="center"/>
                    <w:rPr>
                      <w:bCs/>
                      <w:color w:val="auto"/>
                      <w:szCs w:val="21"/>
                    </w:rPr>
                  </w:pPr>
                  <w:r>
                    <w:rPr>
                      <w:rFonts w:hint="eastAsia"/>
                      <w:bCs/>
                      <w:color w:val="auto"/>
                      <w:szCs w:val="21"/>
                    </w:rPr>
                    <w:t>8</w:t>
                  </w:r>
                </w:p>
              </w:tc>
              <w:tc>
                <w:tcPr>
                  <w:tcW w:w="679" w:type="pct"/>
                  <w:vMerge w:val="restart"/>
                  <w:tcBorders>
                    <w:tl2br w:val="nil"/>
                    <w:tr2bl w:val="nil"/>
                  </w:tcBorders>
                  <w:vAlign w:val="center"/>
                </w:tcPr>
                <w:p w14:paraId="430C278B">
                  <w:pPr>
                    <w:adjustRightInd w:val="0"/>
                    <w:snapToGrid w:val="0"/>
                    <w:jc w:val="center"/>
                    <w:rPr>
                      <w:rFonts w:eastAsiaTheme="minorEastAsia"/>
                      <w:bCs/>
                      <w:color w:val="auto"/>
                      <w:szCs w:val="21"/>
                    </w:rPr>
                  </w:pPr>
                  <w:r>
                    <w:rPr>
                      <w:rFonts w:hint="eastAsia" w:asciiTheme="minorEastAsia" w:hAnsiTheme="minorEastAsia" w:eastAsiaTheme="minorEastAsia" w:cstheme="minorEastAsia"/>
                      <w:color w:val="auto"/>
                      <w:szCs w:val="21"/>
                      <w:shd w:val="clear" w:color="auto" w:fill="FFFFFF"/>
                    </w:rPr>
                    <w:t>连续塑形</w:t>
                  </w:r>
                  <w:r>
                    <w:rPr>
                      <w:rFonts w:hint="eastAsia" w:asciiTheme="minorEastAsia" w:hAnsiTheme="minorEastAsia" w:eastAsiaTheme="minorEastAsia" w:cstheme="minorEastAsia"/>
                      <w:bCs/>
                      <w:color w:val="auto"/>
                      <w:szCs w:val="21"/>
                    </w:rPr>
                    <w:t>生产线</w:t>
                  </w:r>
                </w:p>
              </w:tc>
              <w:tc>
                <w:tcPr>
                  <w:tcW w:w="640" w:type="pct"/>
                  <w:tcBorders>
                    <w:tl2br w:val="nil"/>
                    <w:tr2bl w:val="nil"/>
                  </w:tcBorders>
                  <w:vAlign w:val="center"/>
                </w:tcPr>
                <w:p w14:paraId="3D699093">
                  <w:pPr>
                    <w:adjustRightInd w:val="0"/>
                    <w:snapToGrid w:val="0"/>
                    <w:jc w:val="center"/>
                    <w:rPr>
                      <w:rFonts w:eastAsiaTheme="minorEastAsia"/>
                      <w:bCs/>
                      <w:color w:val="auto"/>
                      <w:szCs w:val="21"/>
                    </w:rPr>
                  </w:pPr>
                  <w:r>
                    <w:rPr>
                      <w:rFonts w:hint="eastAsia" w:eastAsiaTheme="minorEastAsia"/>
                      <w:bCs/>
                      <w:color w:val="auto"/>
                      <w:szCs w:val="21"/>
                    </w:rPr>
                    <w:t>卡断机</w:t>
                  </w:r>
                </w:p>
              </w:tc>
              <w:tc>
                <w:tcPr>
                  <w:tcW w:w="570" w:type="pct"/>
                  <w:tcBorders>
                    <w:tl2br w:val="nil"/>
                    <w:tr2bl w:val="nil"/>
                  </w:tcBorders>
                  <w:vAlign w:val="center"/>
                </w:tcPr>
                <w:p w14:paraId="34E5A3D4">
                  <w:pPr>
                    <w:adjustRightInd w:val="0"/>
                    <w:snapToGrid w:val="0"/>
                    <w:jc w:val="center"/>
                    <w:rPr>
                      <w:rFonts w:eastAsiaTheme="minorEastAsia"/>
                      <w:bCs/>
                      <w:color w:val="auto"/>
                      <w:szCs w:val="21"/>
                    </w:rPr>
                  </w:pPr>
                  <w:r>
                    <w:rPr>
                      <w:rFonts w:hint="eastAsia" w:eastAsiaTheme="minorEastAsia"/>
                      <w:bCs/>
                      <w:color w:val="auto"/>
                      <w:szCs w:val="21"/>
                    </w:rPr>
                    <w:t>15</w:t>
                  </w:r>
                </w:p>
              </w:tc>
              <w:tc>
                <w:tcPr>
                  <w:tcW w:w="1581" w:type="pct"/>
                  <w:tcBorders>
                    <w:tl2br w:val="nil"/>
                    <w:tr2bl w:val="nil"/>
                  </w:tcBorders>
                  <w:vAlign w:val="center"/>
                </w:tcPr>
                <w:p w14:paraId="1D752EC2">
                  <w:pPr>
                    <w:adjustRightInd w:val="0"/>
                    <w:snapToGrid w:val="0"/>
                    <w:jc w:val="center"/>
                    <w:rPr>
                      <w:rFonts w:eastAsiaTheme="minorEastAsia"/>
                      <w:bCs/>
                      <w:color w:val="auto"/>
                      <w:szCs w:val="21"/>
                    </w:rPr>
                  </w:pPr>
                  <w:r>
                    <w:rPr>
                      <w:rFonts w:hint="eastAsia" w:eastAsiaTheme="minorEastAsia"/>
                      <w:bCs/>
                      <w:color w:val="auto"/>
                      <w:szCs w:val="21"/>
                    </w:rPr>
                    <w:t>/</w:t>
                  </w:r>
                </w:p>
              </w:tc>
              <w:tc>
                <w:tcPr>
                  <w:tcW w:w="466" w:type="pct"/>
                  <w:tcBorders>
                    <w:tl2br w:val="nil"/>
                    <w:tr2bl w:val="nil"/>
                  </w:tcBorders>
                  <w:vAlign w:val="center"/>
                </w:tcPr>
                <w:p w14:paraId="048C463B">
                  <w:pPr>
                    <w:adjustRightInd w:val="0"/>
                    <w:snapToGrid w:val="0"/>
                    <w:jc w:val="center"/>
                    <w:rPr>
                      <w:rFonts w:eastAsiaTheme="minorEastAsia"/>
                      <w:bCs/>
                      <w:color w:val="auto"/>
                      <w:szCs w:val="21"/>
                    </w:rPr>
                  </w:pPr>
                  <w:r>
                    <w:rPr>
                      <w:rFonts w:hint="eastAsia" w:eastAsiaTheme="minorEastAsia"/>
                      <w:bCs/>
                      <w:color w:val="auto"/>
                      <w:szCs w:val="21"/>
                    </w:rPr>
                    <w:t>/</w:t>
                  </w:r>
                </w:p>
              </w:tc>
              <w:tc>
                <w:tcPr>
                  <w:tcW w:w="642" w:type="pct"/>
                  <w:tcBorders>
                    <w:tl2br w:val="nil"/>
                    <w:tr2bl w:val="nil"/>
                  </w:tcBorders>
                  <w:vAlign w:val="center"/>
                </w:tcPr>
                <w:p w14:paraId="4AAEA964">
                  <w:pPr>
                    <w:adjustRightInd w:val="0"/>
                    <w:snapToGrid w:val="0"/>
                    <w:jc w:val="center"/>
                    <w:rPr>
                      <w:rFonts w:eastAsiaTheme="minorEastAsia"/>
                      <w:bCs/>
                      <w:color w:val="auto"/>
                      <w:szCs w:val="21"/>
                    </w:rPr>
                  </w:pPr>
                  <w:r>
                    <w:rPr>
                      <w:rFonts w:hint="eastAsia" w:eastAsiaTheme="minorEastAsia"/>
                      <w:bCs/>
                      <w:color w:val="auto"/>
                      <w:szCs w:val="21"/>
                    </w:rPr>
                    <w:t>15</w:t>
                  </w:r>
                </w:p>
              </w:tc>
            </w:tr>
            <w:tr w14:paraId="501027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7686B1E5">
                  <w:pPr>
                    <w:adjustRightInd w:val="0"/>
                    <w:snapToGrid w:val="0"/>
                    <w:jc w:val="center"/>
                    <w:rPr>
                      <w:bCs/>
                      <w:color w:val="auto"/>
                      <w:szCs w:val="21"/>
                    </w:rPr>
                  </w:pPr>
                  <w:r>
                    <w:rPr>
                      <w:rFonts w:hint="eastAsia"/>
                      <w:bCs/>
                      <w:color w:val="auto"/>
                      <w:szCs w:val="21"/>
                    </w:rPr>
                    <w:t>9</w:t>
                  </w:r>
                </w:p>
              </w:tc>
              <w:tc>
                <w:tcPr>
                  <w:tcW w:w="679" w:type="pct"/>
                  <w:vMerge w:val="continue"/>
                  <w:tcBorders>
                    <w:tl2br w:val="nil"/>
                    <w:tr2bl w:val="nil"/>
                  </w:tcBorders>
                  <w:vAlign w:val="center"/>
                </w:tcPr>
                <w:p w14:paraId="385A5516">
                  <w:pPr>
                    <w:adjustRightInd w:val="0"/>
                    <w:snapToGrid w:val="0"/>
                    <w:jc w:val="center"/>
                    <w:rPr>
                      <w:rFonts w:ascii="Segoe UI" w:hAnsi="Segoe UI" w:cs="Segoe UI"/>
                      <w:color w:val="auto"/>
                      <w:sz w:val="19"/>
                      <w:szCs w:val="19"/>
                      <w:shd w:val="clear" w:color="auto" w:fill="FFFFFF"/>
                    </w:rPr>
                  </w:pPr>
                </w:p>
              </w:tc>
              <w:tc>
                <w:tcPr>
                  <w:tcW w:w="640" w:type="pct"/>
                  <w:tcBorders>
                    <w:tl2br w:val="nil"/>
                    <w:tr2bl w:val="nil"/>
                  </w:tcBorders>
                  <w:vAlign w:val="center"/>
                </w:tcPr>
                <w:p w14:paraId="5B780FCC">
                  <w:pPr>
                    <w:adjustRightInd w:val="0"/>
                    <w:snapToGrid w:val="0"/>
                    <w:jc w:val="center"/>
                    <w:rPr>
                      <w:rFonts w:eastAsiaTheme="minorEastAsia"/>
                      <w:bCs/>
                      <w:color w:val="auto"/>
                      <w:szCs w:val="21"/>
                    </w:rPr>
                  </w:pPr>
                  <w:r>
                    <w:rPr>
                      <w:rFonts w:hint="eastAsia" w:eastAsiaTheme="minorEastAsia"/>
                      <w:bCs/>
                      <w:color w:val="auto"/>
                      <w:szCs w:val="21"/>
                    </w:rPr>
                    <w:t>金属压延机</w:t>
                  </w:r>
                </w:p>
              </w:tc>
              <w:tc>
                <w:tcPr>
                  <w:tcW w:w="570" w:type="pct"/>
                  <w:tcBorders>
                    <w:tl2br w:val="nil"/>
                    <w:tr2bl w:val="nil"/>
                  </w:tcBorders>
                  <w:vAlign w:val="center"/>
                </w:tcPr>
                <w:p w14:paraId="7C2F0FC5">
                  <w:pPr>
                    <w:adjustRightInd w:val="0"/>
                    <w:snapToGrid w:val="0"/>
                    <w:jc w:val="center"/>
                    <w:rPr>
                      <w:rFonts w:eastAsiaTheme="minorEastAsia"/>
                      <w:bCs/>
                      <w:color w:val="auto"/>
                      <w:szCs w:val="21"/>
                    </w:rPr>
                  </w:pPr>
                  <w:r>
                    <w:rPr>
                      <w:rFonts w:hint="eastAsia" w:eastAsiaTheme="minorEastAsia"/>
                      <w:bCs/>
                      <w:color w:val="auto"/>
                      <w:szCs w:val="21"/>
                    </w:rPr>
                    <w:t>1250</w:t>
                  </w:r>
                </w:p>
              </w:tc>
              <w:tc>
                <w:tcPr>
                  <w:tcW w:w="1581" w:type="pct"/>
                  <w:tcBorders>
                    <w:tl2br w:val="nil"/>
                    <w:tr2bl w:val="nil"/>
                  </w:tcBorders>
                  <w:vAlign w:val="center"/>
                </w:tcPr>
                <w:p w14:paraId="3C0F0ADB">
                  <w:pPr>
                    <w:adjustRightInd w:val="0"/>
                    <w:snapToGrid w:val="0"/>
                    <w:jc w:val="center"/>
                    <w:rPr>
                      <w:rFonts w:eastAsiaTheme="minorEastAsia"/>
                      <w:bCs/>
                      <w:color w:val="auto"/>
                      <w:szCs w:val="21"/>
                    </w:rPr>
                  </w:pPr>
                  <w:r>
                    <w:rPr>
                      <w:rFonts w:hint="eastAsia" w:eastAsiaTheme="minorEastAsia"/>
                      <w:bCs/>
                      <w:color w:val="auto"/>
                      <w:szCs w:val="21"/>
                    </w:rPr>
                    <w:t>/</w:t>
                  </w:r>
                </w:p>
              </w:tc>
              <w:tc>
                <w:tcPr>
                  <w:tcW w:w="466" w:type="pct"/>
                  <w:tcBorders>
                    <w:tl2br w:val="nil"/>
                    <w:tr2bl w:val="nil"/>
                  </w:tcBorders>
                  <w:vAlign w:val="center"/>
                </w:tcPr>
                <w:p w14:paraId="14C153BA">
                  <w:pPr>
                    <w:adjustRightInd w:val="0"/>
                    <w:snapToGrid w:val="0"/>
                    <w:jc w:val="center"/>
                    <w:rPr>
                      <w:rFonts w:eastAsiaTheme="minorEastAsia"/>
                      <w:bCs/>
                      <w:color w:val="auto"/>
                      <w:szCs w:val="21"/>
                    </w:rPr>
                  </w:pPr>
                  <w:r>
                    <w:rPr>
                      <w:rFonts w:hint="eastAsia" w:eastAsiaTheme="minorEastAsia"/>
                      <w:bCs/>
                      <w:color w:val="auto"/>
                      <w:szCs w:val="21"/>
                    </w:rPr>
                    <w:t>/</w:t>
                  </w:r>
                </w:p>
              </w:tc>
              <w:tc>
                <w:tcPr>
                  <w:tcW w:w="642" w:type="pct"/>
                  <w:tcBorders>
                    <w:tl2br w:val="nil"/>
                    <w:tr2bl w:val="nil"/>
                  </w:tcBorders>
                  <w:vAlign w:val="center"/>
                </w:tcPr>
                <w:p w14:paraId="2A9512CD">
                  <w:pPr>
                    <w:adjustRightInd w:val="0"/>
                    <w:snapToGrid w:val="0"/>
                    <w:jc w:val="center"/>
                    <w:rPr>
                      <w:rFonts w:eastAsiaTheme="minorEastAsia"/>
                      <w:bCs/>
                      <w:color w:val="auto"/>
                      <w:szCs w:val="21"/>
                    </w:rPr>
                  </w:pPr>
                  <w:r>
                    <w:rPr>
                      <w:rFonts w:hint="eastAsia" w:eastAsiaTheme="minorEastAsia"/>
                      <w:bCs/>
                      <w:color w:val="auto"/>
                      <w:szCs w:val="21"/>
                    </w:rPr>
                    <w:t>1250</w:t>
                  </w:r>
                </w:p>
              </w:tc>
            </w:tr>
            <w:tr w14:paraId="097B4E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6DDED136">
                  <w:pPr>
                    <w:adjustRightInd w:val="0"/>
                    <w:snapToGrid w:val="0"/>
                    <w:jc w:val="center"/>
                    <w:rPr>
                      <w:bCs/>
                      <w:color w:val="auto"/>
                      <w:szCs w:val="21"/>
                    </w:rPr>
                  </w:pPr>
                  <w:r>
                    <w:rPr>
                      <w:rFonts w:hint="eastAsia"/>
                      <w:bCs/>
                      <w:color w:val="auto"/>
                      <w:szCs w:val="21"/>
                    </w:rPr>
                    <w:t>10</w:t>
                  </w:r>
                </w:p>
              </w:tc>
              <w:tc>
                <w:tcPr>
                  <w:tcW w:w="679" w:type="pct"/>
                  <w:vMerge w:val="continue"/>
                  <w:tcBorders>
                    <w:tl2br w:val="nil"/>
                    <w:tr2bl w:val="nil"/>
                  </w:tcBorders>
                  <w:vAlign w:val="center"/>
                </w:tcPr>
                <w:p w14:paraId="0F63636B">
                  <w:pPr>
                    <w:adjustRightInd w:val="0"/>
                    <w:snapToGrid w:val="0"/>
                    <w:jc w:val="center"/>
                    <w:rPr>
                      <w:rFonts w:ascii="Segoe UI" w:hAnsi="Segoe UI" w:cs="Segoe UI"/>
                      <w:color w:val="auto"/>
                      <w:sz w:val="19"/>
                      <w:szCs w:val="19"/>
                      <w:shd w:val="clear" w:color="auto" w:fill="FFFFFF"/>
                    </w:rPr>
                  </w:pPr>
                </w:p>
              </w:tc>
              <w:tc>
                <w:tcPr>
                  <w:tcW w:w="640" w:type="pct"/>
                  <w:tcBorders>
                    <w:tl2br w:val="nil"/>
                    <w:tr2bl w:val="nil"/>
                  </w:tcBorders>
                  <w:vAlign w:val="center"/>
                </w:tcPr>
                <w:p w14:paraId="0DDAC47C">
                  <w:pPr>
                    <w:adjustRightInd w:val="0"/>
                    <w:snapToGrid w:val="0"/>
                    <w:jc w:val="center"/>
                    <w:rPr>
                      <w:rFonts w:eastAsiaTheme="minorEastAsia"/>
                      <w:bCs/>
                      <w:color w:val="auto"/>
                      <w:szCs w:val="21"/>
                    </w:rPr>
                  </w:pPr>
                  <w:r>
                    <w:rPr>
                      <w:rFonts w:hint="eastAsia" w:eastAsiaTheme="minorEastAsia"/>
                      <w:bCs/>
                      <w:color w:val="auto"/>
                      <w:szCs w:val="21"/>
                    </w:rPr>
                    <w:t>压延成型机</w:t>
                  </w:r>
                </w:p>
              </w:tc>
              <w:tc>
                <w:tcPr>
                  <w:tcW w:w="570" w:type="pct"/>
                  <w:tcBorders>
                    <w:tl2br w:val="nil"/>
                    <w:tr2bl w:val="nil"/>
                  </w:tcBorders>
                  <w:vAlign w:val="center"/>
                </w:tcPr>
                <w:p w14:paraId="0CF176BA">
                  <w:pPr>
                    <w:adjustRightInd w:val="0"/>
                    <w:snapToGrid w:val="0"/>
                    <w:jc w:val="center"/>
                    <w:rPr>
                      <w:rFonts w:eastAsiaTheme="minorEastAsia"/>
                      <w:bCs/>
                      <w:color w:val="auto"/>
                      <w:szCs w:val="21"/>
                    </w:rPr>
                  </w:pPr>
                  <w:r>
                    <w:rPr>
                      <w:rFonts w:hint="eastAsia" w:eastAsiaTheme="minorEastAsia"/>
                      <w:bCs/>
                      <w:color w:val="auto"/>
                      <w:szCs w:val="21"/>
                    </w:rPr>
                    <w:t>1000</w:t>
                  </w:r>
                </w:p>
              </w:tc>
              <w:tc>
                <w:tcPr>
                  <w:tcW w:w="1581" w:type="pct"/>
                  <w:tcBorders>
                    <w:tl2br w:val="nil"/>
                    <w:tr2bl w:val="nil"/>
                  </w:tcBorders>
                  <w:vAlign w:val="center"/>
                </w:tcPr>
                <w:p w14:paraId="393E3E5B">
                  <w:pPr>
                    <w:adjustRightInd w:val="0"/>
                    <w:snapToGrid w:val="0"/>
                    <w:jc w:val="center"/>
                    <w:rPr>
                      <w:rFonts w:eastAsiaTheme="minorEastAsia"/>
                      <w:bCs/>
                      <w:color w:val="auto"/>
                      <w:szCs w:val="21"/>
                    </w:rPr>
                  </w:pPr>
                  <w:r>
                    <w:rPr>
                      <w:rFonts w:hint="eastAsia" w:eastAsiaTheme="minorEastAsia"/>
                      <w:bCs/>
                      <w:color w:val="auto"/>
                      <w:szCs w:val="21"/>
                    </w:rPr>
                    <w:t>/</w:t>
                  </w:r>
                </w:p>
              </w:tc>
              <w:tc>
                <w:tcPr>
                  <w:tcW w:w="466" w:type="pct"/>
                  <w:tcBorders>
                    <w:tl2br w:val="nil"/>
                    <w:tr2bl w:val="nil"/>
                  </w:tcBorders>
                  <w:vAlign w:val="center"/>
                </w:tcPr>
                <w:p w14:paraId="4DA86D93">
                  <w:pPr>
                    <w:adjustRightInd w:val="0"/>
                    <w:snapToGrid w:val="0"/>
                    <w:jc w:val="center"/>
                    <w:rPr>
                      <w:rFonts w:eastAsiaTheme="minorEastAsia"/>
                      <w:bCs/>
                      <w:color w:val="auto"/>
                      <w:szCs w:val="21"/>
                    </w:rPr>
                  </w:pPr>
                  <w:r>
                    <w:rPr>
                      <w:rFonts w:hint="eastAsia" w:eastAsiaTheme="minorEastAsia"/>
                      <w:bCs/>
                      <w:color w:val="auto"/>
                      <w:szCs w:val="21"/>
                    </w:rPr>
                    <w:t>/</w:t>
                  </w:r>
                </w:p>
              </w:tc>
              <w:tc>
                <w:tcPr>
                  <w:tcW w:w="642" w:type="pct"/>
                  <w:tcBorders>
                    <w:tl2br w:val="nil"/>
                    <w:tr2bl w:val="nil"/>
                  </w:tcBorders>
                  <w:vAlign w:val="center"/>
                </w:tcPr>
                <w:p w14:paraId="3C86F9A0">
                  <w:pPr>
                    <w:adjustRightInd w:val="0"/>
                    <w:snapToGrid w:val="0"/>
                    <w:jc w:val="center"/>
                    <w:rPr>
                      <w:rFonts w:eastAsiaTheme="minorEastAsia"/>
                      <w:bCs/>
                      <w:color w:val="auto"/>
                      <w:szCs w:val="21"/>
                    </w:rPr>
                  </w:pPr>
                  <w:r>
                    <w:rPr>
                      <w:rFonts w:hint="eastAsia" w:eastAsiaTheme="minorEastAsia"/>
                      <w:bCs/>
                      <w:color w:val="auto"/>
                      <w:szCs w:val="21"/>
                    </w:rPr>
                    <w:t>1000</w:t>
                  </w:r>
                </w:p>
              </w:tc>
            </w:tr>
            <w:tr w14:paraId="2216B3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1995883F">
                  <w:pPr>
                    <w:adjustRightInd w:val="0"/>
                    <w:snapToGrid w:val="0"/>
                    <w:jc w:val="center"/>
                    <w:rPr>
                      <w:bCs/>
                      <w:color w:val="auto"/>
                      <w:szCs w:val="21"/>
                    </w:rPr>
                  </w:pPr>
                  <w:r>
                    <w:rPr>
                      <w:rFonts w:hint="eastAsia"/>
                      <w:bCs/>
                      <w:color w:val="auto"/>
                      <w:szCs w:val="21"/>
                    </w:rPr>
                    <w:t>11</w:t>
                  </w:r>
                </w:p>
              </w:tc>
              <w:tc>
                <w:tcPr>
                  <w:tcW w:w="679" w:type="pct"/>
                  <w:vMerge w:val="continue"/>
                  <w:tcBorders>
                    <w:tl2br w:val="nil"/>
                    <w:tr2bl w:val="nil"/>
                  </w:tcBorders>
                  <w:vAlign w:val="center"/>
                </w:tcPr>
                <w:p w14:paraId="48AEC74A">
                  <w:pPr>
                    <w:adjustRightInd w:val="0"/>
                    <w:snapToGrid w:val="0"/>
                    <w:jc w:val="center"/>
                    <w:rPr>
                      <w:rFonts w:ascii="Segoe UI" w:hAnsi="Segoe UI" w:cs="Segoe UI"/>
                      <w:color w:val="auto"/>
                      <w:sz w:val="19"/>
                      <w:szCs w:val="19"/>
                      <w:shd w:val="clear" w:color="auto" w:fill="FFFFFF"/>
                    </w:rPr>
                  </w:pPr>
                </w:p>
              </w:tc>
              <w:tc>
                <w:tcPr>
                  <w:tcW w:w="640" w:type="pct"/>
                  <w:tcBorders>
                    <w:tl2br w:val="nil"/>
                    <w:tr2bl w:val="nil"/>
                  </w:tcBorders>
                  <w:vAlign w:val="center"/>
                </w:tcPr>
                <w:p w14:paraId="265A5670">
                  <w:pPr>
                    <w:adjustRightInd w:val="0"/>
                    <w:snapToGrid w:val="0"/>
                    <w:jc w:val="center"/>
                    <w:rPr>
                      <w:rFonts w:eastAsiaTheme="minorEastAsia"/>
                      <w:bCs/>
                      <w:color w:val="auto"/>
                      <w:szCs w:val="21"/>
                    </w:rPr>
                  </w:pPr>
                  <w:r>
                    <w:rPr>
                      <w:rFonts w:hint="eastAsia" w:eastAsiaTheme="minorEastAsia"/>
                      <w:bCs/>
                      <w:color w:val="auto"/>
                      <w:szCs w:val="21"/>
                    </w:rPr>
                    <w:t>生产线冷却水</w:t>
                  </w:r>
                </w:p>
              </w:tc>
              <w:tc>
                <w:tcPr>
                  <w:tcW w:w="570" w:type="pct"/>
                  <w:tcBorders>
                    <w:tl2br w:val="nil"/>
                    <w:tr2bl w:val="nil"/>
                  </w:tcBorders>
                  <w:vAlign w:val="center"/>
                </w:tcPr>
                <w:p w14:paraId="1568B722">
                  <w:pPr>
                    <w:adjustRightInd w:val="0"/>
                    <w:snapToGrid w:val="0"/>
                    <w:jc w:val="center"/>
                    <w:rPr>
                      <w:rFonts w:eastAsiaTheme="minorEastAsia"/>
                      <w:bCs/>
                      <w:color w:val="auto"/>
                      <w:szCs w:val="21"/>
                    </w:rPr>
                  </w:pPr>
                  <w:r>
                    <w:rPr>
                      <w:rFonts w:hint="eastAsia" w:eastAsiaTheme="minorEastAsia"/>
                      <w:bCs/>
                      <w:color w:val="auto"/>
                      <w:szCs w:val="21"/>
                    </w:rPr>
                    <w:t>37</w:t>
                  </w:r>
                </w:p>
              </w:tc>
              <w:tc>
                <w:tcPr>
                  <w:tcW w:w="1581" w:type="pct"/>
                  <w:tcBorders>
                    <w:tl2br w:val="nil"/>
                    <w:tr2bl w:val="nil"/>
                  </w:tcBorders>
                  <w:vAlign w:val="center"/>
                </w:tcPr>
                <w:p w14:paraId="38FBCA6B">
                  <w:pPr>
                    <w:adjustRightInd w:val="0"/>
                    <w:snapToGrid w:val="0"/>
                    <w:jc w:val="center"/>
                    <w:rPr>
                      <w:rFonts w:eastAsiaTheme="minorEastAsia"/>
                      <w:bCs/>
                      <w:color w:val="auto"/>
                      <w:szCs w:val="21"/>
                    </w:rPr>
                  </w:pPr>
                  <w:r>
                    <w:rPr>
                      <w:rFonts w:hint="eastAsia" w:eastAsiaTheme="minorEastAsia"/>
                      <w:bCs/>
                      <w:color w:val="auto"/>
                      <w:szCs w:val="21"/>
                    </w:rPr>
                    <w:t>/</w:t>
                  </w:r>
                </w:p>
              </w:tc>
              <w:tc>
                <w:tcPr>
                  <w:tcW w:w="466" w:type="pct"/>
                  <w:tcBorders>
                    <w:tl2br w:val="nil"/>
                    <w:tr2bl w:val="nil"/>
                  </w:tcBorders>
                  <w:vAlign w:val="center"/>
                </w:tcPr>
                <w:p w14:paraId="320C0343">
                  <w:pPr>
                    <w:adjustRightInd w:val="0"/>
                    <w:snapToGrid w:val="0"/>
                    <w:jc w:val="center"/>
                    <w:rPr>
                      <w:rFonts w:eastAsiaTheme="minorEastAsia"/>
                      <w:bCs/>
                      <w:color w:val="auto"/>
                      <w:szCs w:val="21"/>
                    </w:rPr>
                  </w:pPr>
                  <w:r>
                    <w:rPr>
                      <w:rFonts w:hint="eastAsia" w:eastAsiaTheme="minorEastAsia"/>
                      <w:bCs/>
                      <w:color w:val="auto"/>
                      <w:szCs w:val="21"/>
                    </w:rPr>
                    <w:t>/</w:t>
                  </w:r>
                </w:p>
              </w:tc>
              <w:tc>
                <w:tcPr>
                  <w:tcW w:w="642" w:type="pct"/>
                  <w:tcBorders>
                    <w:tl2br w:val="nil"/>
                    <w:tr2bl w:val="nil"/>
                  </w:tcBorders>
                  <w:vAlign w:val="center"/>
                </w:tcPr>
                <w:p w14:paraId="50F27717">
                  <w:pPr>
                    <w:adjustRightInd w:val="0"/>
                    <w:snapToGrid w:val="0"/>
                    <w:jc w:val="center"/>
                    <w:rPr>
                      <w:rFonts w:eastAsiaTheme="minorEastAsia"/>
                      <w:bCs/>
                      <w:color w:val="auto"/>
                      <w:szCs w:val="21"/>
                    </w:rPr>
                  </w:pPr>
                  <w:r>
                    <w:rPr>
                      <w:rFonts w:hint="eastAsia" w:eastAsiaTheme="minorEastAsia"/>
                      <w:bCs/>
                      <w:color w:val="auto"/>
                      <w:szCs w:val="21"/>
                    </w:rPr>
                    <w:t>37</w:t>
                  </w:r>
                </w:p>
              </w:tc>
            </w:tr>
            <w:tr w14:paraId="6CBCEE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31A5B794">
                  <w:pPr>
                    <w:adjustRightInd w:val="0"/>
                    <w:snapToGrid w:val="0"/>
                    <w:jc w:val="center"/>
                    <w:rPr>
                      <w:bCs/>
                      <w:color w:val="auto"/>
                      <w:szCs w:val="21"/>
                    </w:rPr>
                  </w:pPr>
                  <w:r>
                    <w:rPr>
                      <w:rFonts w:hint="eastAsia"/>
                      <w:bCs/>
                      <w:color w:val="auto"/>
                      <w:szCs w:val="21"/>
                    </w:rPr>
                    <w:t>12</w:t>
                  </w:r>
                </w:p>
              </w:tc>
              <w:tc>
                <w:tcPr>
                  <w:tcW w:w="679" w:type="pct"/>
                  <w:vMerge w:val="continue"/>
                  <w:tcBorders>
                    <w:tl2br w:val="nil"/>
                    <w:tr2bl w:val="nil"/>
                  </w:tcBorders>
                  <w:vAlign w:val="center"/>
                </w:tcPr>
                <w:p w14:paraId="4C85BF7D">
                  <w:pPr>
                    <w:adjustRightInd w:val="0"/>
                    <w:snapToGrid w:val="0"/>
                    <w:jc w:val="center"/>
                    <w:rPr>
                      <w:rFonts w:ascii="Segoe UI" w:hAnsi="Segoe UI" w:cs="Segoe UI"/>
                      <w:color w:val="auto"/>
                      <w:sz w:val="19"/>
                      <w:szCs w:val="19"/>
                      <w:shd w:val="clear" w:color="auto" w:fill="FFFFFF"/>
                    </w:rPr>
                  </w:pPr>
                </w:p>
              </w:tc>
              <w:tc>
                <w:tcPr>
                  <w:tcW w:w="640" w:type="pct"/>
                  <w:tcBorders>
                    <w:tl2br w:val="nil"/>
                    <w:tr2bl w:val="nil"/>
                  </w:tcBorders>
                  <w:vAlign w:val="center"/>
                </w:tcPr>
                <w:p w14:paraId="2D3C9036">
                  <w:pPr>
                    <w:adjustRightInd w:val="0"/>
                    <w:snapToGrid w:val="0"/>
                    <w:jc w:val="center"/>
                    <w:rPr>
                      <w:rFonts w:eastAsiaTheme="minorEastAsia"/>
                      <w:bCs/>
                      <w:color w:val="auto"/>
                      <w:szCs w:val="21"/>
                    </w:rPr>
                  </w:pPr>
                  <w:r>
                    <w:rPr>
                      <w:rFonts w:hint="eastAsia" w:eastAsiaTheme="minorEastAsia"/>
                      <w:bCs/>
                      <w:color w:val="auto"/>
                      <w:szCs w:val="21"/>
                    </w:rPr>
                    <w:t>热弯机</w:t>
                  </w:r>
                </w:p>
              </w:tc>
              <w:tc>
                <w:tcPr>
                  <w:tcW w:w="570" w:type="pct"/>
                  <w:tcBorders>
                    <w:tl2br w:val="nil"/>
                    <w:tr2bl w:val="nil"/>
                  </w:tcBorders>
                  <w:vAlign w:val="center"/>
                </w:tcPr>
                <w:p w14:paraId="6F25FBBB">
                  <w:pPr>
                    <w:adjustRightInd w:val="0"/>
                    <w:snapToGrid w:val="0"/>
                    <w:jc w:val="center"/>
                    <w:rPr>
                      <w:rFonts w:eastAsiaTheme="minorEastAsia"/>
                      <w:bCs/>
                      <w:color w:val="auto"/>
                      <w:szCs w:val="21"/>
                    </w:rPr>
                  </w:pPr>
                  <w:r>
                    <w:rPr>
                      <w:rFonts w:hint="eastAsia" w:eastAsiaTheme="minorEastAsia"/>
                      <w:bCs/>
                      <w:color w:val="auto"/>
                      <w:szCs w:val="21"/>
                    </w:rPr>
                    <w:t>112</w:t>
                  </w:r>
                </w:p>
              </w:tc>
              <w:tc>
                <w:tcPr>
                  <w:tcW w:w="1581" w:type="pct"/>
                  <w:tcBorders>
                    <w:tl2br w:val="nil"/>
                    <w:tr2bl w:val="nil"/>
                  </w:tcBorders>
                  <w:vAlign w:val="center"/>
                </w:tcPr>
                <w:p w14:paraId="17109494">
                  <w:pPr>
                    <w:adjustRightInd w:val="0"/>
                    <w:snapToGrid w:val="0"/>
                    <w:jc w:val="center"/>
                    <w:rPr>
                      <w:rFonts w:eastAsiaTheme="minorEastAsia"/>
                      <w:bCs/>
                      <w:color w:val="auto"/>
                      <w:szCs w:val="21"/>
                    </w:rPr>
                  </w:pPr>
                  <w:r>
                    <w:rPr>
                      <w:rFonts w:hint="eastAsia" w:eastAsiaTheme="minorEastAsia"/>
                      <w:bCs/>
                      <w:color w:val="auto"/>
                      <w:szCs w:val="21"/>
                    </w:rPr>
                    <w:t>YQ-W460型</w:t>
                  </w:r>
                </w:p>
              </w:tc>
              <w:tc>
                <w:tcPr>
                  <w:tcW w:w="466" w:type="pct"/>
                  <w:tcBorders>
                    <w:tl2br w:val="nil"/>
                    <w:tr2bl w:val="nil"/>
                  </w:tcBorders>
                  <w:vAlign w:val="center"/>
                </w:tcPr>
                <w:p w14:paraId="686C2CF4">
                  <w:pPr>
                    <w:adjustRightInd w:val="0"/>
                    <w:snapToGrid w:val="0"/>
                    <w:jc w:val="center"/>
                    <w:rPr>
                      <w:rFonts w:eastAsiaTheme="minorEastAsia"/>
                      <w:bCs/>
                      <w:color w:val="auto"/>
                      <w:szCs w:val="21"/>
                    </w:rPr>
                  </w:pPr>
                  <w:r>
                    <w:rPr>
                      <w:rFonts w:hint="eastAsia" w:eastAsiaTheme="minorEastAsia"/>
                      <w:bCs/>
                      <w:color w:val="auto"/>
                      <w:szCs w:val="21"/>
                    </w:rPr>
                    <w:t>3台</w:t>
                  </w:r>
                </w:p>
              </w:tc>
              <w:tc>
                <w:tcPr>
                  <w:tcW w:w="642" w:type="pct"/>
                  <w:tcBorders>
                    <w:tl2br w:val="nil"/>
                    <w:tr2bl w:val="nil"/>
                  </w:tcBorders>
                  <w:vAlign w:val="center"/>
                </w:tcPr>
                <w:p w14:paraId="018B09F7">
                  <w:pPr>
                    <w:adjustRightInd w:val="0"/>
                    <w:snapToGrid w:val="0"/>
                    <w:jc w:val="center"/>
                    <w:rPr>
                      <w:rFonts w:eastAsiaTheme="minorEastAsia"/>
                      <w:bCs/>
                      <w:color w:val="auto"/>
                      <w:szCs w:val="21"/>
                    </w:rPr>
                  </w:pPr>
                  <w:r>
                    <w:rPr>
                      <w:rFonts w:hint="eastAsia" w:eastAsiaTheme="minorEastAsia"/>
                      <w:bCs/>
                      <w:color w:val="auto"/>
                      <w:szCs w:val="21"/>
                    </w:rPr>
                    <w:t>336</w:t>
                  </w:r>
                </w:p>
              </w:tc>
            </w:tr>
            <w:tr w14:paraId="32E4BC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313AE9BD">
                  <w:pPr>
                    <w:adjustRightInd w:val="0"/>
                    <w:snapToGrid w:val="0"/>
                    <w:jc w:val="center"/>
                    <w:rPr>
                      <w:bCs/>
                      <w:color w:val="auto"/>
                      <w:szCs w:val="21"/>
                    </w:rPr>
                  </w:pPr>
                  <w:r>
                    <w:rPr>
                      <w:rFonts w:hint="eastAsia"/>
                      <w:bCs/>
                      <w:color w:val="auto"/>
                      <w:szCs w:val="21"/>
                    </w:rPr>
                    <w:t>13</w:t>
                  </w:r>
                </w:p>
              </w:tc>
              <w:tc>
                <w:tcPr>
                  <w:tcW w:w="679" w:type="pct"/>
                  <w:vMerge w:val="continue"/>
                  <w:tcBorders>
                    <w:tl2br w:val="nil"/>
                    <w:tr2bl w:val="nil"/>
                  </w:tcBorders>
                  <w:vAlign w:val="center"/>
                </w:tcPr>
                <w:p w14:paraId="3A0716A1">
                  <w:pPr>
                    <w:adjustRightInd w:val="0"/>
                    <w:snapToGrid w:val="0"/>
                    <w:jc w:val="center"/>
                    <w:rPr>
                      <w:rFonts w:ascii="Segoe UI" w:hAnsi="Segoe UI" w:cs="Segoe UI"/>
                      <w:color w:val="auto"/>
                      <w:sz w:val="19"/>
                      <w:szCs w:val="19"/>
                      <w:shd w:val="clear" w:color="auto" w:fill="FFFFFF"/>
                    </w:rPr>
                  </w:pPr>
                </w:p>
              </w:tc>
              <w:tc>
                <w:tcPr>
                  <w:tcW w:w="640" w:type="pct"/>
                  <w:tcBorders>
                    <w:tl2br w:val="nil"/>
                    <w:tr2bl w:val="nil"/>
                  </w:tcBorders>
                  <w:vAlign w:val="center"/>
                </w:tcPr>
                <w:p w14:paraId="6A3253B5">
                  <w:pPr>
                    <w:adjustRightInd w:val="0"/>
                    <w:snapToGrid w:val="0"/>
                    <w:jc w:val="center"/>
                    <w:rPr>
                      <w:rFonts w:eastAsiaTheme="minorEastAsia"/>
                      <w:bCs/>
                      <w:color w:val="auto"/>
                      <w:szCs w:val="21"/>
                    </w:rPr>
                  </w:pPr>
                  <w:r>
                    <w:rPr>
                      <w:rFonts w:hint="eastAsia" w:eastAsiaTheme="minorEastAsia"/>
                      <w:bCs/>
                      <w:color w:val="auto"/>
                      <w:szCs w:val="21"/>
                    </w:rPr>
                    <w:t>悬吊臂</w:t>
                  </w:r>
                </w:p>
              </w:tc>
              <w:tc>
                <w:tcPr>
                  <w:tcW w:w="570" w:type="pct"/>
                  <w:tcBorders>
                    <w:tl2br w:val="nil"/>
                    <w:tr2bl w:val="nil"/>
                  </w:tcBorders>
                  <w:vAlign w:val="center"/>
                </w:tcPr>
                <w:p w14:paraId="7CCDE8A0">
                  <w:pPr>
                    <w:adjustRightInd w:val="0"/>
                    <w:snapToGrid w:val="0"/>
                    <w:jc w:val="center"/>
                    <w:rPr>
                      <w:rFonts w:eastAsiaTheme="minorEastAsia"/>
                      <w:bCs/>
                      <w:color w:val="auto"/>
                      <w:szCs w:val="21"/>
                    </w:rPr>
                  </w:pPr>
                  <w:r>
                    <w:rPr>
                      <w:rFonts w:hint="eastAsia" w:eastAsiaTheme="minorEastAsia"/>
                      <w:bCs/>
                      <w:color w:val="auto"/>
                      <w:szCs w:val="21"/>
                    </w:rPr>
                    <w:t>1.5</w:t>
                  </w:r>
                </w:p>
              </w:tc>
              <w:tc>
                <w:tcPr>
                  <w:tcW w:w="1581" w:type="pct"/>
                  <w:tcBorders>
                    <w:tl2br w:val="nil"/>
                    <w:tr2bl w:val="nil"/>
                  </w:tcBorders>
                  <w:vAlign w:val="center"/>
                </w:tcPr>
                <w:p w14:paraId="447F3C5C">
                  <w:pPr>
                    <w:adjustRightInd w:val="0"/>
                    <w:snapToGrid w:val="0"/>
                    <w:jc w:val="center"/>
                    <w:rPr>
                      <w:rFonts w:eastAsiaTheme="minorEastAsia"/>
                      <w:bCs/>
                      <w:color w:val="auto"/>
                      <w:szCs w:val="21"/>
                    </w:rPr>
                  </w:pPr>
                  <w:r>
                    <w:rPr>
                      <w:rFonts w:hint="eastAsia" w:eastAsiaTheme="minorEastAsia"/>
                      <w:bCs/>
                      <w:color w:val="auto"/>
                      <w:szCs w:val="21"/>
                    </w:rPr>
                    <w:t>500Kg</w:t>
                  </w:r>
                </w:p>
              </w:tc>
              <w:tc>
                <w:tcPr>
                  <w:tcW w:w="466" w:type="pct"/>
                  <w:tcBorders>
                    <w:tl2br w:val="nil"/>
                    <w:tr2bl w:val="nil"/>
                  </w:tcBorders>
                  <w:vAlign w:val="center"/>
                </w:tcPr>
                <w:p w14:paraId="269B1298">
                  <w:pPr>
                    <w:adjustRightInd w:val="0"/>
                    <w:snapToGrid w:val="0"/>
                    <w:jc w:val="center"/>
                    <w:rPr>
                      <w:rFonts w:eastAsiaTheme="minorEastAsia"/>
                      <w:bCs/>
                      <w:color w:val="auto"/>
                      <w:szCs w:val="21"/>
                    </w:rPr>
                  </w:pPr>
                  <w:r>
                    <w:rPr>
                      <w:rFonts w:hint="eastAsia" w:eastAsiaTheme="minorEastAsia"/>
                      <w:bCs/>
                      <w:color w:val="auto"/>
                      <w:szCs w:val="21"/>
                    </w:rPr>
                    <w:t>3台</w:t>
                  </w:r>
                </w:p>
              </w:tc>
              <w:tc>
                <w:tcPr>
                  <w:tcW w:w="642" w:type="pct"/>
                  <w:tcBorders>
                    <w:tl2br w:val="nil"/>
                    <w:tr2bl w:val="nil"/>
                  </w:tcBorders>
                  <w:vAlign w:val="center"/>
                </w:tcPr>
                <w:p w14:paraId="40085320">
                  <w:pPr>
                    <w:adjustRightInd w:val="0"/>
                    <w:snapToGrid w:val="0"/>
                    <w:jc w:val="center"/>
                    <w:rPr>
                      <w:rFonts w:eastAsiaTheme="minorEastAsia"/>
                      <w:bCs/>
                      <w:color w:val="auto"/>
                      <w:szCs w:val="21"/>
                    </w:rPr>
                  </w:pPr>
                  <w:r>
                    <w:rPr>
                      <w:rFonts w:hint="eastAsia" w:eastAsiaTheme="minorEastAsia"/>
                      <w:bCs/>
                      <w:color w:val="auto"/>
                      <w:szCs w:val="21"/>
                    </w:rPr>
                    <w:t>4.5</w:t>
                  </w:r>
                </w:p>
              </w:tc>
            </w:tr>
            <w:tr w14:paraId="6B3259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53F0F972">
                  <w:pPr>
                    <w:adjustRightInd w:val="0"/>
                    <w:snapToGrid w:val="0"/>
                    <w:jc w:val="center"/>
                    <w:rPr>
                      <w:bCs/>
                      <w:color w:val="auto"/>
                      <w:szCs w:val="21"/>
                    </w:rPr>
                  </w:pPr>
                  <w:r>
                    <w:rPr>
                      <w:rFonts w:hint="eastAsia"/>
                      <w:bCs/>
                      <w:color w:val="auto"/>
                      <w:szCs w:val="21"/>
                    </w:rPr>
                    <w:t>14</w:t>
                  </w:r>
                </w:p>
              </w:tc>
              <w:tc>
                <w:tcPr>
                  <w:tcW w:w="679" w:type="pct"/>
                  <w:vMerge w:val="continue"/>
                  <w:tcBorders>
                    <w:tl2br w:val="nil"/>
                    <w:tr2bl w:val="nil"/>
                  </w:tcBorders>
                  <w:vAlign w:val="center"/>
                </w:tcPr>
                <w:p w14:paraId="77E2AEFA">
                  <w:pPr>
                    <w:adjustRightInd w:val="0"/>
                    <w:snapToGrid w:val="0"/>
                    <w:jc w:val="center"/>
                    <w:rPr>
                      <w:rFonts w:ascii="Segoe UI" w:hAnsi="Segoe UI" w:cs="Segoe UI"/>
                      <w:color w:val="auto"/>
                      <w:sz w:val="19"/>
                      <w:szCs w:val="19"/>
                      <w:shd w:val="clear" w:color="auto" w:fill="FFFFFF"/>
                    </w:rPr>
                  </w:pPr>
                </w:p>
              </w:tc>
              <w:tc>
                <w:tcPr>
                  <w:tcW w:w="640" w:type="pct"/>
                  <w:tcBorders>
                    <w:tl2br w:val="nil"/>
                    <w:tr2bl w:val="nil"/>
                  </w:tcBorders>
                  <w:vAlign w:val="center"/>
                </w:tcPr>
                <w:p w14:paraId="4BD83B0E">
                  <w:pPr>
                    <w:adjustRightInd w:val="0"/>
                    <w:snapToGrid w:val="0"/>
                    <w:jc w:val="center"/>
                    <w:rPr>
                      <w:rFonts w:eastAsiaTheme="minorEastAsia"/>
                      <w:bCs/>
                      <w:color w:val="auto"/>
                      <w:szCs w:val="21"/>
                    </w:rPr>
                  </w:pPr>
                  <w:r>
                    <w:rPr>
                      <w:rFonts w:hint="eastAsia" w:eastAsiaTheme="minorEastAsia"/>
                      <w:bCs/>
                      <w:color w:val="auto"/>
                      <w:szCs w:val="21"/>
                    </w:rPr>
                    <w:t>辅助及辊道电机</w:t>
                  </w:r>
                </w:p>
              </w:tc>
              <w:tc>
                <w:tcPr>
                  <w:tcW w:w="570" w:type="pct"/>
                  <w:tcBorders>
                    <w:tl2br w:val="nil"/>
                    <w:tr2bl w:val="nil"/>
                  </w:tcBorders>
                  <w:vAlign w:val="center"/>
                </w:tcPr>
                <w:p w14:paraId="7DEF0EA9">
                  <w:pPr>
                    <w:adjustRightInd w:val="0"/>
                    <w:snapToGrid w:val="0"/>
                    <w:jc w:val="center"/>
                    <w:rPr>
                      <w:rFonts w:eastAsiaTheme="minorEastAsia"/>
                      <w:bCs/>
                      <w:color w:val="auto"/>
                      <w:szCs w:val="21"/>
                    </w:rPr>
                  </w:pPr>
                  <w:r>
                    <w:rPr>
                      <w:rFonts w:hint="eastAsia" w:eastAsiaTheme="minorEastAsia"/>
                      <w:bCs/>
                      <w:color w:val="auto"/>
                      <w:szCs w:val="21"/>
                    </w:rPr>
                    <w:t>90</w:t>
                  </w:r>
                </w:p>
              </w:tc>
              <w:tc>
                <w:tcPr>
                  <w:tcW w:w="1581" w:type="pct"/>
                  <w:tcBorders>
                    <w:tl2br w:val="nil"/>
                    <w:tr2bl w:val="nil"/>
                  </w:tcBorders>
                  <w:vAlign w:val="center"/>
                </w:tcPr>
                <w:p w14:paraId="78A96619">
                  <w:pPr>
                    <w:adjustRightInd w:val="0"/>
                    <w:snapToGrid w:val="0"/>
                    <w:jc w:val="center"/>
                    <w:rPr>
                      <w:rFonts w:eastAsiaTheme="minorEastAsia"/>
                      <w:bCs/>
                      <w:color w:val="auto"/>
                      <w:szCs w:val="21"/>
                    </w:rPr>
                  </w:pPr>
                  <w:r>
                    <w:rPr>
                      <w:rFonts w:hint="eastAsia" w:eastAsiaTheme="minorEastAsia"/>
                      <w:bCs/>
                      <w:color w:val="auto"/>
                      <w:szCs w:val="21"/>
                    </w:rPr>
                    <w:t>/</w:t>
                  </w:r>
                </w:p>
              </w:tc>
              <w:tc>
                <w:tcPr>
                  <w:tcW w:w="466" w:type="pct"/>
                  <w:tcBorders>
                    <w:tl2br w:val="nil"/>
                    <w:tr2bl w:val="nil"/>
                  </w:tcBorders>
                  <w:vAlign w:val="center"/>
                </w:tcPr>
                <w:p w14:paraId="04B0F1F8">
                  <w:pPr>
                    <w:adjustRightInd w:val="0"/>
                    <w:snapToGrid w:val="0"/>
                    <w:jc w:val="center"/>
                    <w:rPr>
                      <w:rFonts w:eastAsiaTheme="minorEastAsia"/>
                      <w:bCs/>
                      <w:color w:val="auto"/>
                      <w:szCs w:val="21"/>
                    </w:rPr>
                  </w:pPr>
                  <w:r>
                    <w:rPr>
                      <w:rFonts w:hint="eastAsia" w:eastAsiaTheme="minorEastAsia"/>
                      <w:bCs/>
                      <w:color w:val="auto"/>
                      <w:szCs w:val="21"/>
                    </w:rPr>
                    <w:t>/</w:t>
                  </w:r>
                </w:p>
              </w:tc>
              <w:tc>
                <w:tcPr>
                  <w:tcW w:w="642" w:type="pct"/>
                  <w:tcBorders>
                    <w:tl2br w:val="nil"/>
                    <w:tr2bl w:val="nil"/>
                  </w:tcBorders>
                  <w:vAlign w:val="center"/>
                </w:tcPr>
                <w:p w14:paraId="4DC0AB5B">
                  <w:pPr>
                    <w:adjustRightInd w:val="0"/>
                    <w:snapToGrid w:val="0"/>
                    <w:jc w:val="center"/>
                    <w:rPr>
                      <w:rFonts w:eastAsiaTheme="minorEastAsia"/>
                      <w:bCs/>
                      <w:color w:val="auto"/>
                      <w:szCs w:val="21"/>
                    </w:rPr>
                  </w:pPr>
                  <w:r>
                    <w:rPr>
                      <w:rFonts w:hint="eastAsia" w:eastAsiaTheme="minorEastAsia"/>
                      <w:bCs/>
                      <w:color w:val="auto"/>
                      <w:szCs w:val="21"/>
                    </w:rPr>
                    <w:t>410</w:t>
                  </w:r>
                </w:p>
              </w:tc>
            </w:tr>
            <w:tr w14:paraId="2169D5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69E65DB2">
                  <w:pPr>
                    <w:adjustRightInd w:val="0"/>
                    <w:snapToGrid w:val="0"/>
                    <w:jc w:val="center"/>
                    <w:rPr>
                      <w:bCs/>
                      <w:color w:val="auto"/>
                      <w:szCs w:val="21"/>
                    </w:rPr>
                  </w:pPr>
                  <w:r>
                    <w:rPr>
                      <w:rFonts w:hint="eastAsia"/>
                      <w:bCs/>
                      <w:color w:val="auto"/>
                      <w:szCs w:val="21"/>
                    </w:rPr>
                    <w:t>15</w:t>
                  </w:r>
                </w:p>
              </w:tc>
              <w:tc>
                <w:tcPr>
                  <w:tcW w:w="679" w:type="pct"/>
                  <w:vMerge w:val="restart"/>
                  <w:tcBorders>
                    <w:tl2br w:val="nil"/>
                    <w:tr2bl w:val="nil"/>
                  </w:tcBorders>
                  <w:vAlign w:val="center"/>
                </w:tcPr>
                <w:p w14:paraId="4E3ECB08">
                  <w:pPr>
                    <w:adjustRightInd w:val="0"/>
                    <w:snapToGrid w:val="0"/>
                    <w:jc w:val="center"/>
                    <w:rPr>
                      <w:rFonts w:eastAsiaTheme="minorEastAsia"/>
                      <w:bCs/>
                      <w:color w:val="auto"/>
                      <w:szCs w:val="21"/>
                    </w:rPr>
                  </w:pPr>
                  <w:r>
                    <w:rPr>
                      <w:rFonts w:hint="eastAsia" w:eastAsiaTheme="minorEastAsia"/>
                      <w:bCs/>
                      <w:color w:val="auto"/>
                      <w:szCs w:val="21"/>
                    </w:rPr>
                    <w:t>加工线</w:t>
                  </w:r>
                </w:p>
              </w:tc>
              <w:tc>
                <w:tcPr>
                  <w:tcW w:w="640" w:type="pct"/>
                  <w:tcBorders>
                    <w:tl2br w:val="nil"/>
                    <w:tr2bl w:val="nil"/>
                  </w:tcBorders>
                  <w:vAlign w:val="center"/>
                </w:tcPr>
                <w:p w14:paraId="79276CE1">
                  <w:pPr>
                    <w:adjustRightInd w:val="0"/>
                    <w:snapToGrid w:val="0"/>
                    <w:jc w:val="center"/>
                    <w:rPr>
                      <w:rFonts w:eastAsiaTheme="minorEastAsia"/>
                      <w:bCs/>
                      <w:color w:val="auto"/>
                      <w:szCs w:val="21"/>
                    </w:rPr>
                  </w:pPr>
                  <w:r>
                    <w:rPr>
                      <w:rFonts w:hint="eastAsia" w:eastAsiaTheme="minorEastAsia"/>
                      <w:bCs/>
                      <w:color w:val="auto"/>
                      <w:szCs w:val="21"/>
                    </w:rPr>
                    <w:t>半门吊</w:t>
                  </w:r>
                </w:p>
              </w:tc>
              <w:tc>
                <w:tcPr>
                  <w:tcW w:w="570" w:type="pct"/>
                  <w:tcBorders>
                    <w:tl2br w:val="nil"/>
                    <w:tr2bl w:val="nil"/>
                  </w:tcBorders>
                  <w:vAlign w:val="center"/>
                </w:tcPr>
                <w:p w14:paraId="6A6647F4">
                  <w:pPr>
                    <w:adjustRightInd w:val="0"/>
                    <w:snapToGrid w:val="0"/>
                    <w:jc w:val="center"/>
                    <w:rPr>
                      <w:rFonts w:eastAsiaTheme="minorEastAsia"/>
                      <w:bCs/>
                      <w:color w:val="auto"/>
                      <w:szCs w:val="21"/>
                    </w:rPr>
                  </w:pPr>
                  <w:r>
                    <w:rPr>
                      <w:rFonts w:hint="eastAsia" w:eastAsiaTheme="minorEastAsia"/>
                      <w:bCs/>
                      <w:color w:val="auto"/>
                      <w:szCs w:val="21"/>
                    </w:rPr>
                    <w:t>5.5</w:t>
                  </w:r>
                </w:p>
              </w:tc>
              <w:tc>
                <w:tcPr>
                  <w:tcW w:w="1581" w:type="pct"/>
                  <w:tcBorders>
                    <w:tl2br w:val="nil"/>
                    <w:tr2bl w:val="nil"/>
                  </w:tcBorders>
                  <w:vAlign w:val="center"/>
                </w:tcPr>
                <w:p w14:paraId="647B9729">
                  <w:pPr>
                    <w:adjustRightInd w:val="0"/>
                    <w:snapToGrid w:val="0"/>
                    <w:jc w:val="center"/>
                    <w:rPr>
                      <w:rFonts w:eastAsiaTheme="minorEastAsia"/>
                      <w:bCs/>
                      <w:color w:val="auto"/>
                      <w:szCs w:val="21"/>
                    </w:rPr>
                  </w:pPr>
                  <w:r>
                    <w:rPr>
                      <w:rFonts w:hint="eastAsia" w:eastAsiaTheme="minorEastAsia"/>
                      <w:bCs/>
                      <w:color w:val="auto"/>
                      <w:szCs w:val="21"/>
                    </w:rPr>
                    <w:t>YQ-S380</w:t>
                  </w:r>
                </w:p>
              </w:tc>
              <w:tc>
                <w:tcPr>
                  <w:tcW w:w="466" w:type="pct"/>
                  <w:tcBorders>
                    <w:tl2br w:val="nil"/>
                    <w:tr2bl w:val="nil"/>
                  </w:tcBorders>
                  <w:vAlign w:val="center"/>
                </w:tcPr>
                <w:p w14:paraId="3C478D75">
                  <w:pPr>
                    <w:adjustRightInd w:val="0"/>
                    <w:snapToGrid w:val="0"/>
                    <w:jc w:val="center"/>
                    <w:rPr>
                      <w:rFonts w:eastAsiaTheme="minorEastAsia"/>
                      <w:bCs/>
                      <w:color w:val="auto"/>
                      <w:szCs w:val="21"/>
                    </w:rPr>
                  </w:pPr>
                  <w:r>
                    <w:rPr>
                      <w:rFonts w:hint="eastAsia" w:eastAsiaTheme="minorEastAsia"/>
                      <w:bCs/>
                      <w:color w:val="auto"/>
                      <w:szCs w:val="21"/>
                    </w:rPr>
                    <w:t>2</w:t>
                  </w:r>
                </w:p>
              </w:tc>
              <w:tc>
                <w:tcPr>
                  <w:tcW w:w="642" w:type="pct"/>
                  <w:tcBorders>
                    <w:tl2br w:val="nil"/>
                    <w:tr2bl w:val="nil"/>
                  </w:tcBorders>
                  <w:vAlign w:val="center"/>
                </w:tcPr>
                <w:p w14:paraId="11110962">
                  <w:pPr>
                    <w:adjustRightInd w:val="0"/>
                    <w:snapToGrid w:val="0"/>
                    <w:jc w:val="center"/>
                    <w:rPr>
                      <w:rFonts w:eastAsiaTheme="minorEastAsia"/>
                      <w:bCs/>
                      <w:color w:val="auto"/>
                      <w:szCs w:val="21"/>
                    </w:rPr>
                  </w:pPr>
                  <w:r>
                    <w:rPr>
                      <w:rFonts w:hint="eastAsia" w:eastAsiaTheme="minorEastAsia"/>
                      <w:bCs/>
                      <w:color w:val="auto"/>
                      <w:szCs w:val="21"/>
                    </w:rPr>
                    <w:t>11</w:t>
                  </w:r>
                </w:p>
              </w:tc>
            </w:tr>
            <w:tr w14:paraId="74AC67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24514002">
                  <w:pPr>
                    <w:adjustRightInd w:val="0"/>
                    <w:snapToGrid w:val="0"/>
                    <w:jc w:val="center"/>
                    <w:rPr>
                      <w:bCs/>
                      <w:color w:val="auto"/>
                      <w:szCs w:val="21"/>
                    </w:rPr>
                  </w:pPr>
                  <w:r>
                    <w:rPr>
                      <w:rFonts w:hint="eastAsia"/>
                      <w:bCs/>
                      <w:color w:val="auto"/>
                      <w:szCs w:val="21"/>
                    </w:rPr>
                    <w:t>16</w:t>
                  </w:r>
                </w:p>
              </w:tc>
              <w:tc>
                <w:tcPr>
                  <w:tcW w:w="679" w:type="pct"/>
                  <w:vMerge w:val="continue"/>
                  <w:tcBorders>
                    <w:tl2br w:val="nil"/>
                    <w:tr2bl w:val="nil"/>
                  </w:tcBorders>
                  <w:vAlign w:val="center"/>
                </w:tcPr>
                <w:p w14:paraId="1D0FB143">
                  <w:pPr>
                    <w:adjustRightInd w:val="0"/>
                    <w:snapToGrid w:val="0"/>
                    <w:jc w:val="center"/>
                    <w:rPr>
                      <w:rFonts w:eastAsiaTheme="minorEastAsia"/>
                      <w:bCs/>
                      <w:color w:val="auto"/>
                      <w:szCs w:val="21"/>
                    </w:rPr>
                  </w:pPr>
                </w:p>
              </w:tc>
              <w:tc>
                <w:tcPr>
                  <w:tcW w:w="640" w:type="pct"/>
                  <w:tcBorders>
                    <w:tl2br w:val="nil"/>
                    <w:tr2bl w:val="nil"/>
                  </w:tcBorders>
                  <w:vAlign w:val="center"/>
                </w:tcPr>
                <w:p w14:paraId="630B2F41">
                  <w:pPr>
                    <w:adjustRightInd w:val="0"/>
                    <w:snapToGrid w:val="0"/>
                    <w:jc w:val="center"/>
                    <w:rPr>
                      <w:rFonts w:eastAsiaTheme="minorEastAsia"/>
                      <w:bCs/>
                      <w:color w:val="auto"/>
                      <w:szCs w:val="21"/>
                    </w:rPr>
                  </w:pPr>
                  <w:r>
                    <w:rPr>
                      <w:rFonts w:hint="eastAsia" w:eastAsiaTheme="minorEastAsia"/>
                      <w:bCs/>
                      <w:color w:val="auto"/>
                      <w:szCs w:val="21"/>
                    </w:rPr>
                    <w:t>旋平机</w:t>
                  </w:r>
                </w:p>
              </w:tc>
              <w:tc>
                <w:tcPr>
                  <w:tcW w:w="570" w:type="pct"/>
                  <w:tcBorders>
                    <w:tl2br w:val="nil"/>
                    <w:tr2bl w:val="nil"/>
                  </w:tcBorders>
                  <w:vAlign w:val="center"/>
                </w:tcPr>
                <w:p w14:paraId="32610F3D">
                  <w:pPr>
                    <w:adjustRightInd w:val="0"/>
                    <w:snapToGrid w:val="0"/>
                    <w:jc w:val="center"/>
                    <w:rPr>
                      <w:rFonts w:eastAsiaTheme="minorEastAsia"/>
                      <w:bCs/>
                      <w:color w:val="auto"/>
                      <w:szCs w:val="21"/>
                    </w:rPr>
                  </w:pPr>
                  <w:r>
                    <w:rPr>
                      <w:rFonts w:hint="eastAsia" w:eastAsiaTheme="minorEastAsia"/>
                      <w:bCs/>
                      <w:color w:val="auto"/>
                      <w:szCs w:val="21"/>
                    </w:rPr>
                    <w:t>35</w:t>
                  </w:r>
                </w:p>
              </w:tc>
              <w:tc>
                <w:tcPr>
                  <w:tcW w:w="1581" w:type="pct"/>
                  <w:tcBorders>
                    <w:tl2br w:val="nil"/>
                    <w:tr2bl w:val="nil"/>
                  </w:tcBorders>
                  <w:vAlign w:val="center"/>
                </w:tcPr>
                <w:p w14:paraId="4B3B830D">
                  <w:pPr>
                    <w:adjustRightInd w:val="0"/>
                    <w:snapToGrid w:val="0"/>
                    <w:jc w:val="center"/>
                    <w:rPr>
                      <w:rFonts w:eastAsiaTheme="minorEastAsia"/>
                      <w:bCs/>
                      <w:color w:val="auto"/>
                      <w:szCs w:val="21"/>
                    </w:rPr>
                  </w:pPr>
                  <w:r>
                    <w:rPr>
                      <w:rFonts w:hint="eastAsia" w:eastAsiaTheme="minorEastAsia"/>
                      <w:bCs/>
                      <w:color w:val="auto"/>
                      <w:szCs w:val="21"/>
                    </w:rPr>
                    <w:t>YQ-S380</w:t>
                  </w:r>
                </w:p>
              </w:tc>
              <w:tc>
                <w:tcPr>
                  <w:tcW w:w="466" w:type="pct"/>
                  <w:tcBorders>
                    <w:tl2br w:val="nil"/>
                    <w:tr2bl w:val="nil"/>
                  </w:tcBorders>
                  <w:vAlign w:val="center"/>
                </w:tcPr>
                <w:p w14:paraId="604239DB">
                  <w:pPr>
                    <w:adjustRightInd w:val="0"/>
                    <w:snapToGrid w:val="0"/>
                    <w:jc w:val="center"/>
                    <w:rPr>
                      <w:rFonts w:eastAsiaTheme="minorEastAsia"/>
                      <w:bCs/>
                      <w:color w:val="auto"/>
                      <w:szCs w:val="21"/>
                    </w:rPr>
                  </w:pPr>
                  <w:r>
                    <w:rPr>
                      <w:rFonts w:hint="eastAsia" w:eastAsiaTheme="minorEastAsia"/>
                      <w:bCs/>
                      <w:color w:val="auto"/>
                      <w:szCs w:val="21"/>
                    </w:rPr>
                    <w:t>6</w:t>
                  </w:r>
                </w:p>
              </w:tc>
              <w:tc>
                <w:tcPr>
                  <w:tcW w:w="642" w:type="pct"/>
                  <w:tcBorders>
                    <w:tl2br w:val="nil"/>
                    <w:tr2bl w:val="nil"/>
                  </w:tcBorders>
                  <w:vAlign w:val="center"/>
                </w:tcPr>
                <w:p w14:paraId="639F3F0B">
                  <w:pPr>
                    <w:adjustRightInd w:val="0"/>
                    <w:snapToGrid w:val="0"/>
                    <w:jc w:val="center"/>
                    <w:rPr>
                      <w:rFonts w:eastAsiaTheme="minorEastAsia"/>
                      <w:bCs/>
                      <w:color w:val="auto"/>
                      <w:szCs w:val="21"/>
                    </w:rPr>
                  </w:pPr>
                  <w:r>
                    <w:rPr>
                      <w:rFonts w:hint="eastAsia" w:eastAsiaTheme="minorEastAsia"/>
                      <w:bCs/>
                      <w:color w:val="auto"/>
                      <w:szCs w:val="21"/>
                    </w:rPr>
                    <w:t>120</w:t>
                  </w:r>
                </w:p>
              </w:tc>
            </w:tr>
            <w:tr w14:paraId="7CBEAF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4C606403">
                  <w:pPr>
                    <w:adjustRightInd w:val="0"/>
                    <w:snapToGrid w:val="0"/>
                    <w:jc w:val="center"/>
                    <w:rPr>
                      <w:bCs/>
                      <w:color w:val="auto"/>
                      <w:szCs w:val="21"/>
                    </w:rPr>
                  </w:pPr>
                  <w:r>
                    <w:rPr>
                      <w:rFonts w:hint="eastAsia"/>
                      <w:bCs/>
                      <w:color w:val="auto"/>
                      <w:szCs w:val="21"/>
                    </w:rPr>
                    <w:t>17</w:t>
                  </w:r>
                </w:p>
              </w:tc>
              <w:tc>
                <w:tcPr>
                  <w:tcW w:w="679" w:type="pct"/>
                  <w:vMerge w:val="continue"/>
                  <w:tcBorders>
                    <w:tl2br w:val="nil"/>
                    <w:tr2bl w:val="nil"/>
                  </w:tcBorders>
                  <w:vAlign w:val="center"/>
                </w:tcPr>
                <w:p w14:paraId="0841E396">
                  <w:pPr>
                    <w:adjustRightInd w:val="0"/>
                    <w:snapToGrid w:val="0"/>
                    <w:jc w:val="center"/>
                    <w:rPr>
                      <w:rFonts w:eastAsiaTheme="minorEastAsia"/>
                      <w:bCs/>
                      <w:color w:val="auto"/>
                      <w:szCs w:val="21"/>
                    </w:rPr>
                  </w:pPr>
                </w:p>
              </w:tc>
              <w:tc>
                <w:tcPr>
                  <w:tcW w:w="640" w:type="pct"/>
                  <w:tcBorders>
                    <w:tl2br w:val="nil"/>
                    <w:tr2bl w:val="nil"/>
                  </w:tcBorders>
                  <w:vAlign w:val="center"/>
                </w:tcPr>
                <w:p w14:paraId="6C9A4960">
                  <w:pPr>
                    <w:adjustRightInd w:val="0"/>
                    <w:snapToGrid w:val="0"/>
                    <w:jc w:val="center"/>
                    <w:rPr>
                      <w:rFonts w:eastAsiaTheme="minorEastAsia"/>
                      <w:bCs/>
                      <w:color w:val="auto"/>
                      <w:szCs w:val="21"/>
                    </w:rPr>
                  </w:pPr>
                  <w:r>
                    <w:rPr>
                      <w:rFonts w:hint="eastAsia" w:eastAsiaTheme="minorEastAsia"/>
                      <w:bCs/>
                      <w:color w:val="auto"/>
                      <w:szCs w:val="21"/>
                    </w:rPr>
                    <w:t>锯床</w:t>
                  </w:r>
                </w:p>
              </w:tc>
              <w:tc>
                <w:tcPr>
                  <w:tcW w:w="570" w:type="pct"/>
                  <w:tcBorders>
                    <w:tl2br w:val="nil"/>
                    <w:tr2bl w:val="nil"/>
                  </w:tcBorders>
                  <w:vAlign w:val="center"/>
                </w:tcPr>
                <w:p w14:paraId="0B8E1548">
                  <w:pPr>
                    <w:adjustRightInd w:val="0"/>
                    <w:snapToGrid w:val="0"/>
                    <w:jc w:val="center"/>
                    <w:rPr>
                      <w:rFonts w:eastAsiaTheme="minorEastAsia"/>
                      <w:bCs/>
                      <w:color w:val="auto"/>
                      <w:szCs w:val="21"/>
                    </w:rPr>
                  </w:pPr>
                  <w:r>
                    <w:rPr>
                      <w:rFonts w:hint="eastAsia" w:eastAsiaTheme="minorEastAsia"/>
                      <w:bCs/>
                      <w:color w:val="auto"/>
                      <w:szCs w:val="21"/>
                    </w:rPr>
                    <w:t>8.5</w:t>
                  </w:r>
                </w:p>
              </w:tc>
              <w:tc>
                <w:tcPr>
                  <w:tcW w:w="1581" w:type="pct"/>
                  <w:tcBorders>
                    <w:tl2br w:val="nil"/>
                    <w:tr2bl w:val="nil"/>
                  </w:tcBorders>
                  <w:vAlign w:val="center"/>
                </w:tcPr>
                <w:p w14:paraId="283D289C">
                  <w:pPr>
                    <w:adjustRightInd w:val="0"/>
                    <w:snapToGrid w:val="0"/>
                    <w:jc w:val="center"/>
                    <w:rPr>
                      <w:rFonts w:eastAsiaTheme="minorEastAsia"/>
                      <w:bCs/>
                      <w:color w:val="auto"/>
                      <w:szCs w:val="21"/>
                    </w:rPr>
                  </w:pPr>
                  <w:r>
                    <w:rPr>
                      <w:rFonts w:hint="eastAsia" w:eastAsiaTheme="minorEastAsia"/>
                      <w:bCs/>
                      <w:color w:val="auto"/>
                      <w:szCs w:val="21"/>
                    </w:rPr>
                    <w:t>GB4240/75</w:t>
                  </w:r>
                </w:p>
              </w:tc>
              <w:tc>
                <w:tcPr>
                  <w:tcW w:w="466" w:type="pct"/>
                  <w:tcBorders>
                    <w:tl2br w:val="nil"/>
                    <w:tr2bl w:val="nil"/>
                  </w:tcBorders>
                  <w:vAlign w:val="center"/>
                </w:tcPr>
                <w:p w14:paraId="1383729D">
                  <w:pPr>
                    <w:adjustRightInd w:val="0"/>
                    <w:snapToGrid w:val="0"/>
                    <w:jc w:val="center"/>
                    <w:rPr>
                      <w:rFonts w:eastAsiaTheme="minorEastAsia"/>
                      <w:bCs/>
                      <w:color w:val="auto"/>
                      <w:szCs w:val="21"/>
                    </w:rPr>
                  </w:pPr>
                  <w:r>
                    <w:rPr>
                      <w:rFonts w:hint="eastAsia" w:eastAsiaTheme="minorEastAsia"/>
                      <w:bCs/>
                      <w:color w:val="auto"/>
                      <w:szCs w:val="21"/>
                    </w:rPr>
                    <w:t>9</w:t>
                  </w:r>
                </w:p>
              </w:tc>
              <w:tc>
                <w:tcPr>
                  <w:tcW w:w="642" w:type="pct"/>
                  <w:tcBorders>
                    <w:tl2br w:val="nil"/>
                    <w:tr2bl w:val="nil"/>
                  </w:tcBorders>
                  <w:vAlign w:val="center"/>
                </w:tcPr>
                <w:p w14:paraId="50EDEB19">
                  <w:pPr>
                    <w:adjustRightInd w:val="0"/>
                    <w:snapToGrid w:val="0"/>
                    <w:jc w:val="center"/>
                    <w:rPr>
                      <w:rFonts w:eastAsiaTheme="minorEastAsia"/>
                      <w:bCs/>
                      <w:color w:val="auto"/>
                      <w:szCs w:val="21"/>
                    </w:rPr>
                  </w:pPr>
                  <w:r>
                    <w:rPr>
                      <w:rFonts w:hint="eastAsia" w:eastAsiaTheme="minorEastAsia"/>
                      <w:bCs/>
                      <w:color w:val="auto"/>
                      <w:szCs w:val="21"/>
                    </w:rPr>
                    <w:t>76.5</w:t>
                  </w:r>
                </w:p>
              </w:tc>
            </w:tr>
            <w:tr w14:paraId="763EF8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5788C20C">
                  <w:pPr>
                    <w:adjustRightInd w:val="0"/>
                    <w:snapToGrid w:val="0"/>
                    <w:jc w:val="center"/>
                    <w:rPr>
                      <w:bCs/>
                      <w:color w:val="auto"/>
                      <w:szCs w:val="21"/>
                    </w:rPr>
                  </w:pPr>
                  <w:r>
                    <w:rPr>
                      <w:rFonts w:hint="eastAsia"/>
                      <w:bCs/>
                      <w:color w:val="auto"/>
                      <w:szCs w:val="21"/>
                    </w:rPr>
                    <w:t>18</w:t>
                  </w:r>
                </w:p>
              </w:tc>
              <w:tc>
                <w:tcPr>
                  <w:tcW w:w="679" w:type="pct"/>
                  <w:vMerge w:val="continue"/>
                  <w:tcBorders>
                    <w:tl2br w:val="nil"/>
                    <w:tr2bl w:val="nil"/>
                  </w:tcBorders>
                  <w:vAlign w:val="center"/>
                </w:tcPr>
                <w:p w14:paraId="50349DEA">
                  <w:pPr>
                    <w:adjustRightInd w:val="0"/>
                    <w:snapToGrid w:val="0"/>
                    <w:jc w:val="center"/>
                    <w:rPr>
                      <w:rFonts w:eastAsiaTheme="minorEastAsia"/>
                      <w:bCs/>
                      <w:color w:val="auto"/>
                      <w:szCs w:val="21"/>
                    </w:rPr>
                  </w:pPr>
                </w:p>
              </w:tc>
              <w:tc>
                <w:tcPr>
                  <w:tcW w:w="640" w:type="pct"/>
                  <w:tcBorders>
                    <w:tl2br w:val="nil"/>
                    <w:tr2bl w:val="nil"/>
                  </w:tcBorders>
                  <w:vAlign w:val="center"/>
                </w:tcPr>
                <w:p w14:paraId="1D3AC7E1">
                  <w:pPr>
                    <w:adjustRightInd w:val="0"/>
                    <w:snapToGrid w:val="0"/>
                    <w:jc w:val="center"/>
                    <w:rPr>
                      <w:rFonts w:eastAsiaTheme="minorEastAsia"/>
                      <w:bCs/>
                      <w:color w:val="auto"/>
                      <w:szCs w:val="21"/>
                    </w:rPr>
                  </w:pPr>
                  <w:r>
                    <w:rPr>
                      <w:rFonts w:hint="eastAsia" w:eastAsiaTheme="minorEastAsia"/>
                      <w:bCs/>
                      <w:color w:val="auto"/>
                      <w:szCs w:val="21"/>
                    </w:rPr>
                    <w:t>电焊机</w:t>
                  </w:r>
                </w:p>
              </w:tc>
              <w:tc>
                <w:tcPr>
                  <w:tcW w:w="570" w:type="pct"/>
                  <w:tcBorders>
                    <w:tl2br w:val="nil"/>
                    <w:tr2bl w:val="nil"/>
                  </w:tcBorders>
                  <w:vAlign w:val="center"/>
                </w:tcPr>
                <w:p w14:paraId="26556BF4">
                  <w:pPr>
                    <w:adjustRightInd w:val="0"/>
                    <w:snapToGrid w:val="0"/>
                    <w:jc w:val="center"/>
                    <w:rPr>
                      <w:rFonts w:eastAsiaTheme="minorEastAsia"/>
                      <w:bCs/>
                      <w:color w:val="auto"/>
                      <w:szCs w:val="21"/>
                    </w:rPr>
                  </w:pPr>
                  <w:r>
                    <w:rPr>
                      <w:rFonts w:hint="eastAsia" w:eastAsiaTheme="minorEastAsia"/>
                      <w:bCs/>
                      <w:color w:val="auto"/>
                      <w:szCs w:val="21"/>
                    </w:rPr>
                    <w:t>20</w:t>
                  </w:r>
                </w:p>
              </w:tc>
              <w:tc>
                <w:tcPr>
                  <w:tcW w:w="1581" w:type="pct"/>
                  <w:tcBorders>
                    <w:tl2br w:val="nil"/>
                    <w:tr2bl w:val="nil"/>
                  </w:tcBorders>
                  <w:vAlign w:val="center"/>
                </w:tcPr>
                <w:p w14:paraId="5B325D2F">
                  <w:pPr>
                    <w:adjustRightInd w:val="0"/>
                    <w:snapToGrid w:val="0"/>
                    <w:jc w:val="center"/>
                    <w:rPr>
                      <w:rFonts w:eastAsiaTheme="minorEastAsia"/>
                      <w:bCs/>
                      <w:color w:val="auto"/>
                      <w:szCs w:val="21"/>
                    </w:rPr>
                  </w:pPr>
                  <w:r>
                    <w:rPr>
                      <w:rFonts w:hint="eastAsia" w:eastAsiaTheme="minorEastAsia"/>
                      <w:bCs/>
                      <w:color w:val="auto"/>
                      <w:szCs w:val="21"/>
                    </w:rPr>
                    <w:t>/</w:t>
                  </w:r>
                </w:p>
              </w:tc>
              <w:tc>
                <w:tcPr>
                  <w:tcW w:w="466" w:type="pct"/>
                  <w:tcBorders>
                    <w:tl2br w:val="nil"/>
                    <w:tr2bl w:val="nil"/>
                  </w:tcBorders>
                  <w:vAlign w:val="center"/>
                </w:tcPr>
                <w:p w14:paraId="7CC91CD6">
                  <w:pPr>
                    <w:adjustRightInd w:val="0"/>
                    <w:snapToGrid w:val="0"/>
                    <w:jc w:val="center"/>
                    <w:rPr>
                      <w:rFonts w:eastAsiaTheme="minorEastAsia"/>
                      <w:bCs/>
                      <w:color w:val="auto"/>
                      <w:szCs w:val="21"/>
                    </w:rPr>
                  </w:pPr>
                  <w:r>
                    <w:rPr>
                      <w:rFonts w:hint="eastAsia" w:eastAsiaTheme="minorEastAsia"/>
                      <w:bCs/>
                      <w:color w:val="auto"/>
                      <w:szCs w:val="21"/>
                    </w:rPr>
                    <w:t>20</w:t>
                  </w:r>
                </w:p>
              </w:tc>
              <w:tc>
                <w:tcPr>
                  <w:tcW w:w="642" w:type="pct"/>
                  <w:tcBorders>
                    <w:tl2br w:val="nil"/>
                    <w:tr2bl w:val="nil"/>
                  </w:tcBorders>
                  <w:vAlign w:val="center"/>
                </w:tcPr>
                <w:p w14:paraId="6C9948D4">
                  <w:pPr>
                    <w:adjustRightInd w:val="0"/>
                    <w:snapToGrid w:val="0"/>
                    <w:jc w:val="center"/>
                    <w:rPr>
                      <w:rFonts w:eastAsiaTheme="minorEastAsia"/>
                      <w:bCs/>
                      <w:color w:val="auto"/>
                      <w:szCs w:val="21"/>
                    </w:rPr>
                  </w:pPr>
                  <w:r>
                    <w:rPr>
                      <w:rFonts w:hint="eastAsia" w:eastAsiaTheme="minorEastAsia"/>
                      <w:bCs/>
                      <w:color w:val="auto"/>
                      <w:szCs w:val="21"/>
                    </w:rPr>
                    <w:t>400</w:t>
                  </w:r>
                </w:p>
              </w:tc>
            </w:tr>
            <w:tr w14:paraId="0033BE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74C47EE3">
                  <w:pPr>
                    <w:adjustRightInd w:val="0"/>
                    <w:snapToGrid w:val="0"/>
                    <w:jc w:val="center"/>
                    <w:rPr>
                      <w:bCs/>
                      <w:color w:val="auto"/>
                      <w:szCs w:val="21"/>
                    </w:rPr>
                  </w:pPr>
                  <w:r>
                    <w:rPr>
                      <w:rFonts w:hint="eastAsia"/>
                      <w:bCs/>
                      <w:color w:val="auto"/>
                      <w:szCs w:val="21"/>
                    </w:rPr>
                    <w:t>19</w:t>
                  </w:r>
                </w:p>
              </w:tc>
              <w:tc>
                <w:tcPr>
                  <w:tcW w:w="679" w:type="pct"/>
                  <w:vMerge w:val="continue"/>
                  <w:tcBorders>
                    <w:tl2br w:val="nil"/>
                    <w:tr2bl w:val="nil"/>
                  </w:tcBorders>
                  <w:vAlign w:val="center"/>
                </w:tcPr>
                <w:p w14:paraId="7B14EDA5">
                  <w:pPr>
                    <w:adjustRightInd w:val="0"/>
                    <w:snapToGrid w:val="0"/>
                    <w:jc w:val="center"/>
                    <w:rPr>
                      <w:rFonts w:eastAsiaTheme="minorEastAsia"/>
                      <w:bCs/>
                      <w:color w:val="auto"/>
                      <w:szCs w:val="21"/>
                    </w:rPr>
                  </w:pPr>
                </w:p>
              </w:tc>
              <w:tc>
                <w:tcPr>
                  <w:tcW w:w="640" w:type="pct"/>
                  <w:tcBorders>
                    <w:tl2br w:val="nil"/>
                    <w:tr2bl w:val="nil"/>
                  </w:tcBorders>
                  <w:vAlign w:val="center"/>
                </w:tcPr>
                <w:p w14:paraId="05AF85E1">
                  <w:pPr>
                    <w:adjustRightInd w:val="0"/>
                    <w:snapToGrid w:val="0"/>
                    <w:jc w:val="center"/>
                    <w:rPr>
                      <w:rFonts w:eastAsiaTheme="minorEastAsia"/>
                      <w:bCs/>
                      <w:color w:val="auto"/>
                      <w:szCs w:val="21"/>
                    </w:rPr>
                  </w:pPr>
                  <w:r>
                    <w:rPr>
                      <w:rFonts w:hint="eastAsia" w:eastAsiaTheme="minorEastAsia"/>
                      <w:bCs/>
                      <w:color w:val="auto"/>
                      <w:szCs w:val="21"/>
                    </w:rPr>
                    <w:t>车床</w:t>
                  </w:r>
                </w:p>
              </w:tc>
              <w:tc>
                <w:tcPr>
                  <w:tcW w:w="570" w:type="pct"/>
                  <w:tcBorders>
                    <w:tl2br w:val="nil"/>
                    <w:tr2bl w:val="nil"/>
                  </w:tcBorders>
                  <w:vAlign w:val="center"/>
                </w:tcPr>
                <w:p w14:paraId="786B8CE0">
                  <w:pPr>
                    <w:adjustRightInd w:val="0"/>
                    <w:snapToGrid w:val="0"/>
                    <w:jc w:val="center"/>
                    <w:rPr>
                      <w:rFonts w:eastAsiaTheme="minorEastAsia"/>
                      <w:bCs/>
                      <w:color w:val="auto"/>
                      <w:szCs w:val="21"/>
                    </w:rPr>
                  </w:pPr>
                  <w:r>
                    <w:rPr>
                      <w:rFonts w:hint="eastAsia" w:eastAsiaTheme="minorEastAsia"/>
                      <w:bCs/>
                      <w:color w:val="auto"/>
                      <w:szCs w:val="21"/>
                    </w:rPr>
                    <w:t>10</w:t>
                  </w:r>
                </w:p>
              </w:tc>
              <w:tc>
                <w:tcPr>
                  <w:tcW w:w="1581" w:type="pct"/>
                  <w:tcBorders>
                    <w:tl2br w:val="nil"/>
                    <w:tr2bl w:val="nil"/>
                  </w:tcBorders>
                  <w:vAlign w:val="center"/>
                </w:tcPr>
                <w:p w14:paraId="5805B242">
                  <w:pPr>
                    <w:adjustRightInd w:val="0"/>
                    <w:snapToGrid w:val="0"/>
                    <w:jc w:val="center"/>
                    <w:rPr>
                      <w:rFonts w:eastAsiaTheme="minorEastAsia"/>
                      <w:bCs/>
                      <w:color w:val="auto"/>
                      <w:szCs w:val="21"/>
                    </w:rPr>
                  </w:pPr>
                  <w:r>
                    <w:rPr>
                      <w:rFonts w:hint="eastAsia" w:eastAsiaTheme="minorEastAsia"/>
                      <w:bCs/>
                      <w:color w:val="auto"/>
                      <w:szCs w:val="21"/>
                    </w:rPr>
                    <w:t>GQY-1008</w:t>
                  </w:r>
                </w:p>
              </w:tc>
              <w:tc>
                <w:tcPr>
                  <w:tcW w:w="466" w:type="pct"/>
                  <w:tcBorders>
                    <w:tl2br w:val="nil"/>
                    <w:tr2bl w:val="nil"/>
                  </w:tcBorders>
                  <w:vAlign w:val="center"/>
                </w:tcPr>
                <w:p w14:paraId="54FF634D">
                  <w:pPr>
                    <w:adjustRightInd w:val="0"/>
                    <w:snapToGrid w:val="0"/>
                    <w:jc w:val="center"/>
                    <w:rPr>
                      <w:rFonts w:eastAsiaTheme="minorEastAsia"/>
                      <w:bCs/>
                      <w:color w:val="auto"/>
                      <w:szCs w:val="21"/>
                    </w:rPr>
                  </w:pPr>
                  <w:r>
                    <w:rPr>
                      <w:rFonts w:hint="eastAsia" w:eastAsiaTheme="minorEastAsia"/>
                      <w:bCs/>
                      <w:color w:val="auto"/>
                      <w:szCs w:val="21"/>
                    </w:rPr>
                    <w:t>20</w:t>
                  </w:r>
                </w:p>
              </w:tc>
              <w:tc>
                <w:tcPr>
                  <w:tcW w:w="642" w:type="pct"/>
                  <w:tcBorders>
                    <w:tl2br w:val="nil"/>
                    <w:tr2bl w:val="nil"/>
                  </w:tcBorders>
                  <w:vAlign w:val="center"/>
                </w:tcPr>
                <w:p w14:paraId="2F1E487E">
                  <w:pPr>
                    <w:adjustRightInd w:val="0"/>
                    <w:snapToGrid w:val="0"/>
                    <w:jc w:val="center"/>
                    <w:rPr>
                      <w:rFonts w:eastAsiaTheme="minorEastAsia"/>
                      <w:bCs/>
                      <w:color w:val="auto"/>
                      <w:szCs w:val="21"/>
                    </w:rPr>
                  </w:pPr>
                  <w:r>
                    <w:rPr>
                      <w:rFonts w:hint="eastAsia" w:eastAsiaTheme="minorEastAsia"/>
                      <w:bCs/>
                      <w:color w:val="auto"/>
                      <w:szCs w:val="21"/>
                    </w:rPr>
                    <w:t>200</w:t>
                  </w:r>
                </w:p>
              </w:tc>
            </w:tr>
            <w:tr w14:paraId="4184AD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6B175C43">
                  <w:pPr>
                    <w:adjustRightInd w:val="0"/>
                    <w:snapToGrid w:val="0"/>
                    <w:jc w:val="center"/>
                    <w:rPr>
                      <w:bCs/>
                      <w:color w:val="auto"/>
                      <w:szCs w:val="21"/>
                    </w:rPr>
                  </w:pPr>
                  <w:r>
                    <w:rPr>
                      <w:rFonts w:hint="eastAsia"/>
                      <w:bCs/>
                      <w:color w:val="auto"/>
                      <w:szCs w:val="21"/>
                    </w:rPr>
                    <w:t>20</w:t>
                  </w:r>
                </w:p>
              </w:tc>
              <w:tc>
                <w:tcPr>
                  <w:tcW w:w="679" w:type="pct"/>
                  <w:vMerge w:val="continue"/>
                  <w:tcBorders>
                    <w:tl2br w:val="nil"/>
                    <w:tr2bl w:val="nil"/>
                  </w:tcBorders>
                  <w:vAlign w:val="center"/>
                </w:tcPr>
                <w:p w14:paraId="41449DAC">
                  <w:pPr>
                    <w:adjustRightInd w:val="0"/>
                    <w:snapToGrid w:val="0"/>
                    <w:jc w:val="center"/>
                    <w:rPr>
                      <w:rFonts w:eastAsiaTheme="minorEastAsia"/>
                      <w:bCs/>
                      <w:color w:val="auto"/>
                      <w:szCs w:val="21"/>
                    </w:rPr>
                  </w:pPr>
                </w:p>
              </w:tc>
              <w:tc>
                <w:tcPr>
                  <w:tcW w:w="640" w:type="pct"/>
                  <w:tcBorders>
                    <w:tl2br w:val="nil"/>
                    <w:tr2bl w:val="nil"/>
                  </w:tcBorders>
                  <w:vAlign w:val="center"/>
                </w:tcPr>
                <w:p w14:paraId="5927539C">
                  <w:pPr>
                    <w:adjustRightInd w:val="0"/>
                    <w:snapToGrid w:val="0"/>
                    <w:jc w:val="center"/>
                    <w:rPr>
                      <w:rFonts w:eastAsiaTheme="minorEastAsia"/>
                      <w:bCs/>
                      <w:color w:val="auto"/>
                      <w:szCs w:val="21"/>
                    </w:rPr>
                  </w:pPr>
                  <w:r>
                    <w:rPr>
                      <w:rFonts w:hint="eastAsia" w:eastAsiaTheme="minorEastAsia"/>
                      <w:bCs/>
                      <w:color w:val="auto"/>
                      <w:szCs w:val="21"/>
                    </w:rPr>
                    <w:t>钻床</w:t>
                  </w:r>
                </w:p>
              </w:tc>
              <w:tc>
                <w:tcPr>
                  <w:tcW w:w="570" w:type="pct"/>
                  <w:tcBorders>
                    <w:tl2br w:val="nil"/>
                    <w:tr2bl w:val="nil"/>
                  </w:tcBorders>
                  <w:vAlign w:val="center"/>
                </w:tcPr>
                <w:p w14:paraId="267F0021">
                  <w:pPr>
                    <w:adjustRightInd w:val="0"/>
                    <w:snapToGrid w:val="0"/>
                    <w:jc w:val="center"/>
                    <w:rPr>
                      <w:rFonts w:eastAsiaTheme="minorEastAsia"/>
                      <w:bCs/>
                      <w:color w:val="auto"/>
                      <w:szCs w:val="21"/>
                    </w:rPr>
                  </w:pPr>
                  <w:r>
                    <w:rPr>
                      <w:rFonts w:hint="eastAsia" w:eastAsiaTheme="minorEastAsia"/>
                      <w:bCs/>
                      <w:color w:val="auto"/>
                      <w:szCs w:val="21"/>
                    </w:rPr>
                    <w:t>10.5</w:t>
                  </w:r>
                </w:p>
              </w:tc>
              <w:tc>
                <w:tcPr>
                  <w:tcW w:w="1581" w:type="pct"/>
                  <w:tcBorders>
                    <w:tl2br w:val="nil"/>
                    <w:tr2bl w:val="nil"/>
                  </w:tcBorders>
                  <w:vAlign w:val="center"/>
                </w:tcPr>
                <w:p w14:paraId="69B9091D">
                  <w:pPr>
                    <w:adjustRightInd w:val="0"/>
                    <w:snapToGrid w:val="0"/>
                    <w:jc w:val="center"/>
                    <w:rPr>
                      <w:rFonts w:eastAsiaTheme="minorEastAsia"/>
                      <w:bCs/>
                      <w:color w:val="auto"/>
                      <w:szCs w:val="21"/>
                    </w:rPr>
                  </w:pPr>
                  <w:r>
                    <w:rPr>
                      <w:rFonts w:hint="eastAsia" w:eastAsiaTheme="minorEastAsia"/>
                      <w:bCs/>
                      <w:color w:val="auto"/>
                      <w:szCs w:val="21"/>
                    </w:rPr>
                    <w:t>/</w:t>
                  </w:r>
                </w:p>
              </w:tc>
              <w:tc>
                <w:tcPr>
                  <w:tcW w:w="466" w:type="pct"/>
                  <w:tcBorders>
                    <w:tl2br w:val="nil"/>
                    <w:tr2bl w:val="nil"/>
                  </w:tcBorders>
                  <w:vAlign w:val="center"/>
                </w:tcPr>
                <w:p w14:paraId="3A760307">
                  <w:pPr>
                    <w:adjustRightInd w:val="0"/>
                    <w:snapToGrid w:val="0"/>
                    <w:jc w:val="center"/>
                    <w:rPr>
                      <w:rFonts w:eastAsiaTheme="minorEastAsia"/>
                      <w:bCs/>
                      <w:color w:val="auto"/>
                      <w:szCs w:val="21"/>
                    </w:rPr>
                  </w:pPr>
                  <w:r>
                    <w:rPr>
                      <w:rFonts w:hint="eastAsia" w:eastAsiaTheme="minorEastAsia"/>
                      <w:bCs/>
                      <w:color w:val="auto"/>
                      <w:szCs w:val="21"/>
                    </w:rPr>
                    <w:t>50</w:t>
                  </w:r>
                </w:p>
              </w:tc>
              <w:tc>
                <w:tcPr>
                  <w:tcW w:w="642" w:type="pct"/>
                  <w:tcBorders>
                    <w:tl2br w:val="nil"/>
                    <w:tr2bl w:val="nil"/>
                  </w:tcBorders>
                  <w:vAlign w:val="center"/>
                </w:tcPr>
                <w:p w14:paraId="6AFB1863">
                  <w:pPr>
                    <w:adjustRightInd w:val="0"/>
                    <w:snapToGrid w:val="0"/>
                    <w:jc w:val="center"/>
                    <w:rPr>
                      <w:rFonts w:eastAsiaTheme="minorEastAsia"/>
                      <w:bCs/>
                      <w:color w:val="auto"/>
                      <w:szCs w:val="21"/>
                    </w:rPr>
                  </w:pPr>
                  <w:r>
                    <w:rPr>
                      <w:rFonts w:hint="eastAsia" w:eastAsiaTheme="minorEastAsia"/>
                      <w:bCs/>
                      <w:color w:val="auto"/>
                      <w:szCs w:val="21"/>
                    </w:rPr>
                    <w:t>525</w:t>
                  </w:r>
                </w:p>
              </w:tc>
            </w:tr>
            <w:tr w14:paraId="285D50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5EC864C5">
                  <w:pPr>
                    <w:adjustRightInd w:val="0"/>
                    <w:snapToGrid w:val="0"/>
                    <w:jc w:val="center"/>
                    <w:rPr>
                      <w:bCs/>
                      <w:color w:val="auto"/>
                      <w:szCs w:val="21"/>
                    </w:rPr>
                  </w:pPr>
                  <w:r>
                    <w:rPr>
                      <w:rFonts w:hint="eastAsia"/>
                      <w:bCs/>
                      <w:color w:val="auto"/>
                      <w:szCs w:val="21"/>
                    </w:rPr>
                    <w:t>21</w:t>
                  </w:r>
                </w:p>
              </w:tc>
              <w:tc>
                <w:tcPr>
                  <w:tcW w:w="679" w:type="pct"/>
                  <w:vMerge w:val="continue"/>
                  <w:tcBorders>
                    <w:tl2br w:val="nil"/>
                    <w:tr2bl w:val="nil"/>
                  </w:tcBorders>
                  <w:vAlign w:val="center"/>
                </w:tcPr>
                <w:p w14:paraId="3AC181E9">
                  <w:pPr>
                    <w:adjustRightInd w:val="0"/>
                    <w:snapToGrid w:val="0"/>
                    <w:jc w:val="center"/>
                    <w:rPr>
                      <w:rFonts w:eastAsiaTheme="minorEastAsia"/>
                      <w:bCs/>
                      <w:color w:val="auto"/>
                      <w:szCs w:val="21"/>
                    </w:rPr>
                  </w:pPr>
                </w:p>
              </w:tc>
              <w:tc>
                <w:tcPr>
                  <w:tcW w:w="640" w:type="pct"/>
                  <w:tcBorders>
                    <w:tl2br w:val="nil"/>
                    <w:tr2bl w:val="nil"/>
                  </w:tcBorders>
                  <w:vAlign w:val="center"/>
                </w:tcPr>
                <w:p w14:paraId="09DA4F11">
                  <w:pPr>
                    <w:adjustRightInd w:val="0"/>
                    <w:snapToGrid w:val="0"/>
                    <w:jc w:val="center"/>
                    <w:rPr>
                      <w:rFonts w:eastAsiaTheme="minorEastAsia"/>
                      <w:bCs/>
                      <w:color w:val="auto"/>
                      <w:szCs w:val="21"/>
                    </w:rPr>
                  </w:pPr>
                  <w:r>
                    <w:rPr>
                      <w:rFonts w:hint="eastAsia" w:eastAsiaTheme="minorEastAsia"/>
                      <w:bCs/>
                      <w:color w:val="auto"/>
                      <w:szCs w:val="21"/>
                    </w:rPr>
                    <w:t>冲床</w:t>
                  </w:r>
                </w:p>
              </w:tc>
              <w:tc>
                <w:tcPr>
                  <w:tcW w:w="570" w:type="pct"/>
                  <w:tcBorders>
                    <w:tl2br w:val="nil"/>
                    <w:tr2bl w:val="nil"/>
                  </w:tcBorders>
                  <w:vAlign w:val="center"/>
                </w:tcPr>
                <w:p w14:paraId="362B4D5A">
                  <w:pPr>
                    <w:adjustRightInd w:val="0"/>
                    <w:snapToGrid w:val="0"/>
                    <w:jc w:val="center"/>
                    <w:rPr>
                      <w:rFonts w:eastAsiaTheme="minorEastAsia"/>
                      <w:bCs/>
                      <w:color w:val="auto"/>
                      <w:szCs w:val="21"/>
                    </w:rPr>
                  </w:pPr>
                  <w:r>
                    <w:rPr>
                      <w:rFonts w:hint="eastAsia" w:eastAsiaTheme="minorEastAsia"/>
                      <w:bCs/>
                      <w:color w:val="auto"/>
                      <w:szCs w:val="21"/>
                    </w:rPr>
                    <w:t>25</w:t>
                  </w:r>
                </w:p>
              </w:tc>
              <w:tc>
                <w:tcPr>
                  <w:tcW w:w="1581" w:type="pct"/>
                  <w:tcBorders>
                    <w:tl2br w:val="nil"/>
                    <w:tr2bl w:val="nil"/>
                  </w:tcBorders>
                  <w:vAlign w:val="center"/>
                </w:tcPr>
                <w:p w14:paraId="02257674">
                  <w:pPr>
                    <w:adjustRightInd w:val="0"/>
                    <w:snapToGrid w:val="0"/>
                    <w:jc w:val="center"/>
                    <w:rPr>
                      <w:rFonts w:eastAsiaTheme="minorEastAsia"/>
                      <w:bCs/>
                      <w:color w:val="auto"/>
                      <w:szCs w:val="21"/>
                    </w:rPr>
                  </w:pPr>
                  <w:r>
                    <w:rPr>
                      <w:rFonts w:hint="eastAsia" w:eastAsiaTheme="minorEastAsia"/>
                      <w:bCs/>
                      <w:color w:val="auto"/>
                      <w:szCs w:val="21"/>
                    </w:rPr>
                    <w:t>JB21-200/JB21-100/J23-632</w:t>
                  </w:r>
                </w:p>
              </w:tc>
              <w:tc>
                <w:tcPr>
                  <w:tcW w:w="466" w:type="pct"/>
                  <w:tcBorders>
                    <w:tl2br w:val="nil"/>
                    <w:tr2bl w:val="nil"/>
                  </w:tcBorders>
                  <w:vAlign w:val="center"/>
                </w:tcPr>
                <w:p w14:paraId="6BB91EF4">
                  <w:pPr>
                    <w:adjustRightInd w:val="0"/>
                    <w:snapToGrid w:val="0"/>
                    <w:jc w:val="center"/>
                    <w:rPr>
                      <w:rFonts w:eastAsiaTheme="minorEastAsia"/>
                      <w:bCs/>
                      <w:color w:val="auto"/>
                      <w:szCs w:val="21"/>
                    </w:rPr>
                  </w:pPr>
                  <w:r>
                    <w:rPr>
                      <w:rFonts w:hint="eastAsia" w:eastAsiaTheme="minorEastAsia"/>
                      <w:bCs/>
                      <w:color w:val="auto"/>
                      <w:szCs w:val="21"/>
                    </w:rPr>
                    <w:t>5</w:t>
                  </w:r>
                </w:p>
              </w:tc>
              <w:tc>
                <w:tcPr>
                  <w:tcW w:w="642" w:type="pct"/>
                  <w:tcBorders>
                    <w:tl2br w:val="nil"/>
                    <w:tr2bl w:val="nil"/>
                  </w:tcBorders>
                  <w:vAlign w:val="center"/>
                </w:tcPr>
                <w:p w14:paraId="021F88AB">
                  <w:pPr>
                    <w:adjustRightInd w:val="0"/>
                    <w:snapToGrid w:val="0"/>
                    <w:jc w:val="center"/>
                    <w:rPr>
                      <w:rFonts w:eastAsiaTheme="minorEastAsia"/>
                      <w:bCs/>
                      <w:color w:val="auto"/>
                      <w:szCs w:val="21"/>
                    </w:rPr>
                  </w:pPr>
                  <w:r>
                    <w:rPr>
                      <w:rFonts w:hint="eastAsia" w:eastAsiaTheme="minorEastAsia"/>
                      <w:bCs/>
                      <w:color w:val="auto"/>
                      <w:szCs w:val="21"/>
                    </w:rPr>
                    <w:t>125</w:t>
                  </w:r>
                </w:p>
              </w:tc>
            </w:tr>
            <w:tr w14:paraId="6C2F86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1EB23410">
                  <w:pPr>
                    <w:adjustRightInd w:val="0"/>
                    <w:snapToGrid w:val="0"/>
                    <w:jc w:val="center"/>
                    <w:rPr>
                      <w:bCs/>
                      <w:color w:val="auto"/>
                      <w:szCs w:val="21"/>
                    </w:rPr>
                  </w:pPr>
                  <w:r>
                    <w:rPr>
                      <w:rFonts w:hint="eastAsia"/>
                      <w:bCs/>
                      <w:color w:val="auto"/>
                      <w:szCs w:val="21"/>
                    </w:rPr>
                    <w:t>22</w:t>
                  </w:r>
                </w:p>
              </w:tc>
              <w:tc>
                <w:tcPr>
                  <w:tcW w:w="679" w:type="pct"/>
                  <w:vMerge w:val="continue"/>
                  <w:tcBorders>
                    <w:tl2br w:val="nil"/>
                    <w:tr2bl w:val="nil"/>
                  </w:tcBorders>
                  <w:vAlign w:val="center"/>
                </w:tcPr>
                <w:p w14:paraId="3B5E2089">
                  <w:pPr>
                    <w:adjustRightInd w:val="0"/>
                    <w:snapToGrid w:val="0"/>
                    <w:jc w:val="center"/>
                    <w:rPr>
                      <w:rFonts w:eastAsiaTheme="minorEastAsia"/>
                      <w:bCs/>
                      <w:color w:val="auto"/>
                      <w:szCs w:val="21"/>
                    </w:rPr>
                  </w:pPr>
                </w:p>
              </w:tc>
              <w:tc>
                <w:tcPr>
                  <w:tcW w:w="640" w:type="pct"/>
                  <w:tcBorders>
                    <w:tl2br w:val="nil"/>
                    <w:tr2bl w:val="nil"/>
                  </w:tcBorders>
                  <w:vAlign w:val="center"/>
                </w:tcPr>
                <w:p w14:paraId="07742F01">
                  <w:pPr>
                    <w:adjustRightInd w:val="0"/>
                    <w:snapToGrid w:val="0"/>
                    <w:jc w:val="center"/>
                    <w:rPr>
                      <w:rFonts w:eastAsiaTheme="minorEastAsia"/>
                      <w:bCs/>
                      <w:color w:val="auto"/>
                      <w:szCs w:val="21"/>
                    </w:rPr>
                  </w:pPr>
                  <w:r>
                    <w:rPr>
                      <w:rFonts w:hint="eastAsia" w:eastAsiaTheme="minorEastAsia"/>
                      <w:bCs/>
                      <w:color w:val="auto"/>
                      <w:szCs w:val="21"/>
                    </w:rPr>
                    <w:t>通风设备</w:t>
                  </w:r>
                </w:p>
              </w:tc>
              <w:tc>
                <w:tcPr>
                  <w:tcW w:w="570" w:type="pct"/>
                  <w:tcBorders>
                    <w:tl2br w:val="nil"/>
                    <w:tr2bl w:val="nil"/>
                  </w:tcBorders>
                  <w:vAlign w:val="center"/>
                </w:tcPr>
                <w:p w14:paraId="60054178">
                  <w:pPr>
                    <w:adjustRightInd w:val="0"/>
                    <w:snapToGrid w:val="0"/>
                    <w:jc w:val="center"/>
                    <w:rPr>
                      <w:rFonts w:eastAsiaTheme="minorEastAsia"/>
                      <w:bCs/>
                      <w:color w:val="auto"/>
                      <w:szCs w:val="21"/>
                    </w:rPr>
                  </w:pPr>
                  <w:r>
                    <w:rPr>
                      <w:rFonts w:hint="eastAsia" w:eastAsiaTheme="minorEastAsia"/>
                      <w:bCs/>
                      <w:color w:val="auto"/>
                      <w:szCs w:val="21"/>
                    </w:rPr>
                    <w:t>1.5</w:t>
                  </w:r>
                </w:p>
              </w:tc>
              <w:tc>
                <w:tcPr>
                  <w:tcW w:w="1581" w:type="pct"/>
                  <w:tcBorders>
                    <w:tl2br w:val="nil"/>
                    <w:tr2bl w:val="nil"/>
                  </w:tcBorders>
                  <w:vAlign w:val="center"/>
                </w:tcPr>
                <w:p w14:paraId="57CF7D9E">
                  <w:pPr>
                    <w:adjustRightInd w:val="0"/>
                    <w:snapToGrid w:val="0"/>
                    <w:jc w:val="center"/>
                    <w:rPr>
                      <w:rFonts w:eastAsiaTheme="minorEastAsia"/>
                      <w:bCs/>
                      <w:color w:val="auto"/>
                      <w:szCs w:val="21"/>
                    </w:rPr>
                  </w:pPr>
                  <w:r>
                    <w:rPr>
                      <w:rFonts w:hint="eastAsia" w:eastAsiaTheme="minorEastAsia"/>
                      <w:bCs/>
                      <w:color w:val="auto"/>
                      <w:szCs w:val="21"/>
                    </w:rPr>
                    <w:t>/</w:t>
                  </w:r>
                </w:p>
              </w:tc>
              <w:tc>
                <w:tcPr>
                  <w:tcW w:w="466" w:type="pct"/>
                  <w:tcBorders>
                    <w:tl2br w:val="nil"/>
                    <w:tr2bl w:val="nil"/>
                  </w:tcBorders>
                  <w:vAlign w:val="center"/>
                </w:tcPr>
                <w:p w14:paraId="280565A1">
                  <w:pPr>
                    <w:adjustRightInd w:val="0"/>
                    <w:snapToGrid w:val="0"/>
                    <w:jc w:val="center"/>
                    <w:rPr>
                      <w:rFonts w:eastAsiaTheme="minorEastAsia"/>
                      <w:bCs/>
                      <w:color w:val="auto"/>
                      <w:szCs w:val="21"/>
                    </w:rPr>
                  </w:pPr>
                  <w:r>
                    <w:rPr>
                      <w:rFonts w:hint="eastAsia" w:eastAsiaTheme="minorEastAsia"/>
                      <w:bCs/>
                      <w:color w:val="auto"/>
                      <w:szCs w:val="21"/>
                    </w:rPr>
                    <w:t>10</w:t>
                  </w:r>
                </w:p>
              </w:tc>
              <w:tc>
                <w:tcPr>
                  <w:tcW w:w="642" w:type="pct"/>
                  <w:tcBorders>
                    <w:tl2br w:val="nil"/>
                    <w:tr2bl w:val="nil"/>
                  </w:tcBorders>
                  <w:vAlign w:val="center"/>
                </w:tcPr>
                <w:p w14:paraId="058EA969">
                  <w:pPr>
                    <w:adjustRightInd w:val="0"/>
                    <w:snapToGrid w:val="0"/>
                    <w:jc w:val="center"/>
                    <w:rPr>
                      <w:rFonts w:eastAsiaTheme="minorEastAsia"/>
                      <w:bCs/>
                      <w:color w:val="auto"/>
                      <w:szCs w:val="21"/>
                    </w:rPr>
                  </w:pPr>
                  <w:r>
                    <w:rPr>
                      <w:rFonts w:hint="eastAsia" w:eastAsiaTheme="minorEastAsia"/>
                      <w:bCs/>
                      <w:color w:val="auto"/>
                      <w:szCs w:val="21"/>
                    </w:rPr>
                    <w:t>15</w:t>
                  </w:r>
                </w:p>
              </w:tc>
            </w:tr>
            <w:tr w14:paraId="15D697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08725FB4">
                  <w:pPr>
                    <w:adjustRightInd w:val="0"/>
                    <w:snapToGrid w:val="0"/>
                    <w:jc w:val="center"/>
                    <w:rPr>
                      <w:bCs/>
                      <w:color w:val="auto"/>
                      <w:szCs w:val="21"/>
                    </w:rPr>
                  </w:pPr>
                  <w:r>
                    <w:rPr>
                      <w:rFonts w:hint="eastAsia"/>
                      <w:bCs/>
                      <w:color w:val="auto"/>
                      <w:szCs w:val="21"/>
                    </w:rPr>
                    <w:t>23</w:t>
                  </w:r>
                </w:p>
              </w:tc>
              <w:tc>
                <w:tcPr>
                  <w:tcW w:w="679" w:type="pct"/>
                  <w:vMerge w:val="continue"/>
                  <w:tcBorders>
                    <w:tl2br w:val="nil"/>
                    <w:tr2bl w:val="nil"/>
                  </w:tcBorders>
                  <w:vAlign w:val="center"/>
                </w:tcPr>
                <w:p w14:paraId="1993F80C">
                  <w:pPr>
                    <w:adjustRightInd w:val="0"/>
                    <w:snapToGrid w:val="0"/>
                    <w:jc w:val="center"/>
                    <w:rPr>
                      <w:rFonts w:eastAsiaTheme="minorEastAsia"/>
                      <w:bCs/>
                      <w:color w:val="auto"/>
                      <w:szCs w:val="21"/>
                    </w:rPr>
                  </w:pPr>
                </w:p>
              </w:tc>
              <w:tc>
                <w:tcPr>
                  <w:tcW w:w="640" w:type="pct"/>
                  <w:tcBorders>
                    <w:tl2br w:val="nil"/>
                    <w:tr2bl w:val="nil"/>
                  </w:tcBorders>
                  <w:vAlign w:val="center"/>
                </w:tcPr>
                <w:p w14:paraId="1BF059AB">
                  <w:pPr>
                    <w:adjustRightInd w:val="0"/>
                    <w:snapToGrid w:val="0"/>
                    <w:jc w:val="center"/>
                    <w:rPr>
                      <w:rFonts w:eastAsiaTheme="minorEastAsia"/>
                      <w:bCs/>
                      <w:color w:val="auto"/>
                      <w:szCs w:val="21"/>
                    </w:rPr>
                  </w:pPr>
                  <w:r>
                    <w:rPr>
                      <w:rFonts w:hint="eastAsia" w:eastAsiaTheme="minorEastAsia"/>
                      <w:bCs/>
                      <w:color w:val="auto"/>
                      <w:szCs w:val="21"/>
                    </w:rPr>
                    <w:t>叉车</w:t>
                  </w:r>
                </w:p>
              </w:tc>
              <w:tc>
                <w:tcPr>
                  <w:tcW w:w="570" w:type="pct"/>
                  <w:tcBorders>
                    <w:tl2br w:val="nil"/>
                    <w:tr2bl w:val="nil"/>
                  </w:tcBorders>
                  <w:vAlign w:val="center"/>
                </w:tcPr>
                <w:p w14:paraId="1E243A7D">
                  <w:pPr>
                    <w:adjustRightInd w:val="0"/>
                    <w:snapToGrid w:val="0"/>
                    <w:jc w:val="center"/>
                    <w:rPr>
                      <w:rFonts w:eastAsiaTheme="minorEastAsia"/>
                      <w:bCs/>
                      <w:color w:val="auto"/>
                      <w:szCs w:val="21"/>
                    </w:rPr>
                  </w:pPr>
                  <w:r>
                    <w:rPr>
                      <w:rFonts w:hint="eastAsia" w:eastAsiaTheme="minorEastAsia"/>
                      <w:bCs/>
                      <w:color w:val="auto"/>
                      <w:szCs w:val="21"/>
                    </w:rPr>
                    <w:t>/</w:t>
                  </w:r>
                </w:p>
              </w:tc>
              <w:tc>
                <w:tcPr>
                  <w:tcW w:w="1581" w:type="pct"/>
                  <w:tcBorders>
                    <w:tl2br w:val="nil"/>
                    <w:tr2bl w:val="nil"/>
                  </w:tcBorders>
                  <w:vAlign w:val="center"/>
                </w:tcPr>
                <w:p w14:paraId="6CF900F1">
                  <w:pPr>
                    <w:adjustRightInd w:val="0"/>
                    <w:snapToGrid w:val="0"/>
                    <w:jc w:val="center"/>
                    <w:rPr>
                      <w:rFonts w:eastAsiaTheme="minorEastAsia"/>
                      <w:bCs/>
                      <w:color w:val="auto"/>
                      <w:szCs w:val="21"/>
                    </w:rPr>
                  </w:pPr>
                  <w:r>
                    <w:rPr>
                      <w:rFonts w:hint="eastAsia" w:eastAsiaTheme="minorEastAsia"/>
                      <w:bCs/>
                      <w:color w:val="auto"/>
                      <w:szCs w:val="21"/>
                    </w:rPr>
                    <w:t>/</w:t>
                  </w:r>
                </w:p>
              </w:tc>
              <w:tc>
                <w:tcPr>
                  <w:tcW w:w="466" w:type="pct"/>
                  <w:tcBorders>
                    <w:tl2br w:val="nil"/>
                    <w:tr2bl w:val="nil"/>
                  </w:tcBorders>
                  <w:vAlign w:val="center"/>
                </w:tcPr>
                <w:p w14:paraId="239EF686">
                  <w:pPr>
                    <w:adjustRightInd w:val="0"/>
                    <w:snapToGrid w:val="0"/>
                    <w:jc w:val="center"/>
                    <w:rPr>
                      <w:rFonts w:eastAsiaTheme="minorEastAsia"/>
                      <w:bCs/>
                      <w:color w:val="auto"/>
                      <w:szCs w:val="21"/>
                    </w:rPr>
                  </w:pPr>
                  <w:r>
                    <w:rPr>
                      <w:rFonts w:hint="eastAsia" w:eastAsiaTheme="minorEastAsia"/>
                      <w:bCs/>
                      <w:color w:val="auto"/>
                      <w:szCs w:val="21"/>
                    </w:rPr>
                    <w:t>3</w:t>
                  </w:r>
                </w:p>
              </w:tc>
              <w:tc>
                <w:tcPr>
                  <w:tcW w:w="642" w:type="pct"/>
                  <w:tcBorders>
                    <w:tl2br w:val="nil"/>
                    <w:tr2bl w:val="nil"/>
                  </w:tcBorders>
                  <w:vAlign w:val="center"/>
                </w:tcPr>
                <w:p w14:paraId="2C828078">
                  <w:pPr>
                    <w:adjustRightInd w:val="0"/>
                    <w:snapToGrid w:val="0"/>
                    <w:jc w:val="center"/>
                    <w:rPr>
                      <w:rFonts w:eastAsiaTheme="minorEastAsia"/>
                      <w:bCs/>
                      <w:color w:val="auto"/>
                      <w:szCs w:val="21"/>
                    </w:rPr>
                  </w:pPr>
                  <w:r>
                    <w:rPr>
                      <w:rFonts w:hint="eastAsia" w:eastAsiaTheme="minorEastAsia"/>
                      <w:bCs/>
                      <w:color w:val="auto"/>
                      <w:szCs w:val="21"/>
                    </w:rPr>
                    <w:t>/</w:t>
                  </w:r>
                </w:p>
              </w:tc>
            </w:tr>
            <w:tr w14:paraId="45A89E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799B871F">
                  <w:pPr>
                    <w:adjustRightInd w:val="0"/>
                    <w:snapToGrid w:val="0"/>
                    <w:jc w:val="center"/>
                    <w:rPr>
                      <w:bCs/>
                      <w:color w:val="auto"/>
                      <w:szCs w:val="21"/>
                    </w:rPr>
                  </w:pPr>
                  <w:r>
                    <w:rPr>
                      <w:rFonts w:hint="eastAsia"/>
                      <w:bCs/>
                      <w:color w:val="auto"/>
                      <w:szCs w:val="21"/>
                    </w:rPr>
                    <w:t>24</w:t>
                  </w:r>
                </w:p>
              </w:tc>
              <w:tc>
                <w:tcPr>
                  <w:tcW w:w="679" w:type="pct"/>
                  <w:vMerge w:val="restart"/>
                  <w:tcBorders>
                    <w:tl2br w:val="nil"/>
                    <w:tr2bl w:val="nil"/>
                  </w:tcBorders>
                  <w:vAlign w:val="center"/>
                </w:tcPr>
                <w:p w14:paraId="651A9DB7">
                  <w:pPr>
                    <w:adjustRightInd w:val="0"/>
                    <w:snapToGrid w:val="0"/>
                    <w:jc w:val="center"/>
                    <w:rPr>
                      <w:rFonts w:eastAsiaTheme="minorEastAsia"/>
                      <w:bCs/>
                      <w:color w:val="auto"/>
                      <w:szCs w:val="21"/>
                    </w:rPr>
                  </w:pPr>
                  <w:r>
                    <w:rPr>
                      <w:rFonts w:hint="eastAsia" w:eastAsiaTheme="minorEastAsia"/>
                      <w:bCs/>
                      <w:color w:val="auto"/>
                      <w:szCs w:val="21"/>
                    </w:rPr>
                    <w:t>特种设备</w:t>
                  </w:r>
                </w:p>
              </w:tc>
              <w:tc>
                <w:tcPr>
                  <w:tcW w:w="640" w:type="pct"/>
                  <w:tcBorders>
                    <w:tl2br w:val="nil"/>
                    <w:tr2bl w:val="nil"/>
                  </w:tcBorders>
                  <w:vAlign w:val="center"/>
                </w:tcPr>
                <w:p w14:paraId="2027EC04">
                  <w:pPr>
                    <w:adjustRightInd w:val="0"/>
                    <w:snapToGrid w:val="0"/>
                    <w:jc w:val="center"/>
                    <w:rPr>
                      <w:rFonts w:eastAsiaTheme="minorEastAsia"/>
                      <w:bCs/>
                      <w:color w:val="auto"/>
                      <w:szCs w:val="21"/>
                    </w:rPr>
                  </w:pPr>
                  <w:r>
                    <w:rPr>
                      <w:rFonts w:hint="eastAsia" w:eastAsiaTheme="minorEastAsia"/>
                      <w:bCs/>
                      <w:color w:val="auto"/>
                      <w:szCs w:val="21"/>
                    </w:rPr>
                    <w:t>冶金双梁桥式起重机</w:t>
                  </w:r>
                </w:p>
              </w:tc>
              <w:tc>
                <w:tcPr>
                  <w:tcW w:w="570" w:type="pct"/>
                  <w:tcBorders>
                    <w:tl2br w:val="nil"/>
                    <w:tr2bl w:val="nil"/>
                  </w:tcBorders>
                  <w:vAlign w:val="center"/>
                </w:tcPr>
                <w:p w14:paraId="61B1B761">
                  <w:pPr>
                    <w:adjustRightInd w:val="0"/>
                    <w:snapToGrid w:val="0"/>
                    <w:jc w:val="center"/>
                    <w:rPr>
                      <w:rFonts w:eastAsiaTheme="minorEastAsia"/>
                      <w:bCs/>
                      <w:color w:val="auto"/>
                      <w:szCs w:val="21"/>
                    </w:rPr>
                  </w:pPr>
                  <w:r>
                    <w:rPr>
                      <w:rFonts w:hint="eastAsia" w:eastAsiaTheme="minorEastAsia"/>
                      <w:bCs/>
                      <w:color w:val="auto"/>
                      <w:szCs w:val="21"/>
                    </w:rPr>
                    <w:t>82.7</w:t>
                  </w:r>
                </w:p>
              </w:tc>
              <w:tc>
                <w:tcPr>
                  <w:tcW w:w="1581" w:type="pct"/>
                  <w:tcBorders>
                    <w:tl2br w:val="nil"/>
                    <w:tr2bl w:val="nil"/>
                  </w:tcBorders>
                  <w:vAlign w:val="center"/>
                </w:tcPr>
                <w:p w14:paraId="2B5057EA">
                  <w:pPr>
                    <w:adjustRightInd w:val="0"/>
                    <w:snapToGrid w:val="0"/>
                    <w:jc w:val="center"/>
                    <w:rPr>
                      <w:rFonts w:eastAsiaTheme="minorEastAsia"/>
                      <w:bCs/>
                      <w:color w:val="auto"/>
                      <w:szCs w:val="21"/>
                    </w:rPr>
                  </w:pPr>
                  <w:r>
                    <w:rPr>
                      <w:rFonts w:hint="eastAsia" w:eastAsiaTheme="minorEastAsia"/>
                      <w:bCs/>
                      <w:color w:val="auto"/>
                      <w:szCs w:val="21"/>
                    </w:rPr>
                    <w:t>QDY20/10t-22.5m A7</w:t>
                  </w:r>
                </w:p>
                <w:p w14:paraId="5C9968DD">
                  <w:pPr>
                    <w:adjustRightInd w:val="0"/>
                    <w:snapToGrid w:val="0"/>
                    <w:jc w:val="center"/>
                    <w:rPr>
                      <w:rFonts w:eastAsiaTheme="minorEastAsia"/>
                      <w:bCs/>
                      <w:color w:val="auto"/>
                      <w:szCs w:val="21"/>
                    </w:rPr>
                  </w:pPr>
                  <w:r>
                    <w:rPr>
                      <w:rFonts w:hint="eastAsia" w:eastAsiaTheme="minorEastAsia"/>
                      <w:bCs/>
                      <w:color w:val="auto"/>
                      <w:szCs w:val="21"/>
                    </w:rPr>
                    <w:t>H=10m</w:t>
                  </w:r>
                </w:p>
              </w:tc>
              <w:tc>
                <w:tcPr>
                  <w:tcW w:w="466" w:type="pct"/>
                  <w:tcBorders>
                    <w:tl2br w:val="nil"/>
                    <w:tr2bl w:val="nil"/>
                  </w:tcBorders>
                  <w:vAlign w:val="center"/>
                </w:tcPr>
                <w:p w14:paraId="6035FADE">
                  <w:pPr>
                    <w:adjustRightInd w:val="0"/>
                    <w:snapToGrid w:val="0"/>
                    <w:jc w:val="center"/>
                    <w:rPr>
                      <w:rFonts w:eastAsiaTheme="minorEastAsia"/>
                      <w:bCs/>
                      <w:color w:val="auto"/>
                      <w:szCs w:val="21"/>
                    </w:rPr>
                  </w:pPr>
                  <w:r>
                    <w:rPr>
                      <w:rFonts w:hint="eastAsia" w:eastAsiaTheme="minorEastAsia"/>
                      <w:bCs/>
                      <w:color w:val="auto"/>
                      <w:szCs w:val="21"/>
                    </w:rPr>
                    <w:t>1</w:t>
                  </w:r>
                </w:p>
              </w:tc>
              <w:tc>
                <w:tcPr>
                  <w:tcW w:w="642" w:type="pct"/>
                  <w:tcBorders>
                    <w:tl2br w:val="nil"/>
                    <w:tr2bl w:val="nil"/>
                  </w:tcBorders>
                  <w:vAlign w:val="center"/>
                </w:tcPr>
                <w:p w14:paraId="6ED25EF1">
                  <w:pPr>
                    <w:adjustRightInd w:val="0"/>
                    <w:snapToGrid w:val="0"/>
                    <w:jc w:val="center"/>
                    <w:rPr>
                      <w:rFonts w:eastAsiaTheme="minorEastAsia"/>
                      <w:bCs/>
                      <w:color w:val="auto"/>
                      <w:szCs w:val="21"/>
                    </w:rPr>
                  </w:pPr>
                  <w:r>
                    <w:rPr>
                      <w:rFonts w:hint="eastAsia" w:eastAsiaTheme="minorEastAsia"/>
                      <w:bCs/>
                      <w:color w:val="auto"/>
                      <w:szCs w:val="21"/>
                    </w:rPr>
                    <w:t>82.7</w:t>
                  </w:r>
                </w:p>
              </w:tc>
            </w:tr>
            <w:tr w14:paraId="749D7E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52A3BC64">
                  <w:pPr>
                    <w:adjustRightInd w:val="0"/>
                    <w:snapToGrid w:val="0"/>
                    <w:jc w:val="center"/>
                    <w:rPr>
                      <w:bCs/>
                      <w:color w:val="auto"/>
                      <w:szCs w:val="21"/>
                    </w:rPr>
                  </w:pPr>
                  <w:r>
                    <w:rPr>
                      <w:rFonts w:hint="eastAsia"/>
                      <w:bCs/>
                      <w:color w:val="auto"/>
                      <w:szCs w:val="21"/>
                    </w:rPr>
                    <w:t>25</w:t>
                  </w:r>
                </w:p>
              </w:tc>
              <w:tc>
                <w:tcPr>
                  <w:tcW w:w="679" w:type="pct"/>
                  <w:vMerge w:val="continue"/>
                  <w:tcBorders>
                    <w:tl2br w:val="nil"/>
                    <w:tr2bl w:val="nil"/>
                  </w:tcBorders>
                  <w:vAlign w:val="center"/>
                </w:tcPr>
                <w:p w14:paraId="2731A4FB">
                  <w:pPr>
                    <w:adjustRightInd w:val="0"/>
                    <w:snapToGrid w:val="0"/>
                    <w:jc w:val="center"/>
                    <w:rPr>
                      <w:rFonts w:eastAsiaTheme="minorEastAsia"/>
                      <w:bCs/>
                      <w:color w:val="auto"/>
                      <w:szCs w:val="21"/>
                    </w:rPr>
                  </w:pPr>
                </w:p>
              </w:tc>
              <w:tc>
                <w:tcPr>
                  <w:tcW w:w="640" w:type="pct"/>
                  <w:tcBorders>
                    <w:tl2br w:val="nil"/>
                    <w:tr2bl w:val="nil"/>
                  </w:tcBorders>
                  <w:vAlign w:val="center"/>
                </w:tcPr>
                <w:p w14:paraId="78640B61">
                  <w:pPr>
                    <w:adjustRightInd w:val="0"/>
                    <w:snapToGrid w:val="0"/>
                    <w:jc w:val="center"/>
                    <w:rPr>
                      <w:rFonts w:eastAsiaTheme="minorEastAsia"/>
                      <w:bCs/>
                      <w:color w:val="auto"/>
                      <w:szCs w:val="21"/>
                    </w:rPr>
                  </w:pPr>
                  <w:r>
                    <w:rPr>
                      <w:rFonts w:hint="eastAsia" w:eastAsiaTheme="minorEastAsia"/>
                      <w:bCs/>
                      <w:color w:val="auto"/>
                      <w:szCs w:val="21"/>
                    </w:rPr>
                    <w:t>电磁双梁式起重机</w:t>
                  </w:r>
                </w:p>
              </w:tc>
              <w:tc>
                <w:tcPr>
                  <w:tcW w:w="570" w:type="pct"/>
                  <w:tcBorders>
                    <w:tl2br w:val="nil"/>
                    <w:tr2bl w:val="nil"/>
                  </w:tcBorders>
                  <w:vAlign w:val="center"/>
                </w:tcPr>
                <w:p w14:paraId="008F21E9">
                  <w:pPr>
                    <w:adjustRightInd w:val="0"/>
                    <w:snapToGrid w:val="0"/>
                    <w:jc w:val="center"/>
                    <w:rPr>
                      <w:rFonts w:eastAsiaTheme="minorEastAsia"/>
                      <w:bCs/>
                      <w:color w:val="auto"/>
                      <w:szCs w:val="21"/>
                    </w:rPr>
                  </w:pPr>
                  <w:r>
                    <w:rPr>
                      <w:rFonts w:hint="eastAsia" w:eastAsiaTheme="minorEastAsia"/>
                      <w:bCs/>
                      <w:color w:val="auto"/>
                      <w:szCs w:val="21"/>
                    </w:rPr>
                    <w:t>34.8</w:t>
                  </w:r>
                </w:p>
              </w:tc>
              <w:tc>
                <w:tcPr>
                  <w:tcW w:w="1581" w:type="pct"/>
                  <w:tcBorders>
                    <w:tl2br w:val="nil"/>
                    <w:tr2bl w:val="nil"/>
                  </w:tcBorders>
                  <w:vAlign w:val="center"/>
                </w:tcPr>
                <w:p w14:paraId="7BDC7274">
                  <w:pPr>
                    <w:adjustRightInd w:val="0"/>
                    <w:snapToGrid w:val="0"/>
                    <w:jc w:val="center"/>
                    <w:rPr>
                      <w:rFonts w:eastAsiaTheme="minorEastAsia"/>
                      <w:bCs/>
                      <w:color w:val="auto"/>
                      <w:szCs w:val="21"/>
                    </w:rPr>
                  </w:pPr>
                  <w:r>
                    <w:rPr>
                      <w:rFonts w:hint="eastAsia" w:eastAsiaTheme="minorEastAsia"/>
                      <w:bCs/>
                      <w:color w:val="auto"/>
                      <w:szCs w:val="21"/>
                    </w:rPr>
                    <w:t>QC10t-22.5m A6</w:t>
                  </w:r>
                </w:p>
                <w:p w14:paraId="0C934FDB">
                  <w:pPr>
                    <w:adjustRightInd w:val="0"/>
                    <w:snapToGrid w:val="0"/>
                    <w:jc w:val="center"/>
                    <w:rPr>
                      <w:rFonts w:eastAsiaTheme="minorEastAsia"/>
                      <w:bCs/>
                      <w:color w:val="auto"/>
                      <w:szCs w:val="21"/>
                    </w:rPr>
                  </w:pPr>
                  <w:r>
                    <w:rPr>
                      <w:rFonts w:hint="eastAsia" w:eastAsiaTheme="minorEastAsia"/>
                      <w:bCs/>
                      <w:color w:val="auto"/>
                      <w:szCs w:val="21"/>
                    </w:rPr>
                    <w:t>H=10m</w:t>
                  </w:r>
                </w:p>
              </w:tc>
              <w:tc>
                <w:tcPr>
                  <w:tcW w:w="466" w:type="pct"/>
                  <w:tcBorders>
                    <w:tl2br w:val="nil"/>
                    <w:tr2bl w:val="nil"/>
                  </w:tcBorders>
                  <w:vAlign w:val="center"/>
                </w:tcPr>
                <w:p w14:paraId="5AE4AC52">
                  <w:pPr>
                    <w:adjustRightInd w:val="0"/>
                    <w:snapToGrid w:val="0"/>
                    <w:jc w:val="center"/>
                    <w:rPr>
                      <w:rFonts w:eastAsiaTheme="minorEastAsia"/>
                      <w:bCs/>
                      <w:color w:val="auto"/>
                      <w:szCs w:val="21"/>
                    </w:rPr>
                  </w:pPr>
                  <w:r>
                    <w:rPr>
                      <w:rFonts w:hint="eastAsia" w:eastAsiaTheme="minorEastAsia"/>
                      <w:bCs/>
                      <w:color w:val="auto"/>
                      <w:szCs w:val="21"/>
                    </w:rPr>
                    <w:t>1</w:t>
                  </w:r>
                </w:p>
              </w:tc>
              <w:tc>
                <w:tcPr>
                  <w:tcW w:w="642" w:type="pct"/>
                  <w:tcBorders>
                    <w:tl2br w:val="nil"/>
                    <w:tr2bl w:val="nil"/>
                  </w:tcBorders>
                  <w:vAlign w:val="center"/>
                </w:tcPr>
                <w:p w14:paraId="017C1C19">
                  <w:pPr>
                    <w:adjustRightInd w:val="0"/>
                    <w:snapToGrid w:val="0"/>
                    <w:jc w:val="center"/>
                    <w:rPr>
                      <w:rFonts w:eastAsiaTheme="minorEastAsia"/>
                      <w:bCs/>
                      <w:color w:val="auto"/>
                      <w:szCs w:val="21"/>
                    </w:rPr>
                  </w:pPr>
                  <w:r>
                    <w:rPr>
                      <w:rFonts w:hint="eastAsia" w:eastAsiaTheme="minorEastAsia"/>
                      <w:bCs/>
                      <w:color w:val="auto"/>
                      <w:szCs w:val="21"/>
                    </w:rPr>
                    <w:t>34.8</w:t>
                  </w:r>
                </w:p>
              </w:tc>
            </w:tr>
            <w:tr w14:paraId="1888A7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6AD89452">
                  <w:pPr>
                    <w:adjustRightInd w:val="0"/>
                    <w:snapToGrid w:val="0"/>
                    <w:jc w:val="center"/>
                    <w:rPr>
                      <w:bCs/>
                      <w:color w:val="auto"/>
                      <w:szCs w:val="21"/>
                    </w:rPr>
                  </w:pPr>
                  <w:r>
                    <w:rPr>
                      <w:rFonts w:hint="eastAsia"/>
                      <w:bCs/>
                      <w:color w:val="auto"/>
                      <w:szCs w:val="21"/>
                    </w:rPr>
                    <w:t>26</w:t>
                  </w:r>
                </w:p>
              </w:tc>
              <w:tc>
                <w:tcPr>
                  <w:tcW w:w="679" w:type="pct"/>
                  <w:vMerge w:val="continue"/>
                  <w:tcBorders>
                    <w:tl2br w:val="nil"/>
                    <w:tr2bl w:val="nil"/>
                  </w:tcBorders>
                  <w:vAlign w:val="center"/>
                </w:tcPr>
                <w:p w14:paraId="122C16BB">
                  <w:pPr>
                    <w:adjustRightInd w:val="0"/>
                    <w:snapToGrid w:val="0"/>
                    <w:jc w:val="center"/>
                    <w:rPr>
                      <w:rFonts w:eastAsiaTheme="minorEastAsia"/>
                      <w:bCs/>
                      <w:color w:val="auto"/>
                      <w:szCs w:val="21"/>
                    </w:rPr>
                  </w:pPr>
                </w:p>
              </w:tc>
              <w:tc>
                <w:tcPr>
                  <w:tcW w:w="640" w:type="pct"/>
                  <w:tcBorders>
                    <w:tl2br w:val="nil"/>
                    <w:tr2bl w:val="nil"/>
                  </w:tcBorders>
                  <w:vAlign w:val="center"/>
                </w:tcPr>
                <w:p w14:paraId="157E992A">
                  <w:pPr>
                    <w:adjustRightInd w:val="0"/>
                    <w:snapToGrid w:val="0"/>
                    <w:jc w:val="center"/>
                    <w:rPr>
                      <w:rFonts w:eastAsiaTheme="minorEastAsia"/>
                      <w:bCs/>
                      <w:color w:val="auto"/>
                      <w:szCs w:val="21"/>
                    </w:rPr>
                  </w:pPr>
                  <w:r>
                    <w:rPr>
                      <w:rFonts w:hint="eastAsia" w:eastAsiaTheme="minorEastAsia"/>
                      <w:bCs/>
                      <w:color w:val="auto"/>
                      <w:szCs w:val="21"/>
                    </w:rPr>
                    <w:t>单梁桥式起重机</w:t>
                  </w:r>
                </w:p>
              </w:tc>
              <w:tc>
                <w:tcPr>
                  <w:tcW w:w="570" w:type="pct"/>
                  <w:tcBorders>
                    <w:tl2br w:val="nil"/>
                    <w:tr2bl w:val="nil"/>
                  </w:tcBorders>
                  <w:vAlign w:val="center"/>
                </w:tcPr>
                <w:p w14:paraId="7BE1F479">
                  <w:pPr>
                    <w:adjustRightInd w:val="0"/>
                    <w:snapToGrid w:val="0"/>
                    <w:jc w:val="center"/>
                    <w:rPr>
                      <w:rFonts w:eastAsiaTheme="minorEastAsia"/>
                      <w:bCs/>
                      <w:color w:val="auto"/>
                      <w:szCs w:val="21"/>
                    </w:rPr>
                  </w:pPr>
                  <w:r>
                    <w:rPr>
                      <w:rFonts w:hint="eastAsia" w:eastAsiaTheme="minorEastAsia"/>
                      <w:bCs/>
                      <w:color w:val="auto"/>
                      <w:szCs w:val="21"/>
                    </w:rPr>
                    <w:t>25</w:t>
                  </w:r>
                </w:p>
              </w:tc>
              <w:tc>
                <w:tcPr>
                  <w:tcW w:w="1581" w:type="pct"/>
                  <w:tcBorders>
                    <w:tl2br w:val="nil"/>
                    <w:tr2bl w:val="nil"/>
                  </w:tcBorders>
                  <w:vAlign w:val="center"/>
                </w:tcPr>
                <w:p w14:paraId="467DE170">
                  <w:pPr>
                    <w:adjustRightInd w:val="0"/>
                    <w:snapToGrid w:val="0"/>
                    <w:jc w:val="center"/>
                    <w:rPr>
                      <w:rFonts w:eastAsiaTheme="minorEastAsia"/>
                      <w:bCs/>
                      <w:color w:val="auto"/>
                      <w:szCs w:val="21"/>
                    </w:rPr>
                  </w:pPr>
                  <w:r>
                    <w:rPr>
                      <w:rFonts w:hint="eastAsia" w:eastAsiaTheme="minorEastAsia"/>
                      <w:bCs/>
                      <w:color w:val="auto"/>
                      <w:szCs w:val="21"/>
                    </w:rPr>
                    <w:t>LD5t-34.5m A3</w:t>
                  </w:r>
                </w:p>
                <w:p w14:paraId="4E5E5AE7">
                  <w:pPr>
                    <w:adjustRightInd w:val="0"/>
                    <w:snapToGrid w:val="0"/>
                    <w:jc w:val="center"/>
                    <w:rPr>
                      <w:rFonts w:eastAsiaTheme="minorEastAsia"/>
                      <w:bCs/>
                      <w:color w:val="auto"/>
                      <w:szCs w:val="21"/>
                    </w:rPr>
                  </w:pPr>
                  <w:r>
                    <w:rPr>
                      <w:rFonts w:hint="eastAsia" w:eastAsiaTheme="minorEastAsia"/>
                      <w:bCs/>
                      <w:color w:val="auto"/>
                      <w:szCs w:val="21"/>
                    </w:rPr>
                    <w:t>H=10m</w:t>
                  </w:r>
                </w:p>
              </w:tc>
              <w:tc>
                <w:tcPr>
                  <w:tcW w:w="466" w:type="pct"/>
                  <w:tcBorders>
                    <w:tl2br w:val="nil"/>
                    <w:tr2bl w:val="nil"/>
                  </w:tcBorders>
                  <w:vAlign w:val="center"/>
                </w:tcPr>
                <w:p w14:paraId="30D1A5E4">
                  <w:pPr>
                    <w:adjustRightInd w:val="0"/>
                    <w:snapToGrid w:val="0"/>
                    <w:jc w:val="center"/>
                    <w:rPr>
                      <w:rFonts w:eastAsiaTheme="minorEastAsia"/>
                      <w:bCs/>
                      <w:color w:val="auto"/>
                      <w:szCs w:val="21"/>
                    </w:rPr>
                  </w:pPr>
                  <w:r>
                    <w:rPr>
                      <w:rFonts w:hint="eastAsia" w:eastAsiaTheme="minorEastAsia"/>
                      <w:bCs/>
                      <w:color w:val="auto"/>
                      <w:szCs w:val="21"/>
                    </w:rPr>
                    <w:t>3</w:t>
                  </w:r>
                </w:p>
              </w:tc>
              <w:tc>
                <w:tcPr>
                  <w:tcW w:w="642" w:type="pct"/>
                  <w:tcBorders>
                    <w:tl2br w:val="nil"/>
                    <w:tr2bl w:val="nil"/>
                  </w:tcBorders>
                  <w:vAlign w:val="center"/>
                </w:tcPr>
                <w:p w14:paraId="29C1DE14">
                  <w:pPr>
                    <w:adjustRightInd w:val="0"/>
                    <w:snapToGrid w:val="0"/>
                    <w:jc w:val="center"/>
                    <w:rPr>
                      <w:rFonts w:eastAsiaTheme="minorEastAsia"/>
                      <w:bCs/>
                      <w:color w:val="auto"/>
                      <w:szCs w:val="21"/>
                    </w:rPr>
                  </w:pPr>
                  <w:r>
                    <w:rPr>
                      <w:rFonts w:hint="eastAsia" w:eastAsiaTheme="minorEastAsia"/>
                      <w:bCs/>
                      <w:color w:val="auto"/>
                      <w:szCs w:val="21"/>
                    </w:rPr>
                    <w:t>40</w:t>
                  </w:r>
                </w:p>
              </w:tc>
            </w:tr>
            <w:tr w14:paraId="6CE8C0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tcBorders>
                    <w:tl2br w:val="nil"/>
                    <w:tr2bl w:val="nil"/>
                  </w:tcBorders>
                  <w:vAlign w:val="center"/>
                </w:tcPr>
                <w:p w14:paraId="2A3E09B8">
                  <w:pPr>
                    <w:adjustRightInd w:val="0"/>
                    <w:snapToGrid w:val="0"/>
                    <w:jc w:val="center"/>
                    <w:rPr>
                      <w:bCs/>
                      <w:color w:val="auto"/>
                      <w:szCs w:val="21"/>
                    </w:rPr>
                  </w:pPr>
                  <w:r>
                    <w:rPr>
                      <w:rFonts w:hint="eastAsia"/>
                      <w:bCs/>
                      <w:color w:val="auto"/>
                      <w:szCs w:val="21"/>
                    </w:rPr>
                    <w:t>27</w:t>
                  </w:r>
                </w:p>
              </w:tc>
              <w:tc>
                <w:tcPr>
                  <w:tcW w:w="679" w:type="pct"/>
                  <w:vMerge w:val="continue"/>
                  <w:tcBorders>
                    <w:tl2br w:val="nil"/>
                    <w:tr2bl w:val="nil"/>
                  </w:tcBorders>
                  <w:vAlign w:val="center"/>
                </w:tcPr>
                <w:p w14:paraId="4E07E1E7">
                  <w:pPr>
                    <w:adjustRightInd w:val="0"/>
                    <w:snapToGrid w:val="0"/>
                    <w:jc w:val="center"/>
                    <w:rPr>
                      <w:rFonts w:eastAsiaTheme="minorEastAsia"/>
                      <w:bCs/>
                      <w:color w:val="auto"/>
                      <w:szCs w:val="21"/>
                    </w:rPr>
                  </w:pPr>
                </w:p>
              </w:tc>
              <w:tc>
                <w:tcPr>
                  <w:tcW w:w="640" w:type="pct"/>
                  <w:tcBorders>
                    <w:tl2br w:val="nil"/>
                    <w:tr2bl w:val="nil"/>
                  </w:tcBorders>
                  <w:vAlign w:val="center"/>
                </w:tcPr>
                <w:p w14:paraId="6E1D617B">
                  <w:pPr>
                    <w:adjustRightInd w:val="0"/>
                    <w:snapToGrid w:val="0"/>
                    <w:jc w:val="center"/>
                    <w:rPr>
                      <w:rFonts w:eastAsiaTheme="minorEastAsia"/>
                      <w:bCs/>
                      <w:color w:val="auto"/>
                      <w:szCs w:val="21"/>
                    </w:rPr>
                  </w:pPr>
                  <w:r>
                    <w:rPr>
                      <w:rFonts w:hint="eastAsia" w:eastAsiaTheme="minorEastAsia"/>
                      <w:bCs/>
                      <w:color w:val="auto"/>
                      <w:szCs w:val="21"/>
                    </w:rPr>
                    <w:t>叉车</w:t>
                  </w:r>
                </w:p>
              </w:tc>
              <w:tc>
                <w:tcPr>
                  <w:tcW w:w="570" w:type="pct"/>
                  <w:tcBorders>
                    <w:tl2br w:val="nil"/>
                    <w:tr2bl w:val="nil"/>
                  </w:tcBorders>
                  <w:vAlign w:val="center"/>
                </w:tcPr>
                <w:p w14:paraId="31E2BC9B">
                  <w:pPr>
                    <w:adjustRightInd w:val="0"/>
                    <w:snapToGrid w:val="0"/>
                    <w:jc w:val="center"/>
                    <w:rPr>
                      <w:rFonts w:eastAsiaTheme="minorEastAsia"/>
                      <w:bCs/>
                      <w:color w:val="auto"/>
                      <w:szCs w:val="21"/>
                    </w:rPr>
                  </w:pPr>
                  <w:r>
                    <w:rPr>
                      <w:rFonts w:hint="eastAsia" w:eastAsiaTheme="minorEastAsia"/>
                      <w:bCs/>
                      <w:color w:val="auto"/>
                      <w:szCs w:val="21"/>
                    </w:rPr>
                    <w:t>/</w:t>
                  </w:r>
                </w:p>
              </w:tc>
              <w:tc>
                <w:tcPr>
                  <w:tcW w:w="1581" w:type="pct"/>
                  <w:tcBorders>
                    <w:tl2br w:val="nil"/>
                    <w:tr2bl w:val="nil"/>
                  </w:tcBorders>
                  <w:vAlign w:val="center"/>
                </w:tcPr>
                <w:p w14:paraId="61A3FF7D">
                  <w:pPr>
                    <w:adjustRightInd w:val="0"/>
                    <w:snapToGrid w:val="0"/>
                    <w:jc w:val="center"/>
                    <w:rPr>
                      <w:rFonts w:eastAsiaTheme="minorEastAsia"/>
                      <w:bCs/>
                      <w:color w:val="auto"/>
                      <w:szCs w:val="21"/>
                    </w:rPr>
                  </w:pPr>
                  <w:r>
                    <w:rPr>
                      <w:rFonts w:hint="eastAsia" w:eastAsiaTheme="minorEastAsia"/>
                      <w:bCs/>
                      <w:color w:val="auto"/>
                      <w:szCs w:val="21"/>
                    </w:rPr>
                    <w:t>/</w:t>
                  </w:r>
                </w:p>
              </w:tc>
              <w:tc>
                <w:tcPr>
                  <w:tcW w:w="466" w:type="pct"/>
                  <w:tcBorders>
                    <w:tl2br w:val="nil"/>
                    <w:tr2bl w:val="nil"/>
                  </w:tcBorders>
                  <w:vAlign w:val="center"/>
                </w:tcPr>
                <w:p w14:paraId="3AA7B7DA">
                  <w:pPr>
                    <w:adjustRightInd w:val="0"/>
                    <w:snapToGrid w:val="0"/>
                    <w:jc w:val="center"/>
                    <w:rPr>
                      <w:rFonts w:eastAsiaTheme="minorEastAsia"/>
                      <w:bCs/>
                      <w:color w:val="auto"/>
                      <w:szCs w:val="21"/>
                    </w:rPr>
                  </w:pPr>
                  <w:r>
                    <w:rPr>
                      <w:rFonts w:hint="eastAsia" w:eastAsiaTheme="minorEastAsia"/>
                      <w:bCs/>
                      <w:color w:val="auto"/>
                      <w:szCs w:val="21"/>
                    </w:rPr>
                    <w:t>3</w:t>
                  </w:r>
                </w:p>
              </w:tc>
              <w:tc>
                <w:tcPr>
                  <w:tcW w:w="642" w:type="pct"/>
                  <w:tcBorders>
                    <w:tl2br w:val="nil"/>
                    <w:tr2bl w:val="nil"/>
                  </w:tcBorders>
                  <w:vAlign w:val="center"/>
                </w:tcPr>
                <w:p w14:paraId="4D2654A1">
                  <w:pPr>
                    <w:adjustRightInd w:val="0"/>
                    <w:snapToGrid w:val="0"/>
                    <w:jc w:val="center"/>
                    <w:rPr>
                      <w:rFonts w:eastAsiaTheme="minorEastAsia"/>
                      <w:bCs/>
                      <w:color w:val="auto"/>
                      <w:szCs w:val="21"/>
                    </w:rPr>
                  </w:pPr>
                  <w:r>
                    <w:rPr>
                      <w:rFonts w:hint="eastAsia" w:eastAsiaTheme="minorEastAsia"/>
                      <w:bCs/>
                      <w:color w:val="auto"/>
                      <w:szCs w:val="21"/>
                    </w:rPr>
                    <w:t>/</w:t>
                  </w:r>
                </w:p>
              </w:tc>
            </w:tr>
          </w:tbl>
          <w:p w14:paraId="46528126">
            <w:pPr>
              <w:autoSpaceDE w:val="0"/>
              <w:autoSpaceDN w:val="0"/>
              <w:adjustRightInd w:val="0"/>
              <w:jc w:val="center"/>
              <w:rPr>
                <w:b/>
                <w:color w:val="auto"/>
                <w:lang w:val="zh-CN"/>
              </w:rPr>
            </w:pPr>
            <w:r>
              <w:rPr>
                <w:b/>
                <w:color w:val="auto"/>
                <w:lang w:val="zh-CN"/>
              </w:rPr>
              <w:t>表2-</w:t>
            </w:r>
            <w:r>
              <w:rPr>
                <w:rFonts w:hint="eastAsia"/>
                <w:b/>
                <w:color w:val="auto"/>
              </w:rPr>
              <w:t xml:space="preserve">3 </w:t>
            </w:r>
            <w:r>
              <w:rPr>
                <w:b/>
                <w:color w:val="auto"/>
                <w:lang w:val="zh-CN"/>
              </w:rPr>
              <w:t xml:space="preserve"> 主要</w:t>
            </w:r>
            <w:r>
              <w:rPr>
                <w:rFonts w:hint="eastAsia"/>
                <w:b/>
                <w:color w:val="auto"/>
              </w:rPr>
              <w:t>生产</w:t>
            </w:r>
            <w:r>
              <w:rPr>
                <w:b/>
                <w:color w:val="auto"/>
                <w:lang w:val="zh-CN"/>
              </w:rPr>
              <w:t>设备一览表</w:t>
            </w:r>
          </w:p>
          <w:p w14:paraId="1A896AF9">
            <w:pPr>
              <w:autoSpaceDE w:val="0"/>
              <w:autoSpaceDN w:val="0"/>
              <w:adjustRightInd w:val="0"/>
              <w:jc w:val="both"/>
              <w:rPr>
                <w:b/>
                <w:color w:val="auto"/>
              </w:rPr>
            </w:pPr>
          </w:p>
          <w:p w14:paraId="0305292B">
            <w:pPr>
              <w:autoSpaceDE w:val="0"/>
              <w:autoSpaceDN w:val="0"/>
              <w:adjustRightInd w:val="0"/>
              <w:jc w:val="center"/>
              <w:rPr>
                <w:b/>
                <w:color w:val="auto"/>
              </w:rPr>
            </w:pPr>
          </w:p>
          <w:p w14:paraId="64E7AAA2">
            <w:pPr>
              <w:autoSpaceDE w:val="0"/>
              <w:autoSpaceDN w:val="0"/>
              <w:adjustRightInd w:val="0"/>
              <w:jc w:val="center"/>
              <w:rPr>
                <w:b/>
                <w:color w:val="auto"/>
              </w:rPr>
            </w:pPr>
          </w:p>
          <w:p w14:paraId="5FD9A2F2">
            <w:pPr>
              <w:adjustRightInd w:val="0"/>
              <w:snapToGrid w:val="0"/>
              <w:spacing w:line="560" w:lineRule="exact"/>
              <w:ind w:firstLine="482" w:firstLineChars="200"/>
              <w:rPr>
                <w:b/>
                <w:color w:val="auto"/>
                <w:sz w:val="24"/>
              </w:rPr>
            </w:pPr>
            <w:r>
              <w:rPr>
                <w:rFonts w:hint="eastAsia"/>
                <w:b/>
                <w:color w:val="auto"/>
                <w:sz w:val="24"/>
              </w:rPr>
              <w:t>5、能源消耗及</w:t>
            </w:r>
            <w:r>
              <w:rPr>
                <w:b/>
                <w:color w:val="auto"/>
                <w:sz w:val="24"/>
              </w:rPr>
              <w:t>原辅材料</w:t>
            </w:r>
            <w:r>
              <w:rPr>
                <w:rFonts w:hint="eastAsia"/>
                <w:b/>
                <w:color w:val="auto"/>
                <w:sz w:val="24"/>
              </w:rPr>
              <w:t xml:space="preserve">  </w:t>
            </w:r>
          </w:p>
          <w:p w14:paraId="3D7AA148">
            <w:pPr>
              <w:adjustRightInd w:val="0"/>
              <w:snapToGrid w:val="0"/>
              <w:spacing w:line="560" w:lineRule="exact"/>
              <w:ind w:firstLine="480" w:firstLineChars="200"/>
              <w:rPr>
                <w:color w:val="auto"/>
                <w:sz w:val="24"/>
                <w:lang w:val="zh-CN"/>
              </w:rPr>
            </w:pPr>
            <w:r>
              <w:rPr>
                <w:color w:val="auto"/>
                <w:sz w:val="24"/>
              </w:rPr>
              <w:t>本项目主要</w:t>
            </w:r>
            <w:r>
              <w:rPr>
                <w:rFonts w:hint="eastAsia"/>
                <w:color w:val="auto"/>
                <w:sz w:val="24"/>
              </w:rPr>
              <w:t>能源及原辅料</w:t>
            </w:r>
            <w:r>
              <w:rPr>
                <w:color w:val="auto"/>
                <w:sz w:val="24"/>
              </w:rPr>
              <w:t>使用情况</w:t>
            </w:r>
            <w:r>
              <w:rPr>
                <w:color w:val="auto"/>
                <w:sz w:val="24"/>
                <w:lang w:val="zh-CN"/>
              </w:rPr>
              <w:t>见表</w:t>
            </w:r>
            <w:r>
              <w:rPr>
                <w:rFonts w:hint="eastAsia"/>
                <w:color w:val="auto"/>
                <w:sz w:val="24"/>
              </w:rPr>
              <w:t>2-4</w:t>
            </w:r>
            <w:r>
              <w:rPr>
                <w:color w:val="auto"/>
                <w:sz w:val="24"/>
                <w:lang w:val="zh-CN"/>
              </w:rPr>
              <w:t>。</w:t>
            </w:r>
          </w:p>
          <w:p w14:paraId="3381C3AB">
            <w:pPr>
              <w:autoSpaceDE w:val="0"/>
              <w:autoSpaceDN w:val="0"/>
              <w:adjustRightInd w:val="0"/>
              <w:jc w:val="center"/>
              <w:rPr>
                <w:b/>
                <w:color w:val="auto"/>
              </w:rPr>
            </w:pPr>
            <w:r>
              <w:rPr>
                <w:b/>
                <w:color w:val="auto"/>
                <w:lang w:val="zh-CN"/>
              </w:rPr>
              <w:t>表2-</w:t>
            </w:r>
            <w:r>
              <w:rPr>
                <w:rFonts w:hint="eastAsia"/>
                <w:b/>
                <w:color w:val="auto"/>
              </w:rPr>
              <w:t>4</w:t>
            </w:r>
            <w:r>
              <w:rPr>
                <w:b/>
                <w:color w:val="auto"/>
                <w:lang w:val="zh-CN"/>
              </w:rPr>
              <w:t xml:space="preserve">  </w:t>
            </w:r>
            <w:r>
              <w:rPr>
                <w:b/>
                <w:color w:val="auto"/>
              </w:rPr>
              <w:t>主要</w:t>
            </w:r>
            <w:r>
              <w:rPr>
                <w:rFonts w:hint="eastAsia"/>
                <w:b/>
                <w:color w:val="auto"/>
              </w:rPr>
              <w:t>能源及原辅材料</w:t>
            </w:r>
            <w:r>
              <w:rPr>
                <w:b/>
                <w:color w:val="auto"/>
              </w:rPr>
              <w:t>使用情况</w:t>
            </w:r>
            <w:r>
              <w:rPr>
                <w:b/>
                <w:color w:val="auto"/>
                <w:lang w:val="zh-CN"/>
              </w:rPr>
              <w:t>一览表</w:t>
            </w:r>
            <w:r>
              <w:rPr>
                <w:rFonts w:hint="eastAsia"/>
                <w:b/>
                <w:color w:val="auto"/>
                <w:lang w:val="zh-CN"/>
              </w:rPr>
              <w:t xml:space="preserve">    单位</w:t>
            </w:r>
            <w:r>
              <w:rPr>
                <w:rFonts w:hint="eastAsia"/>
                <w:color w:val="auto"/>
                <w:szCs w:val="21"/>
                <w:lang w:val="zh-CN"/>
              </w:rPr>
              <w:t>：</w:t>
            </w:r>
            <w:r>
              <w:rPr>
                <w:b/>
                <w:color w:val="auto"/>
                <w:szCs w:val="21"/>
              </w:rPr>
              <w:t>t/a</w:t>
            </w:r>
          </w:p>
          <w:tbl>
            <w:tblPr>
              <w:tblStyle w:val="24"/>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504"/>
              <w:gridCol w:w="1200"/>
              <w:gridCol w:w="1091"/>
              <w:gridCol w:w="1691"/>
              <w:gridCol w:w="2279"/>
            </w:tblGrid>
            <w:tr w14:paraId="60A52D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71" w:type="pct"/>
                  <w:tcBorders>
                    <w:tl2br w:val="nil"/>
                    <w:tr2bl w:val="nil"/>
                  </w:tcBorders>
                  <w:shd w:val="clear" w:color="auto" w:fill="auto"/>
                  <w:vAlign w:val="center"/>
                </w:tcPr>
                <w:p w14:paraId="19A31F64">
                  <w:pPr>
                    <w:jc w:val="center"/>
                    <w:rPr>
                      <w:color w:val="auto"/>
                      <w:szCs w:val="21"/>
                    </w:rPr>
                  </w:pPr>
                  <w:r>
                    <w:rPr>
                      <w:color w:val="auto"/>
                      <w:szCs w:val="21"/>
                    </w:rPr>
                    <w:t>序</w:t>
                  </w:r>
                  <w:r>
                    <w:rPr>
                      <w:rFonts w:hint="eastAsia"/>
                      <w:color w:val="auto"/>
                      <w:szCs w:val="21"/>
                    </w:rPr>
                    <w:t>号</w:t>
                  </w:r>
                </w:p>
              </w:tc>
              <w:tc>
                <w:tcPr>
                  <w:tcW w:w="896" w:type="pct"/>
                  <w:tcBorders>
                    <w:tl2br w:val="nil"/>
                    <w:tr2bl w:val="nil"/>
                  </w:tcBorders>
                  <w:shd w:val="clear" w:color="auto" w:fill="auto"/>
                  <w:vAlign w:val="center"/>
                </w:tcPr>
                <w:p w14:paraId="6CF0B8E3">
                  <w:pPr>
                    <w:jc w:val="center"/>
                    <w:rPr>
                      <w:color w:val="auto"/>
                      <w:szCs w:val="21"/>
                    </w:rPr>
                  </w:pPr>
                  <w:r>
                    <w:rPr>
                      <w:rFonts w:hint="eastAsia"/>
                      <w:color w:val="auto"/>
                      <w:szCs w:val="21"/>
                    </w:rPr>
                    <w:t>名称</w:t>
                  </w:r>
                </w:p>
              </w:tc>
              <w:tc>
                <w:tcPr>
                  <w:tcW w:w="715" w:type="pct"/>
                  <w:tcBorders>
                    <w:tl2br w:val="nil"/>
                    <w:tr2bl w:val="nil"/>
                  </w:tcBorders>
                  <w:vAlign w:val="center"/>
                </w:tcPr>
                <w:p w14:paraId="14ED367C">
                  <w:pPr>
                    <w:jc w:val="center"/>
                    <w:rPr>
                      <w:color w:val="auto"/>
                      <w:szCs w:val="21"/>
                    </w:rPr>
                  </w:pPr>
                  <w:r>
                    <w:rPr>
                      <w:rFonts w:hint="eastAsia"/>
                      <w:color w:val="auto"/>
                      <w:szCs w:val="21"/>
                    </w:rPr>
                    <w:t>单位</w:t>
                  </w:r>
                </w:p>
              </w:tc>
              <w:tc>
                <w:tcPr>
                  <w:tcW w:w="650" w:type="pct"/>
                  <w:tcBorders>
                    <w:tl2br w:val="nil"/>
                    <w:tr2bl w:val="nil"/>
                  </w:tcBorders>
                  <w:shd w:val="clear" w:color="auto" w:fill="auto"/>
                  <w:vAlign w:val="center"/>
                </w:tcPr>
                <w:p w14:paraId="68D978EE">
                  <w:pPr>
                    <w:jc w:val="center"/>
                    <w:rPr>
                      <w:color w:val="auto"/>
                      <w:szCs w:val="21"/>
                    </w:rPr>
                  </w:pPr>
                  <w:r>
                    <w:rPr>
                      <w:rFonts w:hint="eastAsia"/>
                      <w:color w:val="auto"/>
                      <w:szCs w:val="21"/>
                    </w:rPr>
                    <w:t>年用量</w:t>
                  </w:r>
                </w:p>
              </w:tc>
              <w:tc>
                <w:tcPr>
                  <w:tcW w:w="1007" w:type="pct"/>
                  <w:tcBorders>
                    <w:tl2br w:val="nil"/>
                    <w:tr2bl w:val="nil"/>
                  </w:tcBorders>
                  <w:vAlign w:val="center"/>
                </w:tcPr>
                <w:p w14:paraId="7956CD6D">
                  <w:pPr>
                    <w:jc w:val="center"/>
                    <w:rPr>
                      <w:color w:val="auto"/>
                      <w:szCs w:val="21"/>
                    </w:rPr>
                  </w:pPr>
                  <w:r>
                    <w:rPr>
                      <w:rFonts w:hint="eastAsia"/>
                      <w:color w:val="auto"/>
                      <w:szCs w:val="21"/>
                    </w:rPr>
                    <w:t>储存方式</w:t>
                  </w:r>
                </w:p>
              </w:tc>
              <w:tc>
                <w:tcPr>
                  <w:tcW w:w="1357" w:type="pct"/>
                  <w:tcBorders>
                    <w:tl2br w:val="nil"/>
                    <w:tr2bl w:val="nil"/>
                  </w:tcBorders>
                  <w:shd w:val="clear" w:color="auto" w:fill="auto"/>
                  <w:vAlign w:val="center"/>
                </w:tcPr>
                <w:p w14:paraId="06637F12">
                  <w:pPr>
                    <w:jc w:val="center"/>
                    <w:rPr>
                      <w:color w:val="auto"/>
                      <w:szCs w:val="21"/>
                    </w:rPr>
                  </w:pPr>
                  <w:r>
                    <w:rPr>
                      <w:rFonts w:hint="eastAsia"/>
                      <w:color w:val="auto"/>
                      <w:szCs w:val="21"/>
                    </w:rPr>
                    <w:t>来源</w:t>
                  </w:r>
                </w:p>
              </w:tc>
            </w:tr>
            <w:tr w14:paraId="4D90BD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1" w:type="pct"/>
                  <w:tcBorders>
                    <w:tl2br w:val="nil"/>
                    <w:tr2bl w:val="nil"/>
                  </w:tcBorders>
                  <w:shd w:val="clear" w:color="auto" w:fill="auto"/>
                  <w:vAlign w:val="center"/>
                </w:tcPr>
                <w:p w14:paraId="387CD4F7">
                  <w:pPr>
                    <w:jc w:val="center"/>
                    <w:rPr>
                      <w:color w:val="auto"/>
                      <w:szCs w:val="21"/>
                    </w:rPr>
                  </w:pPr>
                  <w:r>
                    <w:rPr>
                      <w:color w:val="auto"/>
                      <w:szCs w:val="21"/>
                    </w:rPr>
                    <w:t>1</w:t>
                  </w:r>
                </w:p>
              </w:tc>
              <w:tc>
                <w:tcPr>
                  <w:tcW w:w="896" w:type="pct"/>
                  <w:tcBorders>
                    <w:tl2br w:val="nil"/>
                    <w:tr2bl w:val="nil"/>
                  </w:tcBorders>
                  <w:shd w:val="clear" w:color="auto" w:fill="auto"/>
                  <w:vAlign w:val="center"/>
                </w:tcPr>
                <w:p w14:paraId="4472FEE6">
                  <w:pPr>
                    <w:jc w:val="center"/>
                    <w:rPr>
                      <w:color w:val="auto"/>
                      <w:szCs w:val="21"/>
                    </w:rPr>
                  </w:pPr>
                  <w:r>
                    <w:rPr>
                      <w:rFonts w:hint="eastAsia"/>
                      <w:color w:val="auto"/>
                      <w:szCs w:val="21"/>
                    </w:rPr>
                    <w:t>钢材边角料</w:t>
                  </w:r>
                </w:p>
              </w:tc>
              <w:tc>
                <w:tcPr>
                  <w:tcW w:w="715" w:type="pct"/>
                  <w:tcBorders>
                    <w:tl2br w:val="nil"/>
                    <w:tr2bl w:val="nil"/>
                  </w:tcBorders>
                  <w:vAlign w:val="center"/>
                </w:tcPr>
                <w:p w14:paraId="3F3D9266">
                  <w:pPr>
                    <w:jc w:val="center"/>
                    <w:rPr>
                      <w:color w:val="auto"/>
                      <w:szCs w:val="21"/>
                    </w:rPr>
                  </w:pPr>
                  <w:r>
                    <w:rPr>
                      <w:rFonts w:hint="eastAsia"/>
                      <w:color w:val="auto"/>
                      <w:szCs w:val="21"/>
                    </w:rPr>
                    <w:t>t</w:t>
                  </w:r>
                  <w:r>
                    <w:rPr>
                      <w:color w:val="auto"/>
                      <w:szCs w:val="21"/>
                    </w:rPr>
                    <w:t>/a</w:t>
                  </w:r>
                </w:p>
              </w:tc>
              <w:tc>
                <w:tcPr>
                  <w:tcW w:w="650" w:type="pct"/>
                  <w:tcBorders>
                    <w:tl2br w:val="nil"/>
                    <w:tr2bl w:val="nil"/>
                  </w:tcBorders>
                  <w:shd w:val="clear" w:color="auto" w:fill="auto"/>
                  <w:vAlign w:val="center"/>
                </w:tcPr>
                <w:p w14:paraId="16A6AB3C">
                  <w:pPr>
                    <w:jc w:val="center"/>
                    <w:rPr>
                      <w:color w:val="auto"/>
                      <w:szCs w:val="21"/>
                    </w:rPr>
                  </w:pPr>
                  <w:r>
                    <w:rPr>
                      <w:rFonts w:hint="eastAsia"/>
                      <w:color w:val="auto"/>
                      <w:szCs w:val="21"/>
                    </w:rPr>
                    <w:t>68000</w:t>
                  </w:r>
                </w:p>
              </w:tc>
              <w:tc>
                <w:tcPr>
                  <w:tcW w:w="1007" w:type="pct"/>
                  <w:tcBorders>
                    <w:tl2br w:val="nil"/>
                    <w:tr2bl w:val="nil"/>
                  </w:tcBorders>
                  <w:vAlign w:val="center"/>
                </w:tcPr>
                <w:p w14:paraId="72836A14">
                  <w:pPr>
                    <w:jc w:val="center"/>
                    <w:rPr>
                      <w:color w:val="auto"/>
                      <w:szCs w:val="21"/>
                    </w:rPr>
                  </w:pPr>
                  <w:r>
                    <w:rPr>
                      <w:rFonts w:hint="eastAsia"/>
                      <w:color w:val="auto"/>
                      <w:szCs w:val="21"/>
                    </w:rPr>
                    <w:t>封闭厂房存放</w:t>
                  </w:r>
                </w:p>
              </w:tc>
              <w:tc>
                <w:tcPr>
                  <w:tcW w:w="1357" w:type="pct"/>
                  <w:tcBorders>
                    <w:tl2br w:val="nil"/>
                    <w:tr2bl w:val="nil"/>
                  </w:tcBorders>
                  <w:shd w:val="clear" w:color="auto" w:fill="auto"/>
                  <w:vAlign w:val="center"/>
                </w:tcPr>
                <w:p w14:paraId="0D43461D">
                  <w:pPr>
                    <w:jc w:val="center"/>
                    <w:rPr>
                      <w:color w:val="auto"/>
                      <w:szCs w:val="21"/>
                    </w:rPr>
                  </w:pPr>
                  <w:r>
                    <w:rPr>
                      <w:rFonts w:hint="eastAsia"/>
                      <w:color w:val="auto"/>
                      <w:szCs w:val="21"/>
                    </w:rPr>
                    <w:t>市场采购</w:t>
                  </w:r>
                </w:p>
              </w:tc>
            </w:tr>
            <w:tr w14:paraId="52601E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1" w:type="pct"/>
                  <w:tcBorders>
                    <w:tl2br w:val="nil"/>
                    <w:tr2bl w:val="nil"/>
                  </w:tcBorders>
                  <w:shd w:val="clear" w:color="auto" w:fill="auto"/>
                  <w:vAlign w:val="center"/>
                </w:tcPr>
                <w:p w14:paraId="6333462A">
                  <w:pPr>
                    <w:jc w:val="center"/>
                    <w:rPr>
                      <w:color w:val="auto"/>
                      <w:szCs w:val="21"/>
                    </w:rPr>
                  </w:pPr>
                  <w:r>
                    <w:rPr>
                      <w:rFonts w:hint="eastAsia"/>
                      <w:color w:val="auto"/>
                      <w:szCs w:val="21"/>
                    </w:rPr>
                    <w:t>2</w:t>
                  </w:r>
                </w:p>
              </w:tc>
              <w:tc>
                <w:tcPr>
                  <w:tcW w:w="896" w:type="pct"/>
                  <w:tcBorders>
                    <w:tl2br w:val="nil"/>
                    <w:tr2bl w:val="nil"/>
                  </w:tcBorders>
                  <w:shd w:val="clear" w:color="auto" w:fill="auto"/>
                  <w:vAlign w:val="center"/>
                </w:tcPr>
                <w:p w14:paraId="5E2754A5">
                  <w:pPr>
                    <w:jc w:val="center"/>
                    <w:rPr>
                      <w:color w:val="auto"/>
                      <w:szCs w:val="21"/>
                    </w:rPr>
                  </w:pPr>
                  <w:r>
                    <w:rPr>
                      <w:rFonts w:hint="eastAsia"/>
                      <w:color w:val="auto"/>
                      <w:szCs w:val="21"/>
                    </w:rPr>
                    <w:t>锰铁</w:t>
                  </w:r>
                </w:p>
              </w:tc>
              <w:tc>
                <w:tcPr>
                  <w:tcW w:w="715" w:type="pct"/>
                  <w:tcBorders>
                    <w:tl2br w:val="nil"/>
                    <w:tr2bl w:val="nil"/>
                  </w:tcBorders>
                  <w:vAlign w:val="center"/>
                </w:tcPr>
                <w:p w14:paraId="7DAC3EBE">
                  <w:pPr>
                    <w:jc w:val="center"/>
                    <w:rPr>
                      <w:color w:val="auto"/>
                      <w:szCs w:val="21"/>
                    </w:rPr>
                  </w:pPr>
                  <w:r>
                    <w:rPr>
                      <w:rFonts w:hint="eastAsia"/>
                      <w:color w:val="auto"/>
                      <w:szCs w:val="21"/>
                    </w:rPr>
                    <w:t>t</w:t>
                  </w:r>
                  <w:r>
                    <w:rPr>
                      <w:color w:val="auto"/>
                      <w:szCs w:val="21"/>
                    </w:rPr>
                    <w:t>/a</w:t>
                  </w:r>
                </w:p>
              </w:tc>
              <w:tc>
                <w:tcPr>
                  <w:tcW w:w="650" w:type="pct"/>
                  <w:tcBorders>
                    <w:tl2br w:val="nil"/>
                    <w:tr2bl w:val="nil"/>
                  </w:tcBorders>
                  <w:shd w:val="clear" w:color="auto" w:fill="auto"/>
                  <w:vAlign w:val="center"/>
                </w:tcPr>
                <w:p w14:paraId="64328E01">
                  <w:pPr>
                    <w:jc w:val="center"/>
                    <w:rPr>
                      <w:color w:val="auto"/>
                      <w:szCs w:val="21"/>
                    </w:rPr>
                  </w:pPr>
                  <w:r>
                    <w:rPr>
                      <w:rFonts w:hint="eastAsia"/>
                      <w:color w:val="auto"/>
                      <w:szCs w:val="21"/>
                    </w:rPr>
                    <w:t>310</w:t>
                  </w:r>
                </w:p>
              </w:tc>
              <w:tc>
                <w:tcPr>
                  <w:tcW w:w="1007" w:type="pct"/>
                  <w:tcBorders>
                    <w:tl2br w:val="nil"/>
                    <w:tr2bl w:val="nil"/>
                  </w:tcBorders>
                  <w:vAlign w:val="center"/>
                </w:tcPr>
                <w:p w14:paraId="36314B4D">
                  <w:pPr>
                    <w:jc w:val="center"/>
                    <w:rPr>
                      <w:color w:val="auto"/>
                      <w:szCs w:val="21"/>
                    </w:rPr>
                  </w:pPr>
                  <w:r>
                    <w:rPr>
                      <w:rFonts w:hint="eastAsia"/>
                      <w:color w:val="auto"/>
                      <w:szCs w:val="21"/>
                    </w:rPr>
                    <w:t>封闭厂房存放</w:t>
                  </w:r>
                </w:p>
              </w:tc>
              <w:tc>
                <w:tcPr>
                  <w:tcW w:w="1357" w:type="pct"/>
                  <w:tcBorders>
                    <w:tl2br w:val="nil"/>
                    <w:tr2bl w:val="nil"/>
                  </w:tcBorders>
                  <w:shd w:val="clear" w:color="auto" w:fill="auto"/>
                  <w:vAlign w:val="center"/>
                </w:tcPr>
                <w:p w14:paraId="1EDD36A0">
                  <w:pPr>
                    <w:jc w:val="center"/>
                    <w:rPr>
                      <w:color w:val="auto"/>
                      <w:szCs w:val="21"/>
                    </w:rPr>
                  </w:pPr>
                  <w:r>
                    <w:rPr>
                      <w:rFonts w:hint="eastAsia"/>
                      <w:color w:val="auto"/>
                      <w:szCs w:val="21"/>
                    </w:rPr>
                    <w:t>市场采购</w:t>
                  </w:r>
                </w:p>
              </w:tc>
            </w:tr>
            <w:tr w14:paraId="32D1A0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1" w:type="pct"/>
                  <w:tcBorders>
                    <w:tl2br w:val="nil"/>
                    <w:tr2bl w:val="nil"/>
                  </w:tcBorders>
                  <w:shd w:val="clear" w:color="auto" w:fill="auto"/>
                  <w:vAlign w:val="center"/>
                </w:tcPr>
                <w:p w14:paraId="5E9CB162">
                  <w:pPr>
                    <w:jc w:val="center"/>
                    <w:rPr>
                      <w:color w:val="auto"/>
                      <w:szCs w:val="21"/>
                    </w:rPr>
                  </w:pPr>
                  <w:r>
                    <w:rPr>
                      <w:rFonts w:hint="eastAsia"/>
                      <w:color w:val="auto"/>
                      <w:szCs w:val="21"/>
                    </w:rPr>
                    <w:t>3</w:t>
                  </w:r>
                </w:p>
              </w:tc>
              <w:tc>
                <w:tcPr>
                  <w:tcW w:w="896" w:type="pct"/>
                  <w:tcBorders>
                    <w:tl2br w:val="nil"/>
                    <w:tr2bl w:val="nil"/>
                  </w:tcBorders>
                  <w:shd w:val="clear" w:color="auto" w:fill="auto"/>
                  <w:vAlign w:val="center"/>
                </w:tcPr>
                <w:p w14:paraId="000D9602">
                  <w:pPr>
                    <w:jc w:val="center"/>
                    <w:rPr>
                      <w:color w:val="auto"/>
                      <w:szCs w:val="21"/>
                    </w:rPr>
                  </w:pPr>
                  <w:r>
                    <w:rPr>
                      <w:rFonts w:hint="eastAsia"/>
                      <w:color w:val="auto"/>
                      <w:szCs w:val="21"/>
                    </w:rPr>
                    <w:t>硅铁</w:t>
                  </w:r>
                </w:p>
              </w:tc>
              <w:tc>
                <w:tcPr>
                  <w:tcW w:w="715" w:type="pct"/>
                  <w:tcBorders>
                    <w:tl2br w:val="nil"/>
                    <w:tr2bl w:val="nil"/>
                  </w:tcBorders>
                  <w:vAlign w:val="center"/>
                </w:tcPr>
                <w:p w14:paraId="6A507EA0">
                  <w:pPr>
                    <w:jc w:val="center"/>
                    <w:rPr>
                      <w:color w:val="auto"/>
                      <w:szCs w:val="21"/>
                    </w:rPr>
                  </w:pPr>
                  <w:r>
                    <w:rPr>
                      <w:rFonts w:hint="eastAsia"/>
                      <w:color w:val="auto"/>
                      <w:szCs w:val="21"/>
                    </w:rPr>
                    <w:t>t</w:t>
                  </w:r>
                  <w:r>
                    <w:rPr>
                      <w:color w:val="auto"/>
                      <w:szCs w:val="21"/>
                    </w:rPr>
                    <w:t>/a</w:t>
                  </w:r>
                </w:p>
              </w:tc>
              <w:tc>
                <w:tcPr>
                  <w:tcW w:w="650" w:type="pct"/>
                  <w:tcBorders>
                    <w:tl2br w:val="nil"/>
                    <w:tr2bl w:val="nil"/>
                  </w:tcBorders>
                  <w:shd w:val="clear" w:color="auto" w:fill="auto"/>
                  <w:vAlign w:val="center"/>
                </w:tcPr>
                <w:p w14:paraId="4696FEFA">
                  <w:pPr>
                    <w:jc w:val="center"/>
                    <w:rPr>
                      <w:color w:val="auto"/>
                      <w:szCs w:val="21"/>
                    </w:rPr>
                  </w:pPr>
                  <w:r>
                    <w:rPr>
                      <w:rFonts w:hint="eastAsia"/>
                      <w:color w:val="auto"/>
                      <w:szCs w:val="21"/>
                    </w:rPr>
                    <w:t>210</w:t>
                  </w:r>
                </w:p>
              </w:tc>
              <w:tc>
                <w:tcPr>
                  <w:tcW w:w="1007" w:type="pct"/>
                  <w:tcBorders>
                    <w:tl2br w:val="nil"/>
                    <w:tr2bl w:val="nil"/>
                  </w:tcBorders>
                  <w:vAlign w:val="center"/>
                </w:tcPr>
                <w:p w14:paraId="39827530">
                  <w:pPr>
                    <w:jc w:val="center"/>
                    <w:rPr>
                      <w:color w:val="auto"/>
                      <w:szCs w:val="21"/>
                    </w:rPr>
                  </w:pPr>
                  <w:r>
                    <w:rPr>
                      <w:rFonts w:hint="eastAsia"/>
                      <w:color w:val="auto"/>
                      <w:szCs w:val="21"/>
                    </w:rPr>
                    <w:t>封闭厂房存放</w:t>
                  </w:r>
                </w:p>
              </w:tc>
              <w:tc>
                <w:tcPr>
                  <w:tcW w:w="1357" w:type="pct"/>
                  <w:tcBorders>
                    <w:tl2br w:val="nil"/>
                    <w:tr2bl w:val="nil"/>
                  </w:tcBorders>
                  <w:shd w:val="clear" w:color="auto" w:fill="auto"/>
                  <w:vAlign w:val="center"/>
                </w:tcPr>
                <w:p w14:paraId="2A202789">
                  <w:pPr>
                    <w:jc w:val="center"/>
                    <w:rPr>
                      <w:color w:val="auto"/>
                      <w:szCs w:val="21"/>
                    </w:rPr>
                  </w:pPr>
                  <w:r>
                    <w:rPr>
                      <w:rFonts w:hint="eastAsia"/>
                      <w:color w:val="auto"/>
                      <w:szCs w:val="21"/>
                    </w:rPr>
                    <w:t>市场采购</w:t>
                  </w:r>
                </w:p>
              </w:tc>
            </w:tr>
            <w:tr w14:paraId="0C99D5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tcBorders>
                    <w:tl2br w:val="nil"/>
                    <w:tr2bl w:val="nil"/>
                  </w:tcBorders>
                  <w:shd w:val="clear" w:color="auto" w:fill="auto"/>
                  <w:vAlign w:val="center"/>
                </w:tcPr>
                <w:p w14:paraId="5B7BC360">
                  <w:pPr>
                    <w:jc w:val="center"/>
                    <w:rPr>
                      <w:color w:val="auto"/>
                      <w:szCs w:val="21"/>
                    </w:rPr>
                  </w:pPr>
                  <w:r>
                    <w:rPr>
                      <w:rFonts w:hint="eastAsia"/>
                      <w:color w:val="auto"/>
                      <w:szCs w:val="21"/>
                    </w:rPr>
                    <w:t>2</w:t>
                  </w:r>
                </w:p>
              </w:tc>
              <w:tc>
                <w:tcPr>
                  <w:tcW w:w="896" w:type="pct"/>
                  <w:tcBorders>
                    <w:tl2br w:val="nil"/>
                    <w:tr2bl w:val="nil"/>
                  </w:tcBorders>
                  <w:shd w:val="clear" w:color="auto" w:fill="auto"/>
                  <w:vAlign w:val="center"/>
                </w:tcPr>
                <w:p w14:paraId="6203D0D9">
                  <w:pPr>
                    <w:pStyle w:val="100"/>
                    <w:jc w:val="center"/>
                    <w:rPr>
                      <w:rFonts w:cs="Times New Roman"/>
                      <w:color w:val="auto"/>
                      <w:sz w:val="21"/>
                      <w:szCs w:val="21"/>
                    </w:rPr>
                  </w:pPr>
                  <w:r>
                    <w:rPr>
                      <w:rFonts w:hint="eastAsia" w:cs="Times New Roman"/>
                      <w:color w:val="auto"/>
                      <w:sz w:val="21"/>
                      <w:szCs w:val="21"/>
                    </w:rPr>
                    <w:t>增碳剂</w:t>
                  </w:r>
                </w:p>
              </w:tc>
              <w:tc>
                <w:tcPr>
                  <w:tcW w:w="715" w:type="pct"/>
                  <w:tcBorders>
                    <w:tl2br w:val="nil"/>
                    <w:tr2bl w:val="nil"/>
                  </w:tcBorders>
                  <w:vAlign w:val="center"/>
                </w:tcPr>
                <w:p w14:paraId="691BD43E">
                  <w:pPr>
                    <w:jc w:val="center"/>
                    <w:rPr>
                      <w:color w:val="auto"/>
                      <w:szCs w:val="21"/>
                    </w:rPr>
                  </w:pPr>
                  <w:r>
                    <w:rPr>
                      <w:color w:val="auto"/>
                      <w:szCs w:val="21"/>
                    </w:rPr>
                    <w:t>t/a</w:t>
                  </w:r>
                </w:p>
              </w:tc>
              <w:tc>
                <w:tcPr>
                  <w:tcW w:w="650" w:type="pct"/>
                  <w:tcBorders>
                    <w:tl2br w:val="nil"/>
                    <w:tr2bl w:val="nil"/>
                  </w:tcBorders>
                  <w:shd w:val="clear" w:color="auto" w:fill="auto"/>
                  <w:vAlign w:val="center"/>
                </w:tcPr>
                <w:p w14:paraId="296F8BB3">
                  <w:pPr>
                    <w:jc w:val="center"/>
                    <w:rPr>
                      <w:color w:val="auto"/>
                      <w:szCs w:val="21"/>
                    </w:rPr>
                  </w:pPr>
                  <w:r>
                    <w:rPr>
                      <w:rFonts w:hint="eastAsia"/>
                      <w:color w:val="auto"/>
                      <w:szCs w:val="21"/>
                    </w:rPr>
                    <w:t>3.3</w:t>
                  </w:r>
                </w:p>
              </w:tc>
              <w:tc>
                <w:tcPr>
                  <w:tcW w:w="1007" w:type="pct"/>
                  <w:tcBorders>
                    <w:tl2br w:val="nil"/>
                    <w:tr2bl w:val="nil"/>
                  </w:tcBorders>
                  <w:vAlign w:val="center"/>
                </w:tcPr>
                <w:p w14:paraId="6026103B">
                  <w:pPr>
                    <w:jc w:val="center"/>
                    <w:rPr>
                      <w:color w:val="auto"/>
                      <w:szCs w:val="21"/>
                    </w:rPr>
                  </w:pPr>
                  <w:r>
                    <w:rPr>
                      <w:rFonts w:hint="eastAsia"/>
                      <w:color w:val="auto"/>
                      <w:szCs w:val="21"/>
                    </w:rPr>
                    <w:t>封闭厂房存放</w:t>
                  </w:r>
                </w:p>
              </w:tc>
              <w:tc>
                <w:tcPr>
                  <w:tcW w:w="1357" w:type="pct"/>
                  <w:tcBorders>
                    <w:tl2br w:val="nil"/>
                    <w:tr2bl w:val="nil"/>
                  </w:tcBorders>
                  <w:shd w:val="clear" w:color="auto" w:fill="auto"/>
                  <w:vAlign w:val="center"/>
                </w:tcPr>
                <w:p w14:paraId="43D7A68A">
                  <w:pPr>
                    <w:jc w:val="center"/>
                    <w:rPr>
                      <w:color w:val="auto"/>
                      <w:szCs w:val="21"/>
                    </w:rPr>
                  </w:pPr>
                  <w:r>
                    <w:rPr>
                      <w:rFonts w:hint="eastAsia"/>
                      <w:color w:val="auto"/>
                      <w:szCs w:val="21"/>
                    </w:rPr>
                    <w:t>市场采购</w:t>
                  </w:r>
                </w:p>
              </w:tc>
            </w:tr>
            <w:tr w14:paraId="75FE4F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1" w:type="pct"/>
                  <w:tcBorders>
                    <w:tl2br w:val="nil"/>
                    <w:tr2bl w:val="nil"/>
                  </w:tcBorders>
                  <w:shd w:val="clear" w:color="auto" w:fill="auto"/>
                  <w:vAlign w:val="center"/>
                </w:tcPr>
                <w:p w14:paraId="26A9A2BB">
                  <w:pPr>
                    <w:jc w:val="center"/>
                    <w:rPr>
                      <w:color w:val="auto"/>
                      <w:szCs w:val="21"/>
                    </w:rPr>
                  </w:pPr>
                  <w:r>
                    <w:rPr>
                      <w:rFonts w:hint="eastAsia"/>
                      <w:color w:val="auto"/>
                      <w:szCs w:val="21"/>
                    </w:rPr>
                    <w:t>3</w:t>
                  </w:r>
                </w:p>
              </w:tc>
              <w:tc>
                <w:tcPr>
                  <w:tcW w:w="896" w:type="pct"/>
                  <w:tcBorders>
                    <w:tl2br w:val="nil"/>
                    <w:tr2bl w:val="nil"/>
                  </w:tcBorders>
                  <w:shd w:val="clear" w:color="auto" w:fill="auto"/>
                  <w:vAlign w:val="center"/>
                </w:tcPr>
                <w:p w14:paraId="277E18F7">
                  <w:pPr>
                    <w:jc w:val="center"/>
                    <w:rPr>
                      <w:color w:val="auto"/>
                      <w:szCs w:val="21"/>
                    </w:rPr>
                  </w:pPr>
                  <w:r>
                    <w:rPr>
                      <w:rFonts w:hint="eastAsia"/>
                      <w:color w:val="auto"/>
                      <w:szCs w:val="21"/>
                    </w:rPr>
                    <w:t>孕育剂</w:t>
                  </w:r>
                </w:p>
              </w:tc>
              <w:tc>
                <w:tcPr>
                  <w:tcW w:w="715" w:type="pct"/>
                  <w:tcBorders>
                    <w:tl2br w:val="nil"/>
                    <w:tr2bl w:val="nil"/>
                  </w:tcBorders>
                  <w:vAlign w:val="center"/>
                </w:tcPr>
                <w:p w14:paraId="799FB8E2">
                  <w:pPr>
                    <w:jc w:val="center"/>
                    <w:rPr>
                      <w:color w:val="auto"/>
                      <w:szCs w:val="21"/>
                    </w:rPr>
                  </w:pPr>
                  <w:r>
                    <w:rPr>
                      <w:color w:val="auto"/>
                      <w:szCs w:val="21"/>
                    </w:rPr>
                    <w:t>t/a</w:t>
                  </w:r>
                </w:p>
              </w:tc>
              <w:tc>
                <w:tcPr>
                  <w:tcW w:w="650" w:type="pct"/>
                  <w:tcBorders>
                    <w:tl2br w:val="nil"/>
                    <w:tr2bl w:val="nil"/>
                  </w:tcBorders>
                  <w:shd w:val="clear" w:color="auto" w:fill="auto"/>
                  <w:vAlign w:val="center"/>
                </w:tcPr>
                <w:p w14:paraId="2A69003E">
                  <w:pPr>
                    <w:jc w:val="center"/>
                    <w:rPr>
                      <w:color w:val="auto"/>
                      <w:szCs w:val="21"/>
                    </w:rPr>
                  </w:pPr>
                  <w:r>
                    <w:rPr>
                      <w:rFonts w:hint="eastAsia"/>
                      <w:color w:val="auto"/>
                      <w:szCs w:val="21"/>
                    </w:rPr>
                    <w:t>3.3</w:t>
                  </w:r>
                </w:p>
              </w:tc>
              <w:tc>
                <w:tcPr>
                  <w:tcW w:w="1007" w:type="pct"/>
                  <w:tcBorders>
                    <w:tl2br w:val="nil"/>
                    <w:tr2bl w:val="nil"/>
                  </w:tcBorders>
                  <w:vAlign w:val="center"/>
                </w:tcPr>
                <w:p w14:paraId="278DBE96">
                  <w:pPr>
                    <w:jc w:val="center"/>
                    <w:rPr>
                      <w:color w:val="auto"/>
                      <w:szCs w:val="21"/>
                    </w:rPr>
                  </w:pPr>
                  <w:r>
                    <w:rPr>
                      <w:rFonts w:hint="eastAsia"/>
                      <w:color w:val="auto"/>
                      <w:szCs w:val="21"/>
                    </w:rPr>
                    <w:t>封闭厂房存放</w:t>
                  </w:r>
                </w:p>
              </w:tc>
              <w:tc>
                <w:tcPr>
                  <w:tcW w:w="1357" w:type="pct"/>
                  <w:tcBorders>
                    <w:tl2br w:val="nil"/>
                    <w:tr2bl w:val="nil"/>
                  </w:tcBorders>
                  <w:shd w:val="clear" w:color="auto" w:fill="auto"/>
                  <w:vAlign w:val="center"/>
                </w:tcPr>
                <w:p w14:paraId="1FE32369">
                  <w:pPr>
                    <w:jc w:val="center"/>
                    <w:rPr>
                      <w:color w:val="auto"/>
                      <w:szCs w:val="21"/>
                    </w:rPr>
                  </w:pPr>
                  <w:r>
                    <w:rPr>
                      <w:rFonts w:hint="eastAsia"/>
                      <w:color w:val="auto"/>
                      <w:szCs w:val="21"/>
                    </w:rPr>
                    <w:t>市场采购</w:t>
                  </w:r>
                </w:p>
              </w:tc>
            </w:tr>
            <w:tr w14:paraId="522609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1" w:type="pct"/>
                  <w:tcBorders>
                    <w:tl2br w:val="nil"/>
                    <w:tr2bl w:val="nil"/>
                  </w:tcBorders>
                  <w:shd w:val="clear" w:color="auto" w:fill="auto"/>
                  <w:vAlign w:val="center"/>
                </w:tcPr>
                <w:p w14:paraId="10788A5A">
                  <w:pPr>
                    <w:jc w:val="center"/>
                    <w:rPr>
                      <w:color w:val="auto"/>
                      <w:szCs w:val="21"/>
                    </w:rPr>
                  </w:pPr>
                  <w:r>
                    <w:rPr>
                      <w:rFonts w:hint="eastAsia"/>
                      <w:color w:val="auto"/>
                      <w:szCs w:val="21"/>
                    </w:rPr>
                    <w:t>4</w:t>
                  </w:r>
                </w:p>
              </w:tc>
              <w:tc>
                <w:tcPr>
                  <w:tcW w:w="896" w:type="pct"/>
                  <w:tcBorders>
                    <w:tl2br w:val="nil"/>
                    <w:tr2bl w:val="nil"/>
                  </w:tcBorders>
                  <w:shd w:val="clear" w:color="auto" w:fill="auto"/>
                  <w:vAlign w:val="center"/>
                </w:tcPr>
                <w:p w14:paraId="23689512">
                  <w:pPr>
                    <w:jc w:val="center"/>
                    <w:rPr>
                      <w:color w:val="auto"/>
                      <w:szCs w:val="21"/>
                    </w:rPr>
                  </w:pPr>
                  <w:r>
                    <w:rPr>
                      <w:rFonts w:hint="eastAsia"/>
                      <w:color w:val="auto"/>
                      <w:szCs w:val="21"/>
                    </w:rPr>
                    <w:t>除渣剂</w:t>
                  </w:r>
                </w:p>
              </w:tc>
              <w:tc>
                <w:tcPr>
                  <w:tcW w:w="715" w:type="pct"/>
                  <w:tcBorders>
                    <w:tl2br w:val="nil"/>
                    <w:tr2bl w:val="nil"/>
                  </w:tcBorders>
                  <w:vAlign w:val="center"/>
                </w:tcPr>
                <w:p w14:paraId="7E6468D9">
                  <w:pPr>
                    <w:jc w:val="center"/>
                    <w:rPr>
                      <w:color w:val="auto"/>
                      <w:szCs w:val="21"/>
                    </w:rPr>
                  </w:pPr>
                  <w:r>
                    <w:rPr>
                      <w:color w:val="auto"/>
                      <w:szCs w:val="21"/>
                    </w:rPr>
                    <w:t>t/a</w:t>
                  </w:r>
                </w:p>
              </w:tc>
              <w:tc>
                <w:tcPr>
                  <w:tcW w:w="650" w:type="pct"/>
                  <w:tcBorders>
                    <w:tl2br w:val="nil"/>
                    <w:tr2bl w:val="nil"/>
                  </w:tcBorders>
                  <w:shd w:val="clear" w:color="auto" w:fill="auto"/>
                  <w:vAlign w:val="center"/>
                </w:tcPr>
                <w:p w14:paraId="42520A9B">
                  <w:pPr>
                    <w:jc w:val="center"/>
                    <w:rPr>
                      <w:color w:val="auto"/>
                      <w:szCs w:val="21"/>
                    </w:rPr>
                  </w:pPr>
                  <w:r>
                    <w:rPr>
                      <w:rFonts w:hint="eastAsia"/>
                      <w:color w:val="auto"/>
                      <w:szCs w:val="21"/>
                    </w:rPr>
                    <w:t>3</w:t>
                  </w:r>
                </w:p>
              </w:tc>
              <w:tc>
                <w:tcPr>
                  <w:tcW w:w="1007" w:type="pct"/>
                  <w:tcBorders>
                    <w:tl2br w:val="nil"/>
                    <w:tr2bl w:val="nil"/>
                  </w:tcBorders>
                  <w:vAlign w:val="center"/>
                </w:tcPr>
                <w:p w14:paraId="4B0F4423">
                  <w:pPr>
                    <w:jc w:val="center"/>
                    <w:rPr>
                      <w:color w:val="auto"/>
                      <w:szCs w:val="21"/>
                    </w:rPr>
                  </w:pPr>
                  <w:r>
                    <w:rPr>
                      <w:rFonts w:hint="eastAsia"/>
                      <w:color w:val="auto"/>
                      <w:szCs w:val="21"/>
                    </w:rPr>
                    <w:t>封闭厂房存放</w:t>
                  </w:r>
                </w:p>
              </w:tc>
              <w:tc>
                <w:tcPr>
                  <w:tcW w:w="1357" w:type="pct"/>
                  <w:tcBorders>
                    <w:tl2br w:val="nil"/>
                    <w:tr2bl w:val="nil"/>
                  </w:tcBorders>
                  <w:shd w:val="clear" w:color="auto" w:fill="auto"/>
                  <w:vAlign w:val="center"/>
                </w:tcPr>
                <w:p w14:paraId="097FF533">
                  <w:pPr>
                    <w:jc w:val="center"/>
                    <w:rPr>
                      <w:color w:val="auto"/>
                      <w:szCs w:val="21"/>
                    </w:rPr>
                  </w:pPr>
                  <w:r>
                    <w:rPr>
                      <w:rFonts w:hint="eastAsia"/>
                      <w:color w:val="auto"/>
                      <w:szCs w:val="21"/>
                    </w:rPr>
                    <w:t>市场采购</w:t>
                  </w:r>
                </w:p>
              </w:tc>
            </w:tr>
            <w:tr w14:paraId="04617F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1" w:type="pct"/>
                  <w:tcBorders>
                    <w:tl2br w:val="nil"/>
                    <w:tr2bl w:val="nil"/>
                  </w:tcBorders>
                  <w:shd w:val="clear" w:color="auto" w:fill="auto"/>
                  <w:vAlign w:val="center"/>
                </w:tcPr>
                <w:p w14:paraId="300DFA36">
                  <w:pPr>
                    <w:jc w:val="center"/>
                    <w:rPr>
                      <w:color w:val="auto"/>
                      <w:szCs w:val="21"/>
                    </w:rPr>
                  </w:pPr>
                  <w:r>
                    <w:rPr>
                      <w:rFonts w:hint="eastAsia"/>
                      <w:color w:val="auto"/>
                      <w:szCs w:val="21"/>
                    </w:rPr>
                    <w:t>5</w:t>
                  </w:r>
                </w:p>
              </w:tc>
              <w:tc>
                <w:tcPr>
                  <w:tcW w:w="896" w:type="pct"/>
                  <w:tcBorders>
                    <w:tl2br w:val="nil"/>
                    <w:tr2bl w:val="nil"/>
                  </w:tcBorders>
                  <w:shd w:val="clear" w:color="auto" w:fill="auto"/>
                  <w:vAlign w:val="center"/>
                </w:tcPr>
                <w:p w14:paraId="19A37A8F">
                  <w:pPr>
                    <w:jc w:val="center"/>
                    <w:rPr>
                      <w:color w:val="auto"/>
                      <w:szCs w:val="21"/>
                    </w:rPr>
                  </w:pPr>
                  <w:r>
                    <w:rPr>
                      <w:rFonts w:hint="eastAsia"/>
                      <w:color w:val="auto"/>
                      <w:szCs w:val="21"/>
                    </w:rPr>
                    <w:t>玻璃水</w:t>
                  </w:r>
                </w:p>
              </w:tc>
              <w:tc>
                <w:tcPr>
                  <w:tcW w:w="715" w:type="pct"/>
                  <w:tcBorders>
                    <w:tl2br w:val="nil"/>
                    <w:tr2bl w:val="nil"/>
                  </w:tcBorders>
                  <w:vAlign w:val="center"/>
                </w:tcPr>
                <w:p w14:paraId="5D0F8729">
                  <w:pPr>
                    <w:jc w:val="center"/>
                    <w:rPr>
                      <w:color w:val="auto"/>
                      <w:szCs w:val="21"/>
                    </w:rPr>
                  </w:pPr>
                  <w:r>
                    <w:rPr>
                      <w:color w:val="auto"/>
                      <w:szCs w:val="21"/>
                    </w:rPr>
                    <w:t>t/a</w:t>
                  </w:r>
                </w:p>
              </w:tc>
              <w:tc>
                <w:tcPr>
                  <w:tcW w:w="650" w:type="pct"/>
                  <w:tcBorders>
                    <w:tl2br w:val="nil"/>
                    <w:tr2bl w:val="nil"/>
                  </w:tcBorders>
                  <w:shd w:val="clear" w:color="auto" w:fill="auto"/>
                  <w:vAlign w:val="center"/>
                </w:tcPr>
                <w:p w14:paraId="3BA400FA">
                  <w:pPr>
                    <w:jc w:val="center"/>
                    <w:rPr>
                      <w:color w:val="auto"/>
                      <w:szCs w:val="21"/>
                    </w:rPr>
                  </w:pPr>
                  <w:r>
                    <w:rPr>
                      <w:rFonts w:hint="eastAsia"/>
                      <w:color w:val="auto"/>
                      <w:szCs w:val="21"/>
                    </w:rPr>
                    <w:t>1</w:t>
                  </w:r>
                </w:p>
              </w:tc>
              <w:tc>
                <w:tcPr>
                  <w:tcW w:w="1007" w:type="pct"/>
                  <w:tcBorders>
                    <w:tl2br w:val="nil"/>
                    <w:tr2bl w:val="nil"/>
                  </w:tcBorders>
                  <w:vAlign w:val="center"/>
                </w:tcPr>
                <w:p w14:paraId="4CCECB53">
                  <w:pPr>
                    <w:jc w:val="center"/>
                    <w:rPr>
                      <w:color w:val="auto"/>
                      <w:szCs w:val="21"/>
                    </w:rPr>
                  </w:pPr>
                  <w:r>
                    <w:rPr>
                      <w:rFonts w:hint="eastAsia"/>
                      <w:color w:val="auto"/>
                      <w:szCs w:val="21"/>
                    </w:rPr>
                    <w:t>封闭厂房存放</w:t>
                  </w:r>
                </w:p>
              </w:tc>
              <w:tc>
                <w:tcPr>
                  <w:tcW w:w="1357" w:type="pct"/>
                  <w:tcBorders>
                    <w:tl2br w:val="nil"/>
                    <w:tr2bl w:val="nil"/>
                  </w:tcBorders>
                  <w:shd w:val="clear" w:color="auto" w:fill="auto"/>
                  <w:vAlign w:val="center"/>
                </w:tcPr>
                <w:p w14:paraId="37F81C1E">
                  <w:pPr>
                    <w:jc w:val="center"/>
                    <w:rPr>
                      <w:color w:val="auto"/>
                      <w:szCs w:val="21"/>
                    </w:rPr>
                  </w:pPr>
                  <w:r>
                    <w:rPr>
                      <w:rFonts w:hint="eastAsia"/>
                      <w:color w:val="auto"/>
                      <w:szCs w:val="21"/>
                    </w:rPr>
                    <w:t>市场采购</w:t>
                  </w:r>
                </w:p>
              </w:tc>
            </w:tr>
            <w:tr w14:paraId="7E3B78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1" w:type="pct"/>
                  <w:tcBorders>
                    <w:tl2br w:val="nil"/>
                    <w:tr2bl w:val="nil"/>
                  </w:tcBorders>
                  <w:shd w:val="clear" w:color="auto" w:fill="auto"/>
                  <w:vAlign w:val="center"/>
                </w:tcPr>
                <w:p w14:paraId="454F101E">
                  <w:pPr>
                    <w:jc w:val="center"/>
                    <w:rPr>
                      <w:color w:val="auto"/>
                      <w:szCs w:val="21"/>
                    </w:rPr>
                  </w:pPr>
                  <w:r>
                    <w:rPr>
                      <w:rFonts w:hint="eastAsia"/>
                      <w:color w:val="auto"/>
                      <w:szCs w:val="21"/>
                    </w:rPr>
                    <w:t>6</w:t>
                  </w:r>
                </w:p>
              </w:tc>
              <w:tc>
                <w:tcPr>
                  <w:tcW w:w="896" w:type="pct"/>
                  <w:tcBorders>
                    <w:tl2br w:val="nil"/>
                    <w:tr2bl w:val="nil"/>
                  </w:tcBorders>
                  <w:shd w:val="clear" w:color="auto" w:fill="auto"/>
                  <w:vAlign w:val="center"/>
                </w:tcPr>
                <w:p w14:paraId="5E499EFD">
                  <w:pPr>
                    <w:jc w:val="center"/>
                    <w:rPr>
                      <w:color w:val="auto"/>
                      <w:szCs w:val="21"/>
                    </w:rPr>
                  </w:pPr>
                  <w:r>
                    <w:rPr>
                      <w:rFonts w:hint="eastAsia"/>
                      <w:color w:val="auto"/>
                      <w:szCs w:val="21"/>
                    </w:rPr>
                    <w:t>石英砂</w:t>
                  </w:r>
                </w:p>
              </w:tc>
              <w:tc>
                <w:tcPr>
                  <w:tcW w:w="715" w:type="pct"/>
                  <w:tcBorders>
                    <w:tl2br w:val="nil"/>
                    <w:tr2bl w:val="nil"/>
                  </w:tcBorders>
                  <w:vAlign w:val="center"/>
                </w:tcPr>
                <w:p w14:paraId="79F5ED92">
                  <w:pPr>
                    <w:jc w:val="center"/>
                    <w:rPr>
                      <w:color w:val="auto"/>
                      <w:szCs w:val="21"/>
                    </w:rPr>
                  </w:pPr>
                  <w:r>
                    <w:rPr>
                      <w:color w:val="auto"/>
                      <w:szCs w:val="21"/>
                    </w:rPr>
                    <w:t>t/a</w:t>
                  </w:r>
                </w:p>
              </w:tc>
              <w:tc>
                <w:tcPr>
                  <w:tcW w:w="650" w:type="pct"/>
                  <w:tcBorders>
                    <w:tl2br w:val="nil"/>
                    <w:tr2bl w:val="nil"/>
                  </w:tcBorders>
                  <w:shd w:val="clear" w:color="auto" w:fill="auto"/>
                  <w:vAlign w:val="center"/>
                </w:tcPr>
                <w:p w14:paraId="705E8B71">
                  <w:pPr>
                    <w:jc w:val="center"/>
                    <w:rPr>
                      <w:color w:val="auto"/>
                      <w:szCs w:val="21"/>
                    </w:rPr>
                  </w:pPr>
                  <w:r>
                    <w:rPr>
                      <w:rFonts w:hint="eastAsia"/>
                      <w:color w:val="auto"/>
                      <w:szCs w:val="21"/>
                    </w:rPr>
                    <w:t>30</w:t>
                  </w:r>
                </w:p>
              </w:tc>
              <w:tc>
                <w:tcPr>
                  <w:tcW w:w="1007" w:type="pct"/>
                  <w:tcBorders>
                    <w:tl2br w:val="nil"/>
                    <w:tr2bl w:val="nil"/>
                  </w:tcBorders>
                  <w:vAlign w:val="center"/>
                </w:tcPr>
                <w:p w14:paraId="63958A8F">
                  <w:pPr>
                    <w:jc w:val="center"/>
                    <w:rPr>
                      <w:color w:val="auto"/>
                      <w:szCs w:val="21"/>
                    </w:rPr>
                  </w:pPr>
                  <w:r>
                    <w:rPr>
                      <w:rFonts w:hint="eastAsia"/>
                      <w:color w:val="auto"/>
                      <w:szCs w:val="21"/>
                    </w:rPr>
                    <w:t>封闭厂房存放</w:t>
                  </w:r>
                </w:p>
              </w:tc>
              <w:tc>
                <w:tcPr>
                  <w:tcW w:w="1357" w:type="pct"/>
                  <w:tcBorders>
                    <w:tl2br w:val="nil"/>
                    <w:tr2bl w:val="nil"/>
                  </w:tcBorders>
                  <w:shd w:val="clear" w:color="auto" w:fill="auto"/>
                  <w:vAlign w:val="center"/>
                </w:tcPr>
                <w:p w14:paraId="2F1B3477">
                  <w:pPr>
                    <w:jc w:val="center"/>
                    <w:rPr>
                      <w:color w:val="auto"/>
                      <w:szCs w:val="21"/>
                    </w:rPr>
                  </w:pPr>
                  <w:r>
                    <w:rPr>
                      <w:rFonts w:hint="eastAsia"/>
                      <w:color w:val="auto"/>
                      <w:szCs w:val="21"/>
                    </w:rPr>
                    <w:t>市场采购</w:t>
                  </w:r>
                </w:p>
              </w:tc>
            </w:tr>
            <w:tr w14:paraId="082513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tcBorders>
                    <w:tl2br w:val="nil"/>
                    <w:tr2bl w:val="nil"/>
                  </w:tcBorders>
                  <w:shd w:val="clear" w:color="auto" w:fill="auto"/>
                  <w:vAlign w:val="center"/>
                </w:tcPr>
                <w:p w14:paraId="11444A1D">
                  <w:pPr>
                    <w:jc w:val="center"/>
                    <w:rPr>
                      <w:color w:val="auto"/>
                      <w:szCs w:val="21"/>
                    </w:rPr>
                  </w:pPr>
                  <w:r>
                    <w:rPr>
                      <w:rFonts w:hint="eastAsia"/>
                      <w:color w:val="auto"/>
                      <w:szCs w:val="21"/>
                    </w:rPr>
                    <w:t>7</w:t>
                  </w:r>
                </w:p>
              </w:tc>
              <w:tc>
                <w:tcPr>
                  <w:tcW w:w="896" w:type="pct"/>
                  <w:tcBorders>
                    <w:tl2br w:val="nil"/>
                    <w:tr2bl w:val="nil"/>
                  </w:tcBorders>
                  <w:shd w:val="clear" w:color="auto" w:fill="auto"/>
                  <w:vAlign w:val="center"/>
                </w:tcPr>
                <w:p w14:paraId="3B1AE633">
                  <w:pPr>
                    <w:jc w:val="center"/>
                    <w:rPr>
                      <w:color w:val="auto"/>
                      <w:szCs w:val="21"/>
                    </w:rPr>
                  </w:pPr>
                  <w:r>
                    <w:rPr>
                      <w:rFonts w:hint="eastAsia"/>
                      <w:color w:val="auto"/>
                      <w:szCs w:val="21"/>
                    </w:rPr>
                    <w:t>脱模剂</w:t>
                  </w:r>
                </w:p>
              </w:tc>
              <w:tc>
                <w:tcPr>
                  <w:tcW w:w="715" w:type="pct"/>
                  <w:tcBorders>
                    <w:tl2br w:val="nil"/>
                    <w:tr2bl w:val="nil"/>
                  </w:tcBorders>
                  <w:vAlign w:val="center"/>
                </w:tcPr>
                <w:p w14:paraId="0795193E">
                  <w:pPr>
                    <w:jc w:val="center"/>
                    <w:rPr>
                      <w:color w:val="auto"/>
                      <w:szCs w:val="21"/>
                    </w:rPr>
                  </w:pPr>
                  <w:r>
                    <w:rPr>
                      <w:color w:val="auto"/>
                      <w:szCs w:val="21"/>
                    </w:rPr>
                    <w:t>t/a</w:t>
                  </w:r>
                </w:p>
              </w:tc>
              <w:tc>
                <w:tcPr>
                  <w:tcW w:w="650" w:type="pct"/>
                  <w:tcBorders>
                    <w:tl2br w:val="nil"/>
                    <w:tr2bl w:val="nil"/>
                  </w:tcBorders>
                  <w:shd w:val="clear" w:color="auto" w:fill="auto"/>
                  <w:vAlign w:val="center"/>
                </w:tcPr>
                <w:p w14:paraId="2AC4A537">
                  <w:pPr>
                    <w:jc w:val="center"/>
                    <w:rPr>
                      <w:color w:val="auto"/>
                      <w:szCs w:val="21"/>
                    </w:rPr>
                  </w:pPr>
                  <w:r>
                    <w:rPr>
                      <w:rFonts w:hint="eastAsia"/>
                      <w:color w:val="auto"/>
                      <w:szCs w:val="21"/>
                    </w:rPr>
                    <w:t>0.5</w:t>
                  </w:r>
                </w:p>
              </w:tc>
              <w:tc>
                <w:tcPr>
                  <w:tcW w:w="1007" w:type="pct"/>
                  <w:tcBorders>
                    <w:tl2br w:val="nil"/>
                    <w:tr2bl w:val="nil"/>
                  </w:tcBorders>
                  <w:vAlign w:val="center"/>
                </w:tcPr>
                <w:p w14:paraId="1BCEE61C">
                  <w:pPr>
                    <w:jc w:val="center"/>
                    <w:rPr>
                      <w:color w:val="auto"/>
                      <w:szCs w:val="21"/>
                    </w:rPr>
                  </w:pPr>
                  <w:r>
                    <w:rPr>
                      <w:rFonts w:hint="eastAsia"/>
                      <w:color w:val="auto"/>
                      <w:szCs w:val="21"/>
                    </w:rPr>
                    <w:t>封闭厂房存放</w:t>
                  </w:r>
                </w:p>
              </w:tc>
              <w:tc>
                <w:tcPr>
                  <w:tcW w:w="1357" w:type="pct"/>
                  <w:tcBorders>
                    <w:tl2br w:val="nil"/>
                    <w:tr2bl w:val="nil"/>
                  </w:tcBorders>
                  <w:shd w:val="clear" w:color="auto" w:fill="auto"/>
                  <w:vAlign w:val="center"/>
                </w:tcPr>
                <w:p w14:paraId="6787328F">
                  <w:pPr>
                    <w:jc w:val="center"/>
                    <w:rPr>
                      <w:color w:val="auto"/>
                      <w:szCs w:val="21"/>
                    </w:rPr>
                  </w:pPr>
                  <w:r>
                    <w:rPr>
                      <w:rFonts w:hint="eastAsia"/>
                      <w:color w:val="auto"/>
                      <w:szCs w:val="21"/>
                    </w:rPr>
                    <w:t>市场采购</w:t>
                  </w:r>
                </w:p>
              </w:tc>
            </w:tr>
            <w:tr w14:paraId="10B98D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tcBorders>
                    <w:tl2br w:val="nil"/>
                    <w:tr2bl w:val="nil"/>
                  </w:tcBorders>
                  <w:shd w:val="clear" w:color="auto" w:fill="auto"/>
                  <w:vAlign w:val="center"/>
                </w:tcPr>
                <w:p w14:paraId="5094253F">
                  <w:pPr>
                    <w:jc w:val="center"/>
                    <w:rPr>
                      <w:rFonts w:hint="eastAsia" w:eastAsia="宋体"/>
                      <w:color w:val="auto"/>
                      <w:szCs w:val="21"/>
                      <w:lang w:val="en-US" w:eastAsia="zh-CN"/>
                    </w:rPr>
                  </w:pPr>
                  <w:r>
                    <w:rPr>
                      <w:rFonts w:hint="eastAsia"/>
                      <w:color w:val="auto"/>
                      <w:szCs w:val="21"/>
                      <w:lang w:val="en-US" w:eastAsia="zh-CN"/>
                    </w:rPr>
                    <w:t>8</w:t>
                  </w:r>
                </w:p>
              </w:tc>
              <w:tc>
                <w:tcPr>
                  <w:tcW w:w="896" w:type="pct"/>
                  <w:tcBorders>
                    <w:tl2br w:val="nil"/>
                    <w:tr2bl w:val="nil"/>
                  </w:tcBorders>
                  <w:shd w:val="clear" w:color="auto" w:fill="auto"/>
                  <w:vAlign w:val="center"/>
                </w:tcPr>
                <w:p w14:paraId="7324767D">
                  <w:pPr>
                    <w:jc w:val="center"/>
                    <w:rPr>
                      <w:rFonts w:hint="eastAsia" w:eastAsia="宋体"/>
                      <w:color w:val="auto"/>
                      <w:szCs w:val="21"/>
                      <w:lang w:val="en-US" w:eastAsia="zh-CN"/>
                    </w:rPr>
                  </w:pPr>
                  <w:r>
                    <w:rPr>
                      <w:rFonts w:hint="eastAsia"/>
                      <w:color w:val="auto"/>
                      <w:szCs w:val="21"/>
                      <w:lang w:val="en-US" w:eastAsia="zh-CN"/>
                    </w:rPr>
                    <w:t>乳化液</w:t>
                  </w:r>
                </w:p>
              </w:tc>
              <w:tc>
                <w:tcPr>
                  <w:tcW w:w="715" w:type="pct"/>
                  <w:tcBorders>
                    <w:tl2br w:val="nil"/>
                    <w:tr2bl w:val="nil"/>
                  </w:tcBorders>
                  <w:vAlign w:val="center"/>
                </w:tcPr>
                <w:p w14:paraId="59AEF1B4">
                  <w:pPr>
                    <w:jc w:val="center"/>
                    <w:rPr>
                      <w:color w:val="auto"/>
                      <w:szCs w:val="21"/>
                    </w:rPr>
                  </w:pPr>
                  <w:r>
                    <w:rPr>
                      <w:color w:val="auto"/>
                      <w:szCs w:val="21"/>
                    </w:rPr>
                    <w:t>t/a</w:t>
                  </w:r>
                </w:p>
              </w:tc>
              <w:tc>
                <w:tcPr>
                  <w:tcW w:w="650" w:type="pct"/>
                  <w:tcBorders>
                    <w:tl2br w:val="nil"/>
                    <w:tr2bl w:val="nil"/>
                  </w:tcBorders>
                  <w:shd w:val="clear" w:color="auto" w:fill="auto"/>
                  <w:vAlign w:val="center"/>
                </w:tcPr>
                <w:p w14:paraId="7D6CA800">
                  <w:pPr>
                    <w:jc w:val="center"/>
                    <w:rPr>
                      <w:rFonts w:hint="default" w:eastAsia="宋体"/>
                      <w:color w:val="auto"/>
                      <w:szCs w:val="21"/>
                      <w:lang w:val="en-US" w:eastAsia="zh-CN"/>
                    </w:rPr>
                  </w:pPr>
                  <w:r>
                    <w:rPr>
                      <w:rFonts w:hint="eastAsia"/>
                      <w:color w:val="auto"/>
                      <w:szCs w:val="21"/>
                      <w:lang w:val="en-US" w:eastAsia="zh-CN"/>
                    </w:rPr>
                    <w:t>2</w:t>
                  </w:r>
                </w:p>
              </w:tc>
              <w:tc>
                <w:tcPr>
                  <w:tcW w:w="1007" w:type="pct"/>
                  <w:tcBorders>
                    <w:tl2br w:val="nil"/>
                    <w:tr2bl w:val="nil"/>
                  </w:tcBorders>
                  <w:vAlign w:val="center"/>
                </w:tcPr>
                <w:p w14:paraId="1D98F45A">
                  <w:pPr>
                    <w:jc w:val="center"/>
                    <w:rPr>
                      <w:rFonts w:hint="eastAsia"/>
                      <w:color w:val="auto"/>
                      <w:szCs w:val="21"/>
                    </w:rPr>
                  </w:pPr>
                  <w:r>
                    <w:rPr>
                      <w:rFonts w:hint="eastAsia"/>
                      <w:color w:val="auto"/>
                      <w:szCs w:val="21"/>
                    </w:rPr>
                    <w:t>封闭厂房存放</w:t>
                  </w:r>
                </w:p>
              </w:tc>
              <w:tc>
                <w:tcPr>
                  <w:tcW w:w="1357" w:type="pct"/>
                  <w:tcBorders>
                    <w:tl2br w:val="nil"/>
                    <w:tr2bl w:val="nil"/>
                  </w:tcBorders>
                  <w:shd w:val="clear" w:color="auto" w:fill="auto"/>
                  <w:vAlign w:val="center"/>
                </w:tcPr>
                <w:p w14:paraId="1B70CEFA">
                  <w:pPr>
                    <w:jc w:val="center"/>
                    <w:rPr>
                      <w:rFonts w:hint="eastAsia"/>
                      <w:color w:val="auto"/>
                      <w:szCs w:val="21"/>
                    </w:rPr>
                  </w:pPr>
                  <w:r>
                    <w:rPr>
                      <w:rFonts w:hint="eastAsia"/>
                      <w:color w:val="auto"/>
                      <w:szCs w:val="21"/>
                    </w:rPr>
                    <w:t>市场采购</w:t>
                  </w:r>
                </w:p>
              </w:tc>
            </w:tr>
            <w:tr w14:paraId="3B0252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tcBorders>
                    <w:tl2br w:val="nil"/>
                    <w:tr2bl w:val="nil"/>
                  </w:tcBorders>
                  <w:shd w:val="clear" w:color="auto" w:fill="auto"/>
                  <w:vAlign w:val="center"/>
                </w:tcPr>
                <w:p w14:paraId="38B526DF">
                  <w:pPr>
                    <w:jc w:val="center"/>
                    <w:rPr>
                      <w:rFonts w:hint="eastAsia" w:eastAsia="宋体"/>
                      <w:color w:val="auto"/>
                      <w:szCs w:val="21"/>
                      <w:lang w:val="en-US" w:eastAsia="zh-CN"/>
                    </w:rPr>
                  </w:pPr>
                  <w:r>
                    <w:rPr>
                      <w:rFonts w:hint="eastAsia"/>
                      <w:color w:val="auto"/>
                      <w:szCs w:val="21"/>
                      <w:lang w:val="en-US" w:eastAsia="zh-CN"/>
                    </w:rPr>
                    <w:t>9</w:t>
                  </w:r>
                </w:p>
              </w:tc>
              <w:tc>
                <w:tcPr>
                  <w:tcW w:w="896" w:type="pct"/>
                  <w:tcBorders>
                    <w:tl2br w:val="nil"/>
                    <w:tr2bl w:val="nil"/>
                  </w:tcBorders>
                  <w:shd w:val="clear" w:color="auto" w:fill="auto"/>
                  <w:vAlign w:val="center"/>
                </w:tcPr>
                <w:p w14:paraId="019095AC">
                  <w:pPr>
                    <w:jc w:val="center"/>
                    <w:rPr>
                      <w:rFonts w:hint="eastAsia" w:eastAsia="宋体"/>
                      <w:color w:val="auto"/>
                      <w:szCs w:val="21"/>
                      <w:lang w:val="en-US" w:eastAsia="zh-CN"/>
                    </w:rPr>
                  </w:pPr>
                  <w:r>
                    <w:rPr>
                      <w:rFonts w:hint="eastAsia"/>
                      <w:color w:val="auto"/>
                      <w:szCs w:val="21"/>
                      <w:lang w:val="en-US" w:eastAsia="zh-CN"/>
                    </w:rPr>
                    <w:t>液压油</w:t>
                  </w:r>
                </w:p>
              </w:tc>
              <w:tc>
                <w:tcPr>
                  <w:tcW w:w="715" w:type="pct"/>
                  <w:tcBorders>
                    <w:tl2br w:val="nil"/>
                    <w:tr2bl w:val="nil"/>
                  </w:tcBorders>
                  <w:vAlign w:val="center"/>
                </w:tcPr>
                <w:p w14:paraId="09BEC479">
                  <w:pPr>
                    <w:jc w:val="center"/>
                    <w:rPr>
                      <w:color w:val="auto"/>
                      <w:szCs w:val="21"/>
                    </w:rPr>
                  </w:pPr>
                  <w:r>
                    <w:rPr>
                      <w:color w:val="auto"/>
                      <w:szCs w:val="21"/>
                    </w:rPr>
                    <w:t>t/a</w:t>
                  </w:r>
                </w:p>
              </w:tc>
              <w:tc>
                <w:tcPr>
                  <w:tcW w:w="650" w:type="pct"/>
                  <w:tcBorders>
                    <w:tl2br w:val="nil"/>
                    <w:tr2bl w:val="nil"/>
                  </w:tcBorders>
                  <w:shd w:val="clear" w:color="auto" w:fill="auto"/>
                  <w:vAlign w:val="center"/>
                </w:tcPr>
                <w:p w14:paraId="44BAD2FD">
                  <w:pPr>
                    <w:jc w:val="center"/>
                    <w:rPr>
                      <w:rFonts w:hint="default" w:eastAsia="宋体"/>
                      <w:color w:val="auto"/>
                      <w:szCs w:val="21"/>
                      <w:lang w:val="en-US" w:eastAsia="zh-CN"/>
                    </w:rPr>
                  </w:pPr>
                  <w:r>
                    <w:rPr>
                      <w:rFonts w:hint="eastAsia"/>
                      <w:color w:val="auto"/>
                      <w:szCs w:val="21"/>
                      <w:lang w:val="en-US" w:eastAsia="zh-CN"/>
                    </w:rPr>
                    <w:t>0.03</w:t>
                  </w:r>
                </w:p>
              </w:tc>
              <w:tc>
                <w:tcPr>
                  <w:tcW w:w="1007" w:type="pct"/>
                  <w:tcBorders>
                    <w:tl2br w:val="nil"/>
                    <w:tr2bl w:val="nil"/>
                  </w:tcBorders>
                  <w:vAlign w:val="center"/>
                </w:tcPr>
                <w:p w14:paraId="1D3F4AC2">
                  <w:pPr>
                    <w:jc w:val="center"/>
                    <w:rPr>
                      <w:rFonts w:hint="eastAsia"/>
                      <w:color w:val="auto"/>
                      <w:szCs w:val="21"/>
                    </w:rPr>
                  </w:pPr>
                  <w:r>
                    <w:rPr>
                      <w:rFonts w:hint="eastAsia"/>
                      <w:color w:val="auto"/>
                      <w:szCs w:val="21"/>
                    </w:rPr>
                    <w:t>封闭厂房存放</w:t>
                  </w:r>
                </w:p>
              </w:tc>
              <w:tc>
                <w:tcPr>
                  <w:tcW w:w="1357" w:type="pct"/>
                  <w:tcBorders>
                    <w:tl2br w:val="nil"/>
                    <w:tr2bl w:val="nil"/>
                  </w:tcBorders>
                  <w:shd w:val="clear" w:color="auto" w:fill="auto"/>
                  <w:vAlign w:val="center"/>
                </w:tcPr>
                <w:p w14:paraId="5015FCA5">
                  <w:pPr>
                    <w:jc w:val="center"/>
                    <w:rPr>
                      <w:rFonts w:hint="eastAsia"/>
                      <w:color w:val="auto"/>
                      <w:szCs w:val="21"/>
                    </w:rPr>
                  </w:pPr>
                  <w:r>
                    <w:rPr>
                      <w:rFonts w:hint="eastAsia"/>
                      <w:color w:val="auto"/>
                      <w:szCs w:val="21"/>
                    </w:rPr>
                    <w:t>市场采购</w:t>
                  </w:r>
                </w:p>
              </w:tc>
            </w:tr>
            <w:tr w14:paraId="4BB91A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71" w:type="pct"/>
                  <w:tcBorders>
                    <w:tl2br w:val="nil"/>
                    <w:tr2bl w:val="nil"/>
                  </w:tcBorders>
                  <w:shd w:val="clear" w:color="auto" w:fill="auto"/>
                  <w:vAlign w:val="center"/>
                </w:tcPr>
                <w:p w14:paraId="5C8AEA40">
                  <w:pPr>
                    <w:jc w:val="center"/>
                    <w:rPr>
                      <w:rFonts w:hint="default" w:eastAsia="宋体"/>
                      <w:color w:val="auto"/>
                      <w:szCs w:val="21"/>
                      <w:lang w:val="en-US" w:eastAsia="zh-CN"/>
                    </w:rPr>
                  </w:pPr>
                  <w:r>
                    <w:rPr>
                      <w:rFonts w:hint="eastAsia"/>
                      <w:color w:val="auto"/>
                      <w:szCs w:val="21"/>
                      <w:lang w:val="en-US" w:eastAsia="zh-CN"/>
                    </w:rPr>
                    <w:t>10</w:t>
                  </w:r>
                </w:p>
              </w:tc>
              <w:tc>
                <w:tcPr>
                  <w:tcW w:w="896" w:type="pct"/>
                  <w:tcBorders>
                    <w:tl2br w:val="nil"/>
                    <w:tr2bl w:val="nil"/>
                  </w:tcBorders>
                  <w:shd w:val="clear" w:color="auto" w:fill="auto"/>
                  <w:vAlign w:val="center"/>
                </w:tcPr>
                <w:p w14:paraId="3983A6E7">
                  <w:pPr>
                    <w:jc w:val="center"/>
                    <w:rPr>
                      <w:color w:val="auto"/>
                      <w:szCs w:val="21"/>
                    </w:rPr>
                  </w:pPr>
                  <w:r>
                    <w:rPr>
                      <w:rFonts w:hint="eastAsia"/>
                      <w:color w:val="auto"/>
                      <w:szCs w:val="21"/>
                    </w:rPr>
                    <w:t>水</w:t>
                  </w:r>
                </w:p>
              </w:tc>
              <w:tc>
                <w:tcPr>
                  <w:tcW w:w="715" w:type="pct"/>
                  <w:tcBorders>
                    <w:tl2br w:val="nil"/>
                    <w:tr2bl w:val="nil"/>
                  </w:tcBorders>
                  <w:vAlign w:val="center"/>
                </w:tcPr>
                <w:p w14:paraId="4CA6C908">
                  <w:pPr>
                    <w:jc w:val="center"/>
                    <w:rPr>
                      <w:color w:val="auto"/>
                      <w:szCs w:val="21"/>
                    </w:rPr>
                  </w:pPr>
                  <w:r>
                    <w:rPr>
                      <w:color w:val="auto"/>
                      <w:szCs w:val="21"/>
                    </w:rPr>
                    <w:t>m</w:t>
                  </w:r>
                  <w:r>
                    <w:rPr>
                      <w:rFonts w:hint="eastAsia"/>
                      <w:color w:val="auto"/>
                      <w:szCs w:val="21"/>
                      <w:vertAlign w:val="superscript"/>
                    </w:rPr>
                    <w:t>3</w:t>
                  </w:r>
                  <w:r>
                    <w:rPr>
                      <w:rFonts w:hint="eastAsia"/>
                      <w:color w:val="auto"/>
                      <w:szCs w:val="21"/>
                    </w:rPr>
                    <w:t>/a</w:t>
                  </w:r>
                </w:p>
              </w:tc>
              <w:tc>
                <w:tcPr>
                  <w:tcW w:w="650" w:type="pct"/>
                  <w:tcBorders>
                    <w:tl2br w:val="nil"/>
                    <w:tr2bl w:val="nil"/>
                  </w:tcBorders>
                  <w:shd w:val="clear" w:color="auto" w:fill="auto"/>
                  <w:vAlign w:val="center"/>
                </w:tcPr>
                <w:p w14:paraId="384407C2">
                  <w:pPr>
                    <w:jc w:val="center"/>
                    <w:rPr>
                      <w:color w:val="auto"/>
                      <w:szCs w:val="21"/>
                    </w:rPr>
                  </w:pPr>
                  <w:r>
                    <w:rPr>
                      <w:rFonts w:hint="eastAsia"/>
                      <w:color w:val="auto"/>
                      <w:szCs w:val="21"/>
                    </w:rPr>
                    <w:t>1101250</w:t>
                  </w:r>
                </w:p>
              </w:tc>
              <w:tc>
                <w:tcPr>
                  <w:tcW w:w="1007" w:type="pct"/>
                  <w:tcBorders>
                    <w:tl2br w:val="nil"/>
                    <w:tr2bl w:val="nil"/>
                  </w:tcBorders>
                  <w:vAlign w:val="center"/>
                </w:tcPr>
                <w:p w14:paraId="71772297">
                  <w:pPr>
                    <w:jc w:val="center"/>
                    <w:rPr>
                      <w:color w:val="auto"/>
                      <w:szCs w:val="21"/>
                    </w:rPr>
                  </w:pPr>
                  <w:r>
                    <w:rPr>
                      <w:rFonts w:hint="eastAsia"/>
                      <w:color w:val="auto"/>
                      <w:szCs w:val="21"/>
                    </w:rPr>
                    <w:t>/</w:t>
                  </w:r>
                </w:p>
              </w:tc>
              <w:tc>
                <w:tcPr>
                  <w:tcW w:w="1357" w:type="pct"/>
                  <w:tcBorders>
                    <w:tl2br w:val="nil"/>
                    <w:tr2bl w:val="nil"/>
                  </w:tcBorders>
                  <w:shd w:val="clear" w:color="auto" w:fill="auto"/>
                  <w:vAlign w:val="center"/>
                </w:tcPr>
                <w:p w14:paraId="161842D1">
                  <w:pPr>
                    <w:jc w:val="center"/>
                    <w:rPr>
                      <w:color w:val="auto"/>
                      <w:szCs w:val="21"/>
                    </w:rPr>
                  </w:pPr>
                  <w:r>
                    <w:rPr>
                      <w:rFonts w:hint="eastAsia"/>
                      <w:color w:val="auto"/>
                      <w:szCs w:val="21"/>
                    </w:rPr>
                    <w:t>供水管网</w:t>
                  </w:r>
                </w:p>
              </w:tc>
            </w:tr>
            <w:tr w14:paraId="70D9D9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1" w:type="pct"/>
                  <w:tcBorders>
                    <w:tl2br w:val="nil"/>
                    <w:tr2bl w:val="nil"/>
                  </w:tcBorders>
                  <w:shd w:val="clear" w:color="auto" w:fill="auto"/>
                  <w:vAlign w:val="center"/>
                </w:tcPr>
                <w:p w14:paraId="7918075B">
                  <w:pPr>
                    <w:jc w:val="center"/>
                    <w:rPr>
                      <w:rFonts w:hint="default" w:eastAsia="宋体"/>
                      <w:color w:val="auto"/>
                      <w:szCs w:val="21"/>
                      <w:lang w:val="en-US" w:eastAsia="zh-CN"/>
                    </w:rPr>
                  </w:pPr>
                  <w:r>
                    <w:rPr>
                      <w:rFonts w:hint="eastAsia"/>
                      <w:color w:val="auto"/>
                      <w:szCs w:val="21"/>
                      <w:lang w:val="en-US" w:eastAsia="zh-CN"/>
                    </w:rPr>
                    <w:t>11</w:t>
                  </w:r>
                </w:p>
              </w:tc>
              <w:tc>
                <w:tcPr>
                  <w:tcW w:w="896" w:type="pct"/>
                  <w:tcBorders>
                    <w:tl2br w:val="nil"/>
                    <w:tr2bl w:val="nil"/>
                  </w:tcBorders>
                  <w:shd w:val="clear" w:color="auto" w:fill="auto"/>
                  <w:vAlign w:val="center"/>
                </w:tcPr>
                <w:p w14:paraId="2D36E1DA">
                  <w:pPr>
                    <w:jc w:val="center"/>
                    <w:rPr>
                      <w:color w:val="auto"/>
                      <w:szCs w:val="21"/>
                    </w:rPr>
                  </w:pPr>
                  <w:r>
                    <w:rPr>
                      <w:rFonts w:hint="eastAsia"/>
                      <w:color w:val="auto"/>
                      <w:szCs w:val="21"/>
                    </w:rPr>
                    <w:t>电</w:t>
                  </w:r>
                </w:p>
              </w:tc>
              <w:tc>
                <w:tcPr>
                  <w:tcW w:w="715" w:type="pct"/>
                  <w:tcBorders>
                    <w:tl2br w:val="nil"/>
                    <w:tr2bl w:val="nil"/>
                  </w:tcBorders>
                  <w:vAlign w:val="center"/>
                </w:tcPr>
                <w:p w14:paraId="12881CAF">
                  <w:pPr>
                    <w:jc w:val="center"/>
                    <w:rPr>
                      <w:color w:val="auto"/>
                      <w:szCs w:val="21"/>
                    </w:rPr>
                  </w:pPr>
                  <w:r>
                    <w:rPr>
                      <w:rFonts w:hint="eastAsia"/>
                      <w:color w:val="auto"/>
                      <w:szCs w:val="21"/>
                    </w:rPr>
                    <w:t>万kW·h/a</w:t>
                  </w:r>
                </w:p>
              </w:tc>
              <w:tc>
                <w:tcPr>
                  <w:tcW w:w="650" w:type="pct"/>
                  <w:tcBorders>
                    <w:tl2br w:val="nil"/>
                    <w:tr2bl w:val="nil"/>
                  </w:tcBorders>
                  <w:shd w:val="clear" w:color="auto" w:fill="auto"/>
                  <w:vAlign w:val="center"/>
                </w:tcPr>
                <w:p w14:paraId="6181A6EC">
                  <w:pPr>
                    <w:jc w:val="center"/>
                    <w:rPr>
                      <w:color w:val="auto"/>
                      <w:szCs w:val="21"/>
                    </w:rPr>
                  </w:pPr>
                  <w:r>
                    <w:rPr>
                      <w:rFonts w:hint="eastAsia"/>
                      <w:color w:val="auto"/>
                      <w:szCs w:val="21"/>
                    </w:rPr>
                    <w:t>300</w:t>
                  </w:r>
                </w:p>
              </w:tc>
              <w:tc>
                <w:tcPr>
                  <w:tcW w:w="1007" w:type="pct"/>
                  <w:tcBorders>
                    <w:tl2br w:val="nil"/>
                    <w:tr2bl w:val="nil"/>
                  </w:tcBorders>
                  <w:vAlign w:val="center"/>
                </w:tcPr>
                <w:p w14:paraId="2D1914E7">
                  <w:pPr>
                    <w:jc w:val="center"/>
                    <w:rPr>
                      <w:color w:val="auto"/>
                      <w:szCs w:val="21"/>
                    </w:rPr>
                  </w:pPr>
                  <w:r>
                    <w:rPr>
                      <w:rFonts w:hint="eastAsia"/>
                      <w:color w:val="auto"/>
                      <w:szCs w:val="21"/>
                    </w:rPr>
                    <w:t>/</w:t>
                  </w:r>
                </w:p>
              </w:tc>
              <w:tc>
                <w:tcPr>
                  <w:tcW w:w="1357" w:type="pct"/>
                  <w:tcBorders>
                    <w:tl2br w:val="nil"/>
                    <w:tr2bl w:val="nil"/>
                  </w:tcBorders>
                  <w:shd w:val="clear" w:color="auto" w:fill="auto"/>
                  <w:vAlign w:val="center"/>
                </w:tcPr>
                <w:p w14:paraId="60409D30">
                  <w:pPr>
                    <w:jc w:val="center"/>
                    <w:rPr>
                      <w:color w:val="auto"/>
                      <w:szCs w:val="21"/>
                    </w:rPr>
                  </w:pPr>
                  <w:r>
                    <w:rPr>
                      <w:rFonts w:hint="eastAsia"/>
                      <w:color w:val="auto"/>
                      <w:szCs w:val="21"/>
                    </w:rPr>
                    <w:t>电网</w:t>
                  </w:r>
                </w:p>
              </w:tc>
            </w:tr>
          </w:tbl>
          <w:p w14:paraId="19551AE6">
            <w:pPr>
              <w:pStyle w:val="100"/>
              <w:spacing w:line="360" w:lineRule="auto"/>
              <w:ind w:left="108" w:right="102" w:firstLine="482"/>
              <w:jc w:val="both"/>
              <w:rPr>
                <w:rFonts w:ascii="Times New Roman" w:hAnsi="Times New Roman" w:cs="Times New Roman"/>
                <w:bCs/>
                <w:color w:val="auto"/>
                <w:kern w:val="2"/>
                <w:sz w:val="24"/>
                <w:szCs w:val="24"/>
              </w:rPr>
            </w:pPr>
            <w:r>
              <w:rPr>
                <w:rFonts w:hint="eastAsia" w:ascii="Times New Roman" w:hAnsi="Times New Roman" w:cs="Times New Roman"/>
                <w:bCs/>
                <w:color w:val="auto"/>
                <w:kern w:val="2"/>
                <w:sz w:val="24"/>
                <w:szCs w:val="24"/>
              </w:rPr>
              <w:t>主要原辅材料理化性质：</w:t>
            </w:r>
          </w:p>
          <w:p w14:paraId="2B6719AB">
            <w:pPr>
              <w:pStyle w:val="100"/>
              <w:spacing w:line="360" w:lineRule="auto"/>
              <w:ind w:left="108" w:right="102" w:firstLine="482"/>
              <w:jc w:val="both"/>
              <w:rPr>
                <w:rFonts w:hint="eastAsia" w:ascii="Times New Roman" w:hAnsi="Times New Roman" w:cs="Times New Roman"/>
                <w:bCs/>
                <w:color w:val="auto"/>
                <w:kern w:val="2"/>
                <w:sz w:val="24"/>
                <w:szCs w:val="24"/>
                <w:lang w:val="en-US" w:eastAsia="zh-CN"/>
              </w:rPr>
            </w:pPr>
            <w:r>
              <w:rPr>
                <w:rFonts w:hint="eastAsia" w:ascii="Times New Roman" w:hAnsi="Times New Roman" w:cs="Times New Roman"/>
                <w:bCs/>
                <w:color w:val="auto"/>
                <w:kern w:val="2"/>
                <w:sz w:val="24"/>
                <w:szCs w:val="24"/>
                <w:lang w:val="en-US" w:eastAsia="zh-CN"/>
              </w:rPr>
              <w:t>①增碳剂：</w:t>
            </w:r>
            <w:r>
              <w:rPr>
                <w:rFonts w:hint="eastAsia" w:ascii="Times New Roman" w:hAnsi="Times New Roman" w:cs="Times New Roman"/>
                <w:bCs/>
                <w:color w:val="auto"/>
                <w:kern w:val="2"/>
                <w:sz w:val="24"/>
                <w:szCs w:val="24"/>
              </w:rPr>
              <w:t>增碳剂在铸造时使用，可大幅度增加</w:t>
            </w:r>
            <w:r>
              <w:rPr>
                <w:rFonts w:hint="default" w:ascii="Times New Roman" w:hAnsi="Times New Roman" w:cs="Times New Roman"/>
                <w:bCs/>
                <w:color w:val="auto"/>
                <w:kern w:val="2"/>
                <w:sz w:val="24"/>
                <w:szCs w:val="24"/>
              </w:rPr>
              <w:fldChar w:fldCharType="begin"/>
            </w:r>
            <w:r>
              <w:rPr>
                <w:rFonts w:hint="default" w:ascii="Times New Roman" w:hAnsi="Times New Roman" w:cs="Times New Roman"/>
                <w:bCs/>
                <w:color w:val="auto"/>
                <w:kern w:val="2"/>
                <w:sz w:val="24"/>
                <w:szCs w:val="24"/>
              </w:rPr>
              <w:instrText xml:space="preserve"> HYPERLINK "https://baike.so.com/doc/5338484-5573925.html" \t "https://baike.so.com/doc/_blank" </w:instrText>
            </w:r>
            <w:r>
              <w:rPr>
                <w:rFonts w:hint="default" w:ascii="Times New Roman" w:hAnsi="Times New Roman" w:cs="Times New Roman"/>
                <w:bCs/>
                <w:color w:val="auto"/>
                <w:kern w:val="2"/>
                <w:sz w:val="24"/>
                <w:szCs w:val="24"/>
              </w:rPr>
              <w:fldChar w:fldCharType="separate"/>
            </w:r>
            <w:r>
              <w:rPr>
                <w:rFonts w:hint="default" w:ascii="Times New Roman" w:hAnsi="Times New Roman" w:cs="Times New Roman"/>
                <w:bCs/>
                <w:color w:val="auto"/>
                <w:kern w:val="2"/>
                <w:sz w:val="24"/>
                <w:szCs w:val="24"/>
              </w:rPr>
              <w:t>废钢</w:t>
            </w:r>
            <w:r>
              <w:rPr>
                <w:rFonts w:hint="default" w:ascii="Times New Roman" w:hAnsi="Times New Roman" w:cs="Times New Roman"/>
                <w:bCs/>
                <w:color w:val="auto"/>
                <w:kern w:val="2"/>
                <w:sz w:val="24"/>
                <w:szCs w:val="24"/>
              </w:rPr>
              <w:fldChar w:fldCharType="end"/>
            </w:r>
            <w:r>
              <w:rPr>
                <w:rFonts w:hint="default" w:ascii="Times New Roman" w:hAnsi="Times New Roman" w:cs="Times New Roman"/>
                <w:bCs/>
                <w:color w:val="auto"/>
                <w:kern w:val="2"/>
                <w:sz w:val="24"/>
                <w:szCs w:val="24"/>
              </w:rPr>
              <w:t>用量，减少</w:t>
            </w:r>
            <w:r>
              <w:rPr>
                <w:rFonts w:hint="default" w:ascii="Times New Roman" w:hAnsi="Times New Roman" w:cs="Times New Roman"/>
                <w:bCs/>
                <w:color w:val="auto"/>
                <w:kern w:val="2"/>
                <w:sz w:val="24"/>
                <w:szCs w:val="24"/>
              </w:rPr>
              <w:fldChar w:fldCharType="begin"/>
            </w:r>
            <w:r>
              <w:rPr>
                <w:rFonts w:hint="default" w:ascii="Times New Roman" w:hAnsi="Times New Roman" w:cs="Times New Roman"/>
                <w:bCs/>
                <w:color w:val="auto"/>
                <w:kern w:val="2"/>
                <w:sz w:val="24"/>
                <w:szCs w:val="24"/>
              </w:rPr>
              <w:instrText xml:space="preserve"> HYPERLINK "https://baike.so.com/doc/5924104-6137025.html" \t "https://baike.so.com/doc/_blank" </w:instrText>
            </w:r>
            <w:r>
              <w:rPr>
                <w:rFonts w:hint="default" w:ascii="Times New Roman" w:hAnsi="Times New Roman" w:cs="Times New Roman"/>
                <w:bCs/>
                <w:color w:val="auto"/>
                <w:kern w:val="2"/>
                <w:sz w:val="24"/>
                <w:szCs w:val="24"/>
              </w:rPr>
              <w:fldChar w:fldCharType="separate"/>
            </w:r>
            <w:r>
              <w:rPr>
                <w:rFonts w:hint="default" w:ascii="Times New Roman" w:hAnsi="Times New Roman" w:cs="Times New Roman"/>
                <w:bCs/>
                <w:color w:val="auto"/>
                <w:kern w:val="2"/>
                <w:sz w:val="24"/>
                <w:szCs w:val="24"/>
              </w:rPr>
              <w:t>生铁</w:t>
            </w:r>
            <w:r>
              <w:rPr>
                <w:rFonts w:hint="default" w:ascii="Times New Roman" w:hAnsi="Times New Roman" w:cs="Times New Roman"/>
                <w:bCs/>
                <w:color w:val="auto"/>
                <w:kern w:val="2"/>
                <w:sz w:val="24"/>
                <w:szCs w:val="24"/>
              </w:rPr>
              <w:fldChar w:fldCharType="end"/>
            </w:r>
            <w:r>
              <w:rPr>
                <w:rFonts w:hint="default" w:ascii="Times New Roman" w:hAnsi="Times New Roman" w:cs="Times New Roman"/>
                <w:bCs/>
                <w:color w:val="auto"/>
                <w:kern w:val="2"/>
                <w:sz w:val="24"/>
                <w:szCs w:val="24"/>
              </w:rPr>
              <w:t>用量或不用生铁。</w:t>
            </w:r>
            <w:r>
              <w:rPr>
                <w:rFonts w:hint="default" w:ascii="Times New Roman" w:hAnsi="Times New Roman" w:cs="Times New Roman"/>
                <w:bCs/>
                <w:color w:val="auto"/>
                <w:kern w:val="2"/>
                <w:sz w:val="24"/>
                <w:szCs w:val="24"/>
              </w:rPr>
              <w:fldChar w:fldCharType="begin"/>
            </w:r>
            <w:r>
              <w:rPr>
                <w:rFonts w:hint="default" w:ascii="Times New Roman" w:hAnsi="Times New Roman" w:cs="Times New Roman"/>
                <w:bCs/>
                <w:color w:val="auto"/>
                <w:kern w:val="2"/>
                <w:sz w:val="24"/>
                <w:szCs w:val="24"/>
              </w:rPr>
              <w:instrText xml:space="preserve"> HYPERLINK "https://baike.so.com/doc/7674779-7948874.html" \t "https://baike.so.com/doc/_blank" </w:instrText>
            </w:r>
            <w:r>
              <w:rPr>
                <w:rFonts w:hint="default" w:ascii="Times New Roman" w:hAnsi="Times New Roman" w:cs="Times New Roman"/>
                <w:bCs/>
                <w:color w:val="auto"/>
                <w:kern w:val="2"/>
                <w:sz w:val="24"/>
                <w:szCs w:val="24"/>
              </w:rPr>
              <w:fldChar w:fldCharType="separate"/>
            </w:r>
            <w:r>
              <w:rPr>
                <w:rFonts w:hint="default" w:ascii="Times New Roman" w:hAnsi="Times New Roman" w:cs="Times New Roman"/>
                <w:bCs/>
                <w:color w:val="auto"/>
                <w:kern w:val="2"/>
                <w:sz w:val="24"/>
                <w:szCs w:val="24"/>
              </w:rPr>
              <w:t>电炉熔炼</w:t>
            </w:r>
            <w:r>
              <w:rPr>
                <w:rFonts w:hint="default" w:ascii="Times New Roman" w:hAnsi="Times New Roman" w:cs="Times New Roman"/>
                <w:bCs/>
                <w:color w:val="auto"/>
                <w:kern w:val="2"/>
                <w:sz w:val="24"/>
                <w:szCs w:val="24"/>
              </w:rPr>
              <w:fldChar w:fldCharType="end"/>
            </w:r>
            <w:r>
              <w:rPr>
                <w:rFonts w:hint="default" w:ascii="Times New Roman" w:hAnsi="Times New Roman" w:cs="Times New Roman"/>
                <w:bCs/>
                <w:color w:val="auto"/>
                <w:kern w:val="2"/>
                <w:sz w:val="24"/>
                <w:szCs w:val="24"/>
              </w:rPr>
              <w:t>的投料方式，应将增碳剂随废钢等炉料一起往里投放，小剂量的添加可以选择加在铁水表面。</w:t>
            </w:r>
          </w:p>
          <w:p w14:paraId="2D379BBF">
            <w:pPr>
              <w:pStyle w:val="100"/>
              <w:spacing w:line="360" w:lineRule="auto"/>
              <w:ind w:left="108" w:right="102" w:firstLine="482"/>
              <w:jc w:val="both"/>
              <w:rPr>
                <w:rFonts w:hint="eastAsia" w:ascii="Times New Roman" w:hAnsi="Times New Roman" w:cs="Times New Roman"/>
                <w:bCs/>
                <w:color w:val="auto"/>
                <w:kern w:val="2"/>
                <w:sz w:val="24"/>
                <w:szCs w:val="24"/>
                <w:lang w:val="en-US" w:eastAsia="zh-CN"/>
              </w:rPr>
            </w:pPr>
            <w:r>
              <w:rPr>
                <w:rFonts w:hint="eastAsia" w:ascii="Times New Roman" w:hAnsi="Times New Roman" w:cs="Times New Roman"/>
                <w:bCs/>
                <w:color w:val="auto"/>
                <w:kern w:val="2"/>
                <w:sz w:val="24"/>
                <w:szCs w:val="24"/>
                <w:lang w:val="en-US" w:eastAsia="zh-CN"/>
              </w:rPr>
              <w:t>②孕育剂：孕育剂是一种可促进石墨化，减少白口倾向，改善石墨形态和分布状况，增加共晶团数量，细化基体组织的物质。它在孕育处理后的短时间内（约5—8分钟）有良好的效果。主要适用于各种情况的一般然件或后期瞬时孕育。</w:t>
            </w:r>
          </w:p>
          <w:p w14:paraId="76F45AF4">
            <w:pPr>
              <w:pStyle w:val="100"/>
              <w:spacing w:line="360" w:lineRule="auto"/>
              <w:ind w:left="108" w:right="102" w:firstLine="482"/>
              <w:jc w:val="both"/>
              <w:rPr>
                <w:rFonts w:hint="default" w:ascii="Times New Roman" w:hAnsi="Times New Roman" w:cs="Times New Roman"/>
                <w:bCs/>
                <w:color w:val="auto"/>
                <w:kern w:val="2"/>
                <w:sz w:val="24"/>
                <w:szCs w:val="24"/>
                <w:lang w:val="en-US" w:eastAsia="zh-CN"/>
              </w:rPr>
            </w:pPr>
            <w:r>
              <w:rPr>
                <w:rFonts w:hint="eastAsia" w:ascii="Times New Roman" w:hAnsi="Times New Roman" w:cs="Times New Roman"/>
                <w:bCs/>
                <w:color w:val="auto"/>
                <w:kern w:val="2"/>
                <w:sz w:val="24"/>
                <w:szCs w:val="24"/>
                <w:lang w:val="en-US" w:eastAsia="zh-CN"/>
              </w:rPr>
              <w:t>③除渣剂：</w:t>
            </w:r>
            <w:r>
              <w:rPr>
                <w:rFonts w:hint="default" w:ascii="Times New Roman" w:hAnsi="Times New Roman" w:cs="Times New Roman"/>
                <w:bCs/>
                <w:color w:val="auto"/>
                <w:kern w:val="2"/>
                <w:sz w:val="24"/>
                <w:szCs w:val="24"/>
                <w:lang w:val="en-US" w:eastAsia="zh-CN"/>
              </w:rPr>
              <w:t>主要用于聚集铁水溶液表面的不熔物，使之易于除去，确保铁水溶液的纯净；还可作为优质保温</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"https://baike.baidu.com/item/%E8%A6%86%E7%9B%96%E5%89%82/5319379?fromModule=lemma_inlink" \t "https://baike.baidu.com/item/%E9%99%A4%E6%B8%A3%E5%89%82/_blank"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lang w:val="en-US" w:eastAsia="zh-CN"/>
              </w:rPr>
              <w:t>覆盖剂</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及档渣材料，具有较厚的</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"https://baike.baidu.com/item/%E4%BF%9D%E6%B8%A9%E5%B1%82/8870085?fromModule=lemma_inlink" \t "https://baike.baidu.com/item/%E9%99%A4%E6%B8%A3%E5%89%82/_blank"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lang w:val="en-US" w:eastAsia="zh-CN"/>
              </w:rPr>
              <w:t>保温层</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及优异的档渣性能，还可有效隔绝空气防止铁水溶液</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"https://baike.baidu.com/item/%E4%BA%8C%E6%AC%A1%E6%B0%A7%E5%8C%96/2984384?fromModule=lemma_inlink" \t "https://baike.baidu.com/item/%E9%99%A4%E6%B8%A3%E5%89%82/_blank"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lang w:val="en-US" w:eastAsia="zh-CN"/>
              </w:rPr>
              <w:t>二次氧化</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。除渣剂不爆裂、铺展快速且均匀，聚渣能力强。有效防止铸件</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"https://baike.baidu.com/item/%E5%A4%B9%E6%B8%A3/7440230?fromModule=lemma_inlink" \t "https://baike.baidu.com/item/%E9%99%A4%E6%B8%A3%E5%89%82/_blank"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lang w:val="en-US" w:eastAsia="zh-CN"/>
              </w:rPr>
              <w:t>夹渣</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缺陷，提高铸件内在质量，提高铸件</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"https://baike.baidu.com/item/%E6%88%90%E5%93%81%E7%8E%87/10369330?fromModule=lemma_inlink" \t "https://baike.baidu.com/item/%E9%99%A4%E6%B8%A3%E5%89%82/_blank"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lang w:val="en-US" w:eastAsia="zh-CN"/>
              </w:rPr>
              <w:t>成品率</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，降低生产成本；使用方法简单，减轻工人劳动强度，提高生产效率。</w:t>
            </w:r>
          </w:p>
          <w:p w14:paraId="4DCBB1A0">
            <w:pPr>
              <w:pStyle w:val="100"/>
              <w:spacing w:line="360" w:lineRule="auto"/>
              <w:ind w:left="108" w:right="102" w:firstLine="482"/>
              <w:jc w:val="both"/>
              <w:rPr>
                <w:rFonts w:hint="default" w:ascii="Times New Roman" w:hAnsi="Times New Roman" w:cs="Times New Roman"/>
                <w:bCs/>
                <w:color w:val="auto"/>
                <w:kern w:val="2"/>
                <w:sz w:val="24"/>
                <w:szCs w:val="24"/>
                <w:lang w:val="en-US" w:eastAsia="zh-CN"/>
              </w:rPr>
            </w:pPr>
            <w:r>
              <w:rPr>
                <w:rFonts w:hint="eastAsia" w:ascii="Times New Roman" w:hAnsi="Times New Roman" w:cs="Times New Roman"/>
                <w:bCs/>
                <w:color w:val="auto"/>
                <w:kern w:val="2"/>
                <w:sz w:val="24"/>
                <w:szCs w:val="24"/>
                <w:lang w:val="en-US" w:eastAsia="zh-CN"/>
              </w:rPr>
              <w:t>④玻璃水：</w:t>
            </w:r>
            <w:r>
              <w:rPr>
                <w:rFonts w:hint="default" w:ascii="Times New Roman" w:hAnsi="Times New Roman" w:cs="Times New Roman"/>
                <w:bCs/>
                <w:color w:val="auto"/>
                <w:kern w:val="2"/>
                <w:sz w:val="24"/>
                <w:szCs w:val="24"/>
                <w:lang w:val="en-US" w:eastAsia="zh-CN"/>
              </w:rPr>
              <w:t>玻璃水通常具有润湿、渗透、增溶等功能，从而起到清洗去污的作用。</w:t>
            </w:r>
          </w:p>
          <w:p w14:paraId="5DF175F8">
            <w:pPr>
              <w:pStyle w:val="100"/>
              <w:spacing w:line="360" w:lineRule="auto"/>
              <w:ind w:left="108" w:right="102" w:firstLine="482"/>
              <w:jc w:val="both"/>
              <w:rPr>
                <w:rFonts w:hint="eastAsia" w:ascii="Times New Roman" w:hAnsi="Times New Roman" w:cs="Times New Roman"/>
                <w:bCs/>
                <w:color w:val="auto"/>
                <w:kern w:val="2"/>
                <w:sz w:val="24"/>
                <w:szCs w:val="24"/>
              </w:rPr>
            </w:pPr>
            <w:r>
              <w:rPr>
                <w:rFonts w:hint="eastAsia" w:ascii="Times New Roman" w:hAnsi="Times New Roman" w:cs="Times New Roman"/>
                <w:bCs/>
                <w:color w:val="auto"/>
                <w:kern w:val="2"/>
                <w:sz w:val="24"/>
                <w:szCs w:val="24"/>
                <w:lang w:val="en-US" w:eastAsia="zh-CN"/>
              </w:rPr>
              <w:t>⑤石英砂：</w:t>
            </w:r>
            <w:r>
              <w:rPr>
                <w:rFonts w:hint="default" w:ascii="Times New Roman" w:hAnsi="Times New Roman" w:cs="Times New Roman"/>
                <w:bCs/>
                <w:color w:val="auto"/>
                <w:kern w:val="2"/>
                <w:sz w:val="24"/>
                <w:szCs w:val="24"/>
                <w:lang w:val="en-US" w:eastAsia="zh-CN"/>
              </w:rPr>
              <w:t>石英砂（quartz sand）是</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"https://baike.baidu.com/item/%E7%9F%B3%E8%8B%B1%E7%9F%B3/2094409?fromModule=lemma_inlink" \t "https://baike.baidu.com/item/%E7%9F%B3%E8%8B%B1%E7%A0%82/_blank"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rPr>
              <w:t>石英石</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经破碎加工而成的石英颗粒。石英石是一种非金属矿物质，是一种坚硬、耐磨、化学性能稳定的硅酸盐矿物。石英砂的颜色为乳白色、或无色半透明状，</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"https://baike.baidu.com/item/%E8%8E%AB%E6%B0%8F%E7%A1%AC%E5%BA%A6/0?fromModule=lemma_inlink" \t "https://baike.baidu.com/item/%E7%9F%B3%E8%8B%B1%E7%A0%82/_blank"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rPr>
              <w:t>莫氏硬度</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7。</w:t>
            </w:r>
          </w:p>
          <w:p w14:paraId="034D5010">
            <w:pPr>
              <w:pStyle w:val="100"/>
              <w:spacing w:line="360" w:lineRule="auto"/>
              <w:ind w:left="108" w:right="102" w:firstLine="482"/>
              <w:jc w:val="both"/>
              <w:rPr>
                <w:rFonts w:hint="default" w:ascii="Times New Roman" w:hAnsi="Times New Roman" w:cs="Times New Roman"/>
                <w:bCs/>
                <w:color w:val="auto"/>
                <w:kern w:val="2"/>
                <w:sz w:val="24"/>
                <w:szCs w:val="24"/>
                <w:lang w:val="en-US" w:eastAsia="zh-CN"/>
              </w:rPr>
            </w:pPr>
            <w:r>
              <w:rPr>
                <w:rFonts w:hint="default" w:ascii="Times New Roman" w:hAnsi="Times New Roman" w:cs="Times New Roman"/>
                <w:bCs/>
                <w:color w:val="auto"/>
                <w:kern w:val="2"/>
                <w:sz w:val="24"/>
                <w:szCs w:val="24"/>
                <w:lang w:val="en-US" w:eastAsia="zh-CN"/>
              </w:rPr>
              <w:t>石英砂是重要的</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"https://baike.baidu.com/item/%E5%B7%A5%E4%B8%9A%E7%9F%BF%E7%89%A9/1614222?fromModule=lemma_inlink" \t "https://baike.baidu.com/item/%E7%9F%B3%E8%8B%B1%E7%A0%82/_blank"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rPr>
              <w:t>工业矿物</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原料，非化学危险品，广泛用于</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"https://baike.baidu.com/item/%E7%8E%BB%E7%92%83/287?fromModule=lemma_inlink" \t "https://baike.baidu.com/item/%E7%9F%B3%E8%8B%B1%E7%A0%82/_blank"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rPr>
              <w:t>玻璃</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"https://baike.baidu.com/item/%E9%93%B8%E9%80%A0/9758458?fromModule=lemma_inlink" \t "https://baike.baidu.com/item/%E7%9F%B3%E8%8B%B1%E7%A0%82/_blank"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rPr>
              <w:t>铸造</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"https://baike.baidu.com/item/%E9%99%B6%E7%93%B7/2681?fromModule=lemma_inlink" \t "https://baike.baidu.com/item/%E7%9F%B3%E8%8B%B1%E7%A0%82/_blank"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rPr>
              <w:t>陶瓷</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及</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"https://baike.baidu.com/item/%E9%98%B2%E7%81%AB%E6%9D%90%E6%96%99/3426326?fromModule=lemma_inlink" \t "https://baike.baidu.com/item/%E7%9F%B3%E8%8B%B1%E7%A0%82/_blank"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rPr>
              <w:t>防火材料</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、冶炼硅铁、冶金熔剂、冶金、建筑、</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"https://baike.baidu.com/item/%E5%8C%96%E5%B7%A5/1262631?fromModule=lemma_inlink" \t "https://baike.baidu.com/item/%E7%9F%B3%E8%8B%B1%E7%A0%82/_blank"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rPr>
              <w:t>化工</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"https://baike.baidu.com/item/%E5%A1%91%E6%96%99/573005?fromModule=lemma_inlink" \t "https://baike.baidu.com/item/%E7%9F%B3%E8%8B%B1%E7%A0%82/_blank"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rPr>
              <w:t>塑料</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"https://baike.baidu.com/item/%E6%A9%A1%E8%83%B6/837156?fromModule=lemma_inlink" \t "https://baike.baidu.com/item/%E7%9F%B3%E8%8B%B1%E7%A0%82/_blank"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rPr>
              <w:t>橡胶</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"https://baike.baidu.com/item/%E7%A3%A8%E6%96%99/10469689?fromModule=lemma_inlink" \t "https://baike.baidu.com/item/%E7%9F%B3%E8%8B%B1%E7%A0%82/_blank"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rPr>
              <w:t>磨料</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w:t>
            </w:r>
            <w:r>
              <w:rPr>
                <w:rFonts w:hint="default" w:ascii="Times New Roman" w:hAnsi="Times New Roman" w:cs="Times New Roman"/>
                <w:bCs/>
                <w:color w:val="auto"/>
                <w:kern w:val="2"/>
                <w:sz w:val="24"/>
                <w:szCs w:val="24"/>
                <w:lang w:val="en-US" w:eastAsia="zh-CN"/>
              </w:rPr>
              <w:fldChar w:fldCharType="begin"/>
            </w:r>
            <w:r>
              <w:rPr>
                <w:rFonts w:hint="default" w:ascii="Times New Roman" w:hAnsi="Times New Roman" w:cs="Times New Roman"/>
                <w:bCs/>
                <w:color w:val="auto"/>
                <w:kern w:val="2"/>
                <w:sz w:val="24"/>
                <w:szCs w:val="24"/>
                <w:lang w:val="en-US" w:eastAsia="zh-CN"/>
              </w:rPr>
              <w:instrText xml:space="preserve"> HYPERLINK "https://baike.baidu.com/item/%E6%BB%A4%E6%96%99/7675971?fromModule=lemma_inlink" \t "https://baike.baidu.com/item/%E7%9F%B3%E8%8B%B1%E7%A0%82/_blank" </w:instrText>
            </w:r>
            <w:r>
              <w:rPr>
                <w:rFonts w:hint="default" w:ascii="Times New Roman" w:hAnsi="Times New Roman" w:cs="Times New Roman"/>
                <w:bCs/>
                <w:color w:val="auto"/>
                <w:kern w:val="2"/>
                <w:sz w:val="24"/>
                <w:szCs w:val="24"/>
                <w:lang w:val="en-US" w:eastAsia="zh-CN"/>
              </w:rPr>
              <w:fldChar w:fldCharType="separate"/>
            </w:r>
            <w:r>
              <w:rPr>
                <w:rFonts w:hint="default" w:ascii="Times New Roman" w:hAnsi="Times New Roman" w:cs="Times New Roman"/>
                <w:bCs/>
                <w:color w:val="auto"/>
                <w:kern w:val="2"/>
                <w:sz w:val="24"/>
                <w:szCs w:val="24"/>
              </w:rPr>
              <w:t>滤料</w:t>
            </w:r>
            <w:r>
              <w:rPr>
                <w:rFonts w:hint="default" w:ascii="Times New Roman" w:hAnsi="Times New Roman" w:cs="Times New Roman"/>
                <w:bCs/>
                <w:color w:val="auto"/>
                <w:kern w:val="2"/>
                <w:sz w:val="24"/>
                <w:szCs w:val="24"/>
                <w:lang w:val="en-US" w:eastAsia="zh-CN"/>
              </w:rPr>
              <w:fldChar w:fldCharType="end"/>
            </w:r>
            <w:r>
              <w:rPr>
                <w:rFonts w:hint="default" w:ascii="Times New Roman" w:hAnsi="Times New Roman" w:cs="Times New Roman"/>
                <w:bCs/>
                <w:color w:val="auto"/>
                <w:kern w:val="2"/>
                <w:sz w:val="24"/>
                <w:szCs w:val="24"/>
                <w:lang w:val="en-US" w:eastAsia="zh-CN"/>
              </w:rPr>
              <w:t>等工业。</w:t>
            </w:r>
          </w:p>
          <w:p w14:paraId="4FB0B919">
            <w:pPr>
              <w:pStyle w:val="100"/>
              <w:spacing w:line="360" w:lineRule="auto"/>
              <w:ind w:left="108" w:right="102" w:firstLine="482"/>
              <w:jc w:val="both"/>
              <w:rPr>
                <w:rFonts w:hint="eastAsia" w:ascii="Times New Roman" w:hAnsi="Times New Roman" w:eastAsia="宋体" w:cs="Times New Roman"/>
                <w:bCs/>
                <w:color w:val="auto"/>
                <w:kern w:val="2"/>
                <w:sz w:val="24"/>
                <w:szCs w:val="24"/>
                <w:lang w:eastAsia="zh-CN"/>
              </w:rPr>
            </w:pPr>
            <w:r>
              <w:rPr>
                <w:rFonts w:hint="eastAsia" w:ascii="Times New Roman" w:hAnsi="Times New Roman" w:cs="Times New Roman"/>
                <w:bCs/>
                <w:color w:val="auto"/>
                <w:kern w:val="2"/>
                <w:sz w:val="24"/>
                <w:szCs w:val="24"/>
                <w:lang w:val="en-US" w:eastAsia="zh-CN"/>
              </w:rPr>
              <w:t>⑥</w:t>
            </w:r>
            <w:r>
              <w:rPr>
                <w:rFonts w:hint="eastAsia" w:ascii="Times New Roman" w:hAnsi="Times New Roman" w:cs="Times New Roman"/>
                <w:bCs/>
                <w:color w:val="auto"/>
                <w:kern w:val="2"/>
                <w:sz w:val="24"/>
                <w:szCs w:val="24"/>
              </w:rPr>
              <w:t>脱模剂：</w:t>
            </w:r>
            <w:r>
              <w:rPr>
                <w:rFonts w:ascii="Times New Roman" w:hAnsi="Times New Roman" w:cs="Times New Roman"/>
                <w:bCs/>
                <w:color w:val="auto"/>
                <w:kern w:val="2"/>
                <w:sz w:val="24"/>
                <w:szCs w:val="24"/>
              </w:rPr>
              <w:t>脱模剂的作用就是将固化成型的制品顺利地从模具上分离开来，从而得到光滑平整的制品，并保证模具多次使用</w:t>
            </w:r>
            <w:r>
              <w:rPr>
                <w:rFonts w:hint="eastAsia" w:ascii="Times New Roman" w:hAnsi="Times New Roman" w:cs="Times New Roman"/>
                <w:bCs/>
                <w:color w:val="auto"/>
                <w:kern w:val="2"/>
                <w:sz w:val="24"/>
                <w:szCs w:val="24"/>
              </w:rPr>
              <w:t>。本项目所用的水性脱模剂较之传统的油性脱模剂，不仅操作安全、无油雾、对环境污染小、对人体健康损害小，且使用方便</w:t>
            </w:r>
            <w:r>
              <w:rPr>
                <w:rFonts w:hint="eastAsia" w:ascii="Times New Roman" w:hAnsi="Times New Roman" w:cs="Times New Roman"/>
                <w:bCs/>
                <w:color w:val="auto"/>
                <w:kern w:val="2"/>
                <w:sz w:val="24"/>
                <w:szCs w:val="24"/>
                <w:lang w:eastAsia="zh-CN"/>
              </w:rPr>
              <w:t>。</w:t>
            </w:r>
          </w:p>
          <w:p w14:paraId="519E15D3">
            <w:pPr>
              <w:pStyle w:val="100"/>
              <w:spacing w:line="360" w:lineRule="auto"/>
              <w:ind w:left="108" w:right="102" w:firstLine="482"/>
              <w:jc w:val="both"/>
              <w:rPr>
                <w:rFonts w:hint="eastAsia" w:ascii="Times New Roman" w:hAnsi="Times New Roman" w:cs="Times New Roman"/>
                <w:bCs/>
                <w:color w:val="auto"/>
                <w:kern w:val="2"/>
                <w:sz w:val="24"/>
                <w:szCs w:val="24"/>
              </w:rPr>
            </w:pPr>
          </w:p>
          <w:p w14:paraId="37007FA4">
            <w:pPr>
              <w:pStyle w:val="100"/>
              <w:spacing w:line="360" w:lineRule="auto"/>
              <w:ind w:right="102" w:firstLine="482" w:firstLineChars="200"/>
              <w:jc w:val="both"/>
              <w:rPr>
                <w:b/>
                <w:color w:val="auto"/>
                <w:sz w:val="24"/>
              </w:rPr>
            </w:pPr>
            <w:r>
              <w:rPr>
                <w:rFonts w:ascii="Times New Roman" w:hAnsi="Times New Roman" w:cs="Times New Roman"/>
                <w:b/>
                <w:color w:val="auto"/>
                <w:sz w:val="24"/>
              </w:rPr>
              <w:t>6、</w:t>
            </w:r>
            <w:r>
              <w:rPr>
                <w:rFonts w:hint="eastAsia"/>
                <w:b/>
                <w:color w:val="auto"/>
                <w:sz w:val="24"/>
              </w:rPr>
              <w:t>物料平衡</w:t>
            </w:r>
          </w:p>
          <w:p w14:paraId="6B2C57BF">
            <w:pPr>
              <w:adjustRightInd w:val="0"/>
              <w:snapToGrid w:val="0"/>
              <w:spacing w:line="360" w:lineRule="auto"/>
              <w:rPr>
                <w:bCs/>
                <w:color w:val="auto"/>
                <w:sz w:val="24"/>
              </w:rPr>
            </w:pPr>
            <w:r>
              <w:rPr>
                <w:rFonts w:hint="eastAsia"/>
                <w:b/>
                <w:color w:val="auto"/>
                <w:sz w:val="24"/>
              </w:rPr>
              <w:t xml:space="preserve">   </w:t>
            </w:r>
            <w:r>
              <w:rPr>
                <w:color w:val="auto"/>
                <w:sz w:val="24"/>
              </w:rPr>
              <w:t>本</w:t>
            </w:r>
            <w:r>
              <w:rPr>
                <w:rFonts w:hint="eastAsia"/>
                <w:bCs/>
                <w:color w:val="auto"/>
                <w:sz w:val="24"/>
              </w:rPr>
              <w:t>项目物料平衡情况见表2-5。</w:t>
            </w:r>
          </w:p>
          <w:p w14:paraId="4A7ED77C">
            <w:pPr>
              <w:adjustRightInd w:val="0"/>
              <w:snapToGrid w:val="0"/>
              <w:spacing w:line="360" w:lineRule="auto"/>
              <w:jc w:val="center"/>
              <w:rPr>
                <w:b/>
                <w:color w:val="auto"/>
                <w:highlight w:val="none"/>
              </w:rPr>
            </w:pPr>
            <w:r>
              <w:rPr>
                <w:b/>
                <w:color w:val="auto"/>
                <w:highlight w:val="none"/>
                <w:lang w:val="zh-CN"/>
              </w:rPr>
              <w:t>表</w:t>
            </w:r>
            <w:r>
              <w:rPr>
                <w:b/>
                <w:color w:val="auto"/>
                <w:highlight w:val="none"/>
              </w:rPr>
              <w:t>2-</w:t>
            </w:r>
            <w:r>
              <w:rPr>
                <w:rFonts w:hint="eastAsia"/>
                <w:b/>
                <w:color w:val="auto"/>
                <w:highlight w:val="none"/>
              </w:rPr>
              <w:t>5</w:t>
            </w:r>
            <w:r>
              <w:rPr>
                <w:b/>
                <w:color w:val="auto"/>
                <w:highlight w:val="none"/>
              </w:rPr>
              <w:t xml:space="preserve">   </w:t>
            </w:r>
            <w:r>
              <w:rPr>
                <w:rFonts w:hint="eastAsia"/>
                <w:b/>
                <w:color w:val="auto"/>
                <w:highlight w:val="none"/>
              </w:rPr>
              <w:t>项目物料平衡一览表</w:t>
            </w:r>
          </w:p>
          <w:tbl>
            <w:tblPr>
              <w:tblStyle w:val="25"/>
              <w:tblW w:w="8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612"/>
              <w:gridCol w:w="649"/>
              <w:gridCol w:w="970"/>
              <w:gridCol w:w="1977"/>
              <w:gridCol w:w="1199"/>
              <w:gridCol w:w="1199"/>
            </w:tblGrid>
            <w:tr w14:paraId="00E0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1873480">
                  <w:pPr>
                    <w:adjustRightInd w:val="0"/>
                    <w:snapToGrid w:val="0"/>
                    <w:spacing w:line="240" w:lineRule="atLeast"/>
                    <w:jc w:val="center"/>
                    <w:rPr>
                      <w:b/>
                      <w:color w:val="auto"/>
                      <w:highlight w:val="none"/>
                    </w:rPr>
                  </w:pPr>
                  <w:r>
                    <w:rPr>
                      <w:rFonts w:hint="eastAsia"/>
                      <w:b/>
                      <w:color w:val="auto"/>
                      <w:highlight w:val="none"/>
                    </w:rPr>
                    <w:t>序号</w:t>
                  </w:r>
                </w:p>
              </w:tc>
              <w:tc>
                <w:tcPr>
                  <w:tcW w:w="3231" w:type="dxa"/>
                  <w:gridSpan w:val="3"/>
                  <w:vAlign w:val="center"/>
                </w:tcPr>
                <w:p w14:paraId="04233119">
                  <w:pPr>
                    <w:adjustRightInd w:val="0"/>
                    <w:snapToGrid w:val="0"/>
                    <w:spacing w:line="240" w:lineRule="atLeast"/>
                    <w:jc w:val="center"/>
                    <w:rPr>
                      <w:b/>
                      <w:color w:val="auto"/>
                      <w:highlight w:val="none"/>
                    </w:rPr>
                  </w:pPr>
                  <w:r>
                    <w:rPr>
                      <w:rFonts w:hint="eastAsia"/>
                      <w:b/>
                      <w:color w:val="auto"/>
                      <w:highlight w:val="none"/>
                    </w:rPr>
                    <w:t>物料投入</w:t>
                  </w:r>
                </w:p>
              </w:tc>
              <w:tc>
                <w:tcPr>
                  <w:tcW w:w="4375" w:type="dxa"/>
                  <w:gridSpan w:val="3"/>
                  <w:vAlign w:val="center"/>
                </w:tcPr>
                <w:p w14:paraId="55AC2D74">
                  <w:pPr>
                    <w:adjustRightInd w:val="0"/>
                    <w:snapToGrid w:val="0"/>
                    <w:spacing w:line="560" w:lineRule="exact"/>
                    <w:jc w:val="center"/>
                    <w:rPr>
                      <w:b/>
                      <w:color w:val="auto"/>
                      <w:highlight w:val="none"/>
                    </w:rPr>
                  </w:pPr>
                  <w:r>
                    <w:rPr>
                      <w:rFonts w:hint="eastAsia"/>
                      <w:b/>
                      <w:color w:val="auto"/>
                      <w:highlight w:val="none"/>
                    </w:rPr>
                    <w:t>产品产出</w:t>
                  </w:r>
                </w:p>
              </w:tc>
            </w:tr>
            <w:tr w14:paraId="750D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EEA8B33">
                  <w:pPr>
                    <w:adjustRightInd w:val="0"/>
                    <w:snapToGrid w:val="0"/>
                    <w:spacing w:line="240" w:lineRule="atLeast"/>
                    <w:jc w:val="center"/>
                    <w:rPr>
                      <w:bCs/>
                      <w:color w:val="auto"/>
                      <w:highlight w:val="none"/>
                    </w:rPr>
                  </w:pPr>
                  <w:r>
                    <w:rPr>
                      <w:rFonts w:hint="eastAsia"/>
                      <w:bCs/>
                      <w:color w:val="auto"/>
                      <w:highlight w:val="none"/>
                    </w:rPr>
                    <w:t>1</w:t>
                  </w:r>
                </w:p>
              </w:tc>
              <w:tc>
                <w:tcPr>
                  <w:tcW w:w="1612" w:type="dxa"/>
                  <w:vAlign w:val="center"/>
                </w:tcPr>
                <w:p w14:paraId="6EF82B49">
                  <w:pPr>
                    <w:spacing w:line="240" w:lineRule="atLeast"/>
                    <w:jc w:val="center"/>
                    <w:rPr>
                      <w:bCs/>
                      <w:color w:val="auto"/>
                      <w:szCs w:val="21"/>
                      <w:highlight w:val="none"/>
                    </w:rPr>
                  </w:pPr>
                  <w:r>
                    <w:rPr>
                      <w:rFonts w:hint="eastAsia"/>
                      <w:bCs/>
                      <w:color w:val="auto"/>
                      <w:szCs w:val="21"/>
                      <w:highlight w:val="none"/>
                    </w:rPr>
                    <w:t>钢材边角料</w:t>
                  </w:r>
                </w:p>
              </w:tc>
              <w:tc>
                <w:tcPr>
                  <w:tcW w:w="649" w:type="dxa"/>
                  <w:vAlign w:val="center"/>
                </w:tcPr>
                <w:p w14:paraId="534B7243">
                  <w:pPr>
                    <w:spacing w:line="240" w:lineRule="atLeast"/>
                    <w:jc w:val="center"/>
                    <w:rPr>
                      <w:bCs/>
                      <w:color w:val="auto"/>
                      <w:szCs w:val="21"/>
                      <w:highlight w:val="none"/>
                    </w:rPr>
                  </w:pPr>
                  <w:r>
                    <w:rPr>
                      <w:rFonts w:hint="eastAsia"/>
                      <w:bCs/>
                      <w:color w:val="auto"/>
                      <w:szCs w:val="21"/>
                      <w:highlight w:val="none"/>
                    </w:rPr>
                    <w:t>t</w:t>
                  </w:r>
                  <w:r>
                    <w:rPr>
                      <w:bCs/>
                      <w:color w:val="auto"/>
                      <w:szCs w:val="21"/>
                      <w:highlight w:val="none"/>
                    </w:rPr>
                    <w:t>/a</w:t>
                  </w:r>
                </w:p>
              </w:tc>
              <w:tc>
                <w:tcPr>
                  <w:tcW w:w="970" w:type="dxa"/>
                  <w:vAlign w:val="center"/>
                </w:tcPr>
                <w:p w14:paraId="4871BD22">
                  <w:pPr>
                    <w:spacing w:line="240" w:lineRule="atLeast"/>
                    <w:jc w:val="center"/>
                    <w:rPr>
                      <w:bCs/>
                      <w:color w:val="auto"/>
                      <w:szCs w:val="21"/>
                      <w:highlight w:val="none"/>
                    </w:rPr>
                  </w:pPr>
                  <w:r>
                    <w:rPr>
                      <w:rFonts w:hint="eastAsia"/>
                      <w:bCs/>
                      <w:color w:val="auto"/>
                      <w:szCs w:val="21"/>
                      <w:highlight w:val="none"/>
                    </w:rPr>
                    <w:t>68000</w:t>
                  </w:r>
                </w:p>
              </w:tc>
              <w:tc>
                <w:tcPr>
                  <w:tcW w:w="1977" w:type="dxa"/>
                  <w:vAlign w:val="center"/>
                </w:tcPr>
                <w:p w14:paraId="0D2B8CF1">
                  <w:pPr>
                    <w:adjustRightInd w:val="0"/>
                    <w:snapToGrid w:val="0"/>
                    <w:jc w:val="center"/>
                    <w:rPr>
                      <w:bCs/>
                      <w:color w:val="auto"/>
                      <w:highlight w:val="none"/>
                    </w:rPr>
                  </w:pPr>
                  <w:r>
                    <w:rPr>
                      <w:rFonts w:hint="eastAsia"/>
                      <w:bCs/>
                      <w:color w:val="auto"/>
                      <w:highlight w:val="none"/>
                    </w:rPr>
                    <w:t>光伏管桩端板头</w:t>
                  </w:r>
                </w:p>
              </w:tc>
              <w:tc>
                <w:tcPr>
                  <w:tcW w:w="1199" w:type="dxa"/>
                  <w:vAlign w:val="center"/>
                </w:tcPr>
                <w:p w14:paraId="6E64D792">
                  <w:pPr>
                    <w:adjustRightInd w:val="0"/>
                    <w:snapToGrid w:val="0"/>
                    <w:jc w:val="center"/>
                    <w:rPr>
                      <w:bCs/>
                      <w:color w:val="auto"/>
                      <w:highlight w:val="none"/>
                    </w:rPr>
                  </w:pPr>
                  <w:r>
                    <w:rPr>
                      <w:rFonts w:hint="eastAsia"/>
                      <w:bCs/>
                      <w:color w:val="auto"/>
                      <w:szCs w:val="21"/>
                      <w:highlight w:val="none"/>
                    </w:rPr>
                    <w:t>t</w:t>
                  </w:r>
                  <w:r>
                    <w:rPr>
                      <w:bCs/>
                      <w:color w:val="auto"/>
                      <w:szCs w:val="21"/>
                      <w:highlight w:val="none"/>
                    </w:rPr>
                    <w:t>/a</w:t>
                  </w:r>
                </w:p>
              </w:tc>
              <w:tc>
                <w:tcPr>
                  <w:tcW w:w="1199" w:type="dxa"/>
                  <w:vAlign w:val="center"/>
                </w:tcPr>
                <w:p w14:paraId="0A60A94B">
                  <w:pPr>
                    <w:adjustRightInd w:val="0"/>
                    <w:snapToGrid w:val="0"/>
                    <w:jc w:val="center"/>
                    <w:rPr>
                      <w:bCs/>
                      <w:color w:val="auto"/>
                      <w:highlight w:val="none"/>
                    </w:rPr>
                  </w:pPr>
                  <w:r>
                    <w:rPr>
                      <w:rFonts w:hint="eastAsia"/>
                      <w:bCs/>
                      <w:color w:val="auto"/>
                      <w:highlight w:val="none"/>
                    </w:rPr>
                    <w:t>67805</w:t>
                  </w:r>
                </w:p>
              </w:tc>
            </w:tr>
            <w:tr w14:paraId="3A72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vAlign w:val="center"/>
                </w:tcPr>
                <w:p w14:paraId="4F9C79A8">
                  <w:pPr>
                    <w:adjustRightInd w:val="0"/>
                    <w:snapToGrid w:val="0"/>
                    <w:spacing w:line="240" w:lineRule="atLeast"/>
                    <w:jc w:val="center"/>
                    <w:rPr>
                      <w:bCs/>
                      <w:color w:val="auto"/>
                      <w:highlight w:val="none"/>
                    </w:rPr>
                  </w:pPr>
                  <w:r>
                    <w:rPr>
                      <w:rFonts w:hint="eastAsia"/>
                      <w:bCs/>
                      <w:color w:val="auto"/>
                      <w:highlight w:val="none"/>
                    </w:rPr>
                    <w:t>2</w:t>
                  </w:r>
                </w:p>
              </w:tc>
              <w:tc>
                <w:tcPr>
                  <w:tcW w:w="1612" w:type="dxa"/>
                  <w:vAlign w:val="center"/>
                </w:tcPr>
                <w:p w14:paraId="0480A4B7">
                  <w:pPr>
                    <w:pStyle w:val="100"/>
                    <w:kinsoku/>
                    <w:spacing w:line="240" w:lineRule="atLeast"/>
                    <w:jc w:val="center"/>
                    <w:textAlignment w:val="auto"/>
                    <w:rPr>
                      <w:rFonts w:cs="Times New Roman"/>
                      <w:bCs/>
                      <w:color w:val="auto"/>
                      <w:sz w:val="21"/>
                      <w:szCs w:val="21"/>
                      <w:highlight w:val="none"/>
                    </w:rPr>
                  </w:pPr>
                  <w:r>
                    <w:rPr>
                      <w:rFonts w:hint="eastAsia" w:cs="Times New Roman"/>
                      <w:bCs/>
                      <w:color w:val="auto"/>
                      <w:sz w:val="21"/>
                      <w:szCs w:val="21"/>
                      <w:highlight w:val="none"/>
                    </w:rPr>
                    <w:t>锰铁</w:t>
                  </w:r>
                </w:p>
              </w:tc>
              <w:tc>
                <w:tcPr>
                  <w:tcW w:w="649" w:type="dxa"/>
                  <w:vAlign w:val="center"/>
                </w:tcPr>
                <w:p w14:paraId="33699443">
                  <w:pPr>
                    <w:spacing w:line="240" w:lineRule="atLeast"/>
                    <w:jc w:val="center"/>
                    <w:rPr>
                      <w:bCs/>
                      <w:color w:val="auto"/>
                      <w:szCs w:val="21"/>
                      <w:highlight w:val="none"/>
                    </w:rPr>
                  </w:pPr>
                  <w:r>
                    <w:rPr>
                      <w:bCs/>
                      <w:color w:val="auto"/>
                      <w:szCs w:val="21"/>
                      <w:highlight w:val="none"/>
                    </w:rPr>
                    <w:t>t/a</w:t>
                  </w:r>
                </w:p>
              </w:tc>
              <w:tc>
                <w:tcPr>
                  <w:tcW w:w="970" w:type="dxa"/>
                  <w:vAlign w:val="center"/>
                </w:tcPr>
                <w:p w14:paraId="4A1800E9">
                  <w:pPr>
                    <w:spacing w:line="240" w:lineRule="atLeast"/>
                    <w:jc w:val="center"/>
                    <w:rPr>
                      <w:bCs/>
                      <w:color w:val="auto"/>
                      <w:szCs w:val="21"/>
                      <w:highlight w:val="none"/>
                    </w:rPr>
                  </w:pPr>
                  <w:r>
                    <w:rPr>
                      <w:rFonts w:hint="eastAsia"/>
                      <w:bCs/>
                      <w:color w:val="auto"/>
                      <w:szCs w:val="21"/>
                      <w:highlight w:val="none"/>
                    </w:rPr>
                    <w:t>310</w:t>
                  </w:r>
                </w:p>
              </w:tc>
              <w:tc>
                <w:tcPr>
                  <w:tcW w:w="1977" w:type="dxa"/>
                  <w:vAlign w:val="center"/>
                </w:tcPr>
                <w:p w14:paraId="656E46C2">
                  <w:pPr>
                    <w:adjustRightInd w:val="0"/>
                    <w:snapToGrid w:val="0"/>
                    <w:jc w:val="center"/>
                    <w:rPr>
                      <w:bCs/>
                      <w:color w:val="auto"/>
                      <w:highlight w:val="none"/>
                    </w:rPr>
                  </w:pPr>
                  <w:r>
                    <w:rPr>
                      <w:rFonts w:hint="eastAsia"/>
                      <w:bCs/>
                      <w:color w:val="auto"/>
                      <w:highlight w:val="none"/>
                      <w:lang w:val="en-US" w:eastAsia="zh-CN"/>
                    </w:rPr>
                    <w:t>排放</w:t>
                  </w:r>
                  <w:r>
                    <w:rPr>
                      <w:rFonts w:hint="eastAsia"/>
                      <w:bCs/>
                      <w:color w:val="auto"/>
                      <w:highlight w:val="none"/>
                    </w:rPr>
                    <w:t>粉尘</w:t>
                  </w:r>
                </w:p>
              </w:tc>
              <w:tc>
                <w:tcPr>
                  <w:tcW w:w="1199" w:type="dxa"/>
                  <w:vAlign w:val="center"/>
                </w:tcPr>
                <w:p w14:paraId="3721C4B7">
                  <w:pPr>
                    <w:jc w:val="center"/>
                    <w:rPr>
                      <w:color w:val="auto"/>
                      <w:szCs w:val="21"/>
                      <w:highlight w:val="none"/>
                    </w:rPr>
                  </w:pPr>
                  <w:r>
                    <w:rPr>
                      <w:color w:val="auto"/>
                      <w:szCs w:val="21"/>
                      <w:highlight w:val="none"/>
                    </w:rPr>
                    <w:t>t/a</w:t>
                  </w:r>
                </w:p>
              </w:tc>
              <w:tc>
                <w:tcPr>
                  <w:tcW w:w="1199" w:type="dxa"/>
                  <w:vAlign w:val="center"/>
                </w:tcPr>
                <w:p w14:paraId="73CD5ABD">
                  <w:pPr>
                    <w:adjustRightInd w:val="0"/>
                    <w:snapToGrid w:val="0"/>
                    <w:jc w:val="center"/>
                    <w:rPr>
                      <w:rFonts w:hint="default" w:eastAsia="宋体"/>
                      <w:bCs/>
                      <w:color w:val="auto"/>
                      <w:highlight w:val="none"/>
                      <w:lang w:val="en-US" w:eastAsia="zh-CN"/>
                    </w:rPr>
                  </w:pPr>
                  <w:r>
                    <w:rPr>
                      <w:rFonts w:hint="eastAsia"/>
                      <w:bCs/>
                      <w:color w:val="auto"/>
                      <w:highlight w:val="none"/>
                      <w:lang w:val="en-US" w:eastAsia="zh-CN"/>
                    </w:rPr>
                    <w:t>8.1</w:t>
                  </w:r>
                </w:p>
              </w:tc>
            </w:tr>
            <w:tr w14:paraId="386F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4" w:type="dxa"/>
                  <w:vAlign w:val="center"/>
                </w:tcPr>
                <w:p w14:paraId="7A3779D4">
                  <w:pPr>
                    <w:adjustRightInd w:val="0"/>
                    <w:snapToGrid w:val="0"/>
                    <w:spacing w:line="240" w:lineRule="atLeast"/>
                    <w:jc w:val="center"/>
                    <w:rPr>
                      <w:bCs/>
                      <w:color w:val="auto"/>
                      <w:highlight w:val="none"/>
                    </w:rPr>
                  </w:pPr>
                  <w:r>
                    <w:rPr>
                      <w:rFonts w:hint="eastAsia"/>
                      <w:bCs/>
                      <w:color w:val="auto"/>
                      <w:highlight w:val="none"/>
                    </w:rPr>
                    <w:t>3</w:t>
                  </w:r>
                </w:p>
              </w:tc>
              <w:tc>
                <w:tcPr>
                  <w:tcW w:w="1612" w:type="dxa"/>
                  <w:vAlign w:val="center"/>
                </w:tcPr>
                <w:p w14:paraId="07D4821B">
                  <w:pPr>
                    <w:spacing w:line="240" w:lineRule="atLeast"/>
                    <w:jc w:val="center"/>
                    <w:rPr>
                      <w:bCs/>
                      <w:color w:val="auto"/>
                      <w:szCs w:val="21"/>
                      <w:highlight w:val="none"/>
                    </w:rPr>
                  </w:pPr>
                  <w:r>
                    <w:rPr>
                      <w:rFonts w:hint="eastAsia"/>
                      <w:bCs/>
                      <w:color w:val="auto"/>
                      <w:szCs w:val="21"/>
                      <w:highlight w:val="none"/>
                    </w:rPr>
                    <w:t>硅铁</w:t>
                  </w:r>
                </w:p>
              </w:tc>
              <w:tc>
                <w:tcPr>
                  <w:tcW w:w="649" w:type="dxa"/>
                  <w:vAlign w:val="center"/>
                </w:tcPr>
                <w:p w14:paraId="44716AAD">
                  <w:pPr>
                    <w:spacing w:line="240" w:lineRule="atLeast"/>
                    <w:jc w:val="center"/>
                    <w:rPr>
                      <w:bCs/>
                      <w:color w:val="auto"/>
                      <w:szCs w:val="21"/>
                      <w:highlight w:val="none"/>
                    </w:rPr>
                  </w:pPr>
                  <w:r>
                    <w:rPr>
                      <w:bCs/>
                      <w:color w:val="auto"/>
                      <w:szCs w:val="21"/>
                      <w:highlight w:val="none"/>
                    </w:rPr>
                    <w:t>t/a</w:t>
                  </w:r>
                </w:p>
              </w:tc>
              <w:tc>
                <w:tcPr>
                  <w:tcW w:w="970" w:type="dxa"/>
                  <w:vAlign w:val="center"/>
                </w:tcPr>
                <w:p w14:paraId="256A1273">
                  <w:pPr>
                    <w:spacing w:line="240" w:lineRule="atLeast"/>
                    <w:jc w:val="center"/>
                    <w:rPr>
                      <w:bCs/>
                      <w:color w:val="auto"/>
                      <w:szCs w:val="21"/>
                      <w:highlight w:val="none"/>
                    </w:rPr>
                  </w:pPr>
                  <w:r>
                    <w:rPr>
                      <w:rFonts w:hint="eastAsia"/>
                      <w:bCs/>
                      <w:color w:val="auto"/>
                      <w:szCs w:val="21"/>
                      <w:highlight w:val="none"/>
                    </w:rPr>
                    <w:t>210</w:t>
                  </w:r>
                </w:p>
              </w:tc>
              <w:tc>
                <w:tcPr>
                  <w:tcW w:w="1977" w:type="dxa"/>
                  <w:vAlign w:val="center"/>
                </w:tcPr>
                <w:p w14:paraId="7887F578">
                  <w:pPr>
                    <w:adjustRightInd w:val="0"/>
                    <w:snapToGrid w:val="0"/>
                    <w:jc w:val="center"/>
                    <w:rPr>
                      <w:bCs/>
                      <w:color w:val="auto"/>
                      <w:highlight w:val="none"/>
                    </w:rPr>
                  </w:pPr>
                  <w:r>
                    <w:rPr>
                      <w:rFonts w:hint="eastAsia"/>
                      <w:bCs/>
                      <w:color w:val="auto"/>
                      <w:highlight w:val="none"/>
                    </w:rPr>
                    <w:t>废边角料</w:t>
                  </w:r>
                </w:p>
              </w:tc>
              <w:tc>
                <w:tcPr>
                  <w:tcW w:w="1199" w:type="dxa"/>
                  <w:vAlign w:val="center"/>
                </w:tcPr>
                <w:p w14:paraId="434F6FB6">
                  <w:pPr>
                    <w:jc w:val="center"/>
                    <w:rPr>
                      <w:bCs/>
                      <w:color w:val="auto"/>
                      <w:szCs w:val="21"/>
                      <w:highlight w:val="none"/>
                    </w:rPr>
                  </w:pPr>
                  <w:r>
                    <w:rPr>
                      <w:bCs/>
                      <w:color w:val="auto"/>
                      <w:szCs w:val="21"/>
                      <w:highlight w:val="none"/>
                    </w:rPr>
                    <w:t>t/a</w:t>
                  </w:r>
                </w:p>
              </w:tc>
              <w:tc>
                <w:tcPr>
                  <w:tcW w:w="1199" w:type="dxa"/>
                  <w:vAlign w:val="center"/>
                </w:tcPr>
                <w:p w14:paraId="1D2F9993">
                  <w:pPr>
                    <w:adjustRightInd w:val="0"/>
                    <w:snapToGrid w:val="0"/>
                    <w:spacing w:line="560" w:lineRule="exact"/>
                    <w:jc w:val="center"/>
                    <w:rPr>
                      <w:bCs/>
                      <w:color w:val="auto"/>
                      <w:highlight w:val="none"/>
                    </w:rPr>
                  </w:pPr>
                  <w:r>
                    <w:rPr>
                      <w:rFonts w:hint="eastAsia"/>
                      <w:bCs/>
                      <w:color w:val="auto"/>
                      <w:highlight w:val="none"/>
                    </w:rPr>
                    <w:t>450</w:t>
                  </w:r>
                </w:p>
              </w:tc>
            </w:tr>
            <w:tr w14:paraId="41B1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64C7471">
                  <w:pPr>
                    <w:adjustRightInd w:val="0"/>
                    <w:snapToGrid w:val="0"/>
                    <w:jc w:val="center"/>
                    <w:rPr>
                      <w:bCs/>
                      <w:color w:val="auto"/>
                      <w:highlight w:val="none"/>
                    </w:rPr>
                  </w:pPr>
                  <w:r>
                    <w:rPr>
                      <w:rFonts w:hint="eastAsia"/>
                      <w:bCs/>
                      <w:color w:val="auto"/>
                      <w:highlight w:val="none"/>
                    </w:rPr>
                    <w:t>4</w:t>
                  </w:r>
                </w:p>
              </w:tc>
              <w:tc>
                <w:tcPr>
                  <w:tcW w:w="1612" w:type="dxa"/>
                  <w:vAlign w:val="center"/>
                </w:tcPr>
                <w:p w14:paraId="18719E6C">
                  <w:pPr>
                    <w:jc w:val="center"/>
                    <w:rPr>
                      <w:bCs/>
                      <w:color w:val="auto"/>
                      <w:szCs w:val="21"/>
                      <w:highlight w:val="none"/>
                    </w:rPr>
                  </w:pPr>
                  <w:r>
                    <w:rPr>
                      <w:rFonts w:hint="eastAsia"/>
                      <w:bCs/>
                      <w:color w:val="auto"/>
                      <w:szCs w:val="21"/>
                      <w:highlight w:val="none"/>
                    </w:rPr>
                    <w:t>增碳剂</w:t>
                  </w:r>
                </w:p>
              </w:tc>
              <w:tc>
                <w:tcPr>
                  <w:tcW w:w="649" w:type="dxa"/>
                  <w:vAlign w:val="center"/>
                </w:tcPr>
                <w:p w14:paraId="505C1DEA">
                  <w:pPr>
                    <w:jc w:val="center"/>
                    <w:rPr>
                      <w:bCs/>
                      <w:color w:val="auto"/>
                      <w:szCs w:val="21"/>
                      <w:highlight w:val="none"/>
                    </w:rPr>
                  </w:pPr>
                  <w:r>
                    <w:rPr>
                      <w:bCs/>
                      <w:color w:val="auto"/>
                      <w:szCs w:val="21"/>
                      <w:highlight w:val="none"/>
                    </w:rPr>
                    <w:t>t/a</w:t>
                  </w:r>
                </w:p>
              </w:tc>
              <w:tc>
                <w:tcPr>
                  <w:tcW w:w="970" w:type="dxa"/>
                  <w:vAlign w:val="center"/>
                </w:tcPr>
                <w:p w14:paraId="7F743535">
                  <w:pPr>
                    <w:jc w:val="center"/>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.3</w:t>
                  </w:r>
                </w:p>
              </w:tc>
              <w:tc>
                <w:tcPr>
                  <w:tcW w:w="1977" w:type="dxa"/>
                  <w:vAlign w:val="center"/>
                </w:tcPr>
                <w:p w14:paraId="643DA4B4">
                  <w:pPr>
                    <w:adjustRightInd w:val="0"/>
                    <w:snapToGrid w:val="0"/>
                    <w:jc w:val="center"/>
                    <w:rPr>
                      <w:bCs/>
                      <w:color w:val="auto"/>
                      <w:highlight w:val="none"/>
                    </w:rPr>
                  </w:pPr>
                  <w:r>
                    <w:rPr>
                      <w:rFonts w:hint="eastAsia"/>
                      <w:bCs/>
                      <w:color w:val="auto"/>
                      <w:highlight w:val="none"/>
                    </w:rPr>
                    <w:t>残次品</w:t>
                  </w:r>
                </w:p>
              </w:tc>
              <w:tc>
                <w:tcPr>
                  <w:tcW w:w="1199" w:type="dxa"/>
                  <w:vAlign w:val="center"/>
                </w:tcPr>
                <w:p w14:paraId="4265185F">
                  <w:pPr>
                    <w:jc w:val="center"/>
                    <w:rPr>
                      <w:bCs/>
                      <w:color w:val="auto"/>
                      <w:szCs w:val="21"/>
                      <w:highlight w:val="none"/>
                    </w:rPr>
                  </w:pPr>
                  <w:r>
                    <w:rPr>
                      <w:bCs/>
                      <w:color w:val="auto"/>
                      <w:szCs w:val="21"/>
                      <w:highlight w:val="none"/>
                    </w:rPr>
                    <w:t>t/a</w:t>
                  </w:r>
                </w:p>
              </w:tc>
              <w:tc>
                <w:tcPr>
                  <w:tcW w:w="1199" w:type="dxa"/>
                  <w:vAlign w:val="center"/>
                </w:tcPr>
                <w:p w14:paraId="11F54867">
                  <w:pPr>
                    <w:adjustRightInd w:val="0"/>
                    <w:snapToGrid w:val="0"/>
                    <w:spacing w:line="560" w:lineRule="exact"/>
                    <w:jc w:val="center"/>
                    <w:rPr>
                      <w:bCs/>
                      <w:color w:val="auto"/>
                      <w:highlight w:val="none"/>
                    </w:rPr>
                  </w:pPr>
                  <w:r>
                    <w:rPr>
                      <w:rFonts w:hint="eastAsia"/>
                      <w:bCs/>
                      <w:color w:val="auto"/>
                      <w:highlight w:val="none"/>
                    </w:rPr>
                    <w:t>250</w:t>
                  </w:r>
                </w:p>
              </w:tc>
            </w:tr>
            <w:tr w14:paraId="2B41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EE308D2">
                  <w:pPr>
                    <w:adjustRightInd w:val="0"/>
                    <w:snapToGrid w:val="0"/>
                    <w:spacing w:line="240" w:lineRule="atLeast"/>
                    <w:jc w:val="center"/>
                    <w:rPr>
                      <w:bCs/>
                      <w:color w:val="auto"/>
                      <w:highlight w:val="none"/>
                    </w:rPr>
                  </w:pPr>
                  <w:r>
                    <w:rPr>
                      <w:rFonts w:hint="eastAsia"/>
                      <w:bCs/>
                      <w:color w:val="auto"/>
                      <w:highlight w:val="none"/>
                    </w:rPr>
                    <w:t>5</w:t>
                  </w:r>
                </w:p>
              </w:tc>
              <w:tc>
                <w:tcPr>
                  <w:tcW w:w="1612" w:type="dxa"/>
                  <w:vAlign w:val="center"/>
                </w:tcPr>
                <w:p w14:paraId="4985827D">
                  <w:pPr>
                    <w:spacing w:line="240" w:lineRule="atLeast"/>
                    <w:jc w:val="center"/>
                    <w:rPr>
                      <w:bCs/>
                      <w:color w:val="auto"/>
                      <w:szCs w:val="21"/>
                      <w:highlight w:val="none"/>
                    </w:rPr>
                  </w:pPr>
                  <w:r>
                    <w:rPr>
                      <w:rFonts w:hint="eastAsia"/>
                      <w:bCs/>
                      <w:color w:val="auto"/>
                      <w:szCs w:val="21"/>
                      <w:highlight w:val="none"/>
                    </w:rPr>
                    <w:t>孕育剂</w:t>
                  </w:r>
                </w:p>
              </w:tc>
              <w:tc>
                <w:tcPr>
                  <w:tcW w:w="649" w:type="dxa"/>
                  <w:vAlign w:val="center"/>
                </w:tcPr>
                <w:p w14:paraId="0EF19C79">
                  <w:pPr>
                    <w:spacing w:line="240" w:lineRule="atLeast"/>
                    <w:jc w:val="center"/>
                    <w:rPr>
                      <w:bCs/>
                      <w:color w:val="auto"/>
                      <w:szCs w:val="21"/>
                      <w:highlight w:val="none"/>
                    </w:rPr>
                  </w:pPr>
                  <w:r>
                    <w:rPr>
                      <w:bCs/>
                      <w:color w:val="auto"/>
                      <w:szCs w:val="21"/>
                      <w:highlight w:val="none"/>
                    </w:rPr>
                    <w:t>t/a</w:t>
                  </w:r>
                </w:p>
              </w:tc>
              <w:tc>
                <w:tcPr>
                  <w:tcW w:w="970" w:type="dxa"/>
                  <w:vAlign w:val="center"/>
                </w:tcPr>
                <w:p w14:paraId="2A8C7628">
                  <w:pPr>
                    <w:spacing w:line="240" w:lineRule="atLeast"/>
                    <w:jc w:val="center"/>
                    <w:rPr>
                      <w:bCs/>
                      <w:color w:val="auto"/>
                      <w:szCs w:val="21"/>
                      <w:highlight w:val="none"/>
                    </w:rPr>
                  </w:pPr>
                  <w:r>
                    <w:rPr>
                      <w:rFonts w:hint="eastAsia"/>
                      <w:bCs/>
                      <w:color w:val="auto"/>
                      <w:szCs w:val="21"/>
                      <w:highlight w:val="none"/>
                    </w:rPr>
                    <w:t>3.3</w:t>
                  </w:r>
                </w:p>
              </w:tc>
              <w:tc>
                <w:tcPr>
                  <w:tcW w:w="1977" w:type="dxa"/>
                  <w:vAlign w:val="center"/>
                </w:tcPr>
                <w:p w14:paraId="5631DE6B">
                  <w:pPr>
                    <w:adjustRightInd w:val="0"/>
                    <w:snapToGrid w:val="0"/>
                    <w:jc w:val="center"/>
                    <w:rPr>
                      <w:bCs/>
                      <w:color w:val="auto"/>
                      <w:highlight w:val="none"/>
                    </w:rPr>
                  </w:pPr>
                  <w:r>
                    <w:rPr>
                      <w:rFonts w:hint="eastAsia"/>
                      <w:bCs/>
                      <w:color w:val="auto"/>
                      <w:highlight w:val="none"/>
                    </w:rPr>
                    <w:t>回收粉尘</w:t>
                  </w:r>
                </w:p>
              </w:tc>
              <w:tc>
                <w:tcPr>
                  <w:tcW w:w="1199" w:type="dxa"/>
                  <w:vAlign w:val="center"/>
                </w:tcPr>
                <w:p w14:paraId="289CD6D9">
                  <w:pPr>
                    <w:jc w:val="center"/>
                    <w:rPr>
                      <w:color w:val="auto"/>
                      <w:szCs w:val="21"/>
                      <w:highlight w:val="none"/>
                    </w:rPr>
                  </w:pPr>
                  <w:r>
                    <w:rPr>
                      <w:bCs/>
                      <w:color w:val="auto"/>
                      <w:szCs w:val="21"/>
                      <w:highlight w:val="none"/>
                    </w:rPr>
                    <w:t>t/a</w:t>
                  </w:r>
                </w:p>
              </w:tc>
              <w:tc>
                <w:tcPr>
                  <w:tcW w:w="1199" w:type="dxa"/>
                  <w:vAlign w:val="center"/>
                </w:tcPr>
                <w:p w14:paraId="69733894">
                  <w:pPr>
                    <w:adjustRightInd w:val="0"/>
                    <w:snapToGrid w:val="0"/>
                    <w:jc w:val="center"/>
                    <w:rPr>
                      <w:bCs/>
                      <w:color w:val="auto"/>
                      <w:highlight w:val="none"/>
                    </w:rPr>
                  </w:pPr>
                  <w:r>
                    <w:rPr>
                      <w:rFonts w:hint="eastAsia"/>
                      <w:bCs/>
                      <w:color w:val="auto"/>
                      <w:highlight w:val="none"/>
                    </w:rPr>
                    <w:t>50.5</w:t>
                  </w:r>
                </w:p>
              </w:tc>
            </w:tr>
            <w:tr w14:paraId="48F3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352C699">
                  <w:pPr>
                    <w:adjustRightInd w:val="0"/>
                    <w:snapToGrid w:val="0"/>
                    <w:spacing w:line="240" w:lineRule="atLeast"/>
                    <w:jc w:val="center"/>
                    <w:rPr>
                      <w:bCs/>
                      <w:color w:val="auto"/>
                    </w:rPr>
                  </w:pPr>
                  <w:r>
                    <w:rPr>
                      <w:rFonts w:hint="eastAsia"/>
                      <w:bCs/>
                      <w:color w:val="auto"/>
                    </w:rPr>
                    <w:t>6</w:t>
                  </w:r>
                </w:p>
              </w:tc>
              <w:tc>
                <w:tcPr>
                  <w:tcW w:w="1612" w:type="dxa"/>
                  <w:vAlign w:val="center"/>
                </w:tcPr>
                <w:p w14:paraId="61FC779A">
                  <w:pPr>
                    <w:spacing w:line="240" w:lineRule="atLeast"/>
                    <w:jc w:val="center"/>
                    <w:rPr>
                      <w:bCs/>
                      <w:color w:val="auto"/>
                      <w:szCs w:val="21"/>
                    </w:rPr>
                  </w:pPr>
                  <w:r>
                    <w:rPr>
                      <w:rFonts w:hint="eastAsia"/>
                      <w:bCs/>
                      <w:color w:val="auto"/>
                      <w:szCs w:val="21"/>
                    </w:rPr>
                    <w:t>除渣剂</w:t>
                  </w:r>
                </w:p>
              </w:tc>
              <w:tc>
                <w:tcPr>
                  <w:tcW w:w="649" w:type="dxa"/>
                  <w:vAlign w:val="center"/>
                </w:tcPr>
                <w:p w14:paraId="2E0C4379">
                  <w:pPr>
                    <w:spacing w:line="240" w:lineRule="atLeast"/>
                    <w:jc w:val="center"/>
                    <w:rPr>
                      <w:bCs/>
                      <w:color w:val="auto"/>
                      <w:szCs w:val="21"/>
                    </w:rPr>
                  </w:pPr>
                  <w:r>
                    <w:rPr>
                      <w:bCs/>
                      <w:color w:val="auto"/>
                      <w:szCs w:val="21"/>
                    </w:rPr>
                    <w:t>t/a</w:t>
                  </w:r>
                </w:p>
              </w:tc>
              <w:tc>
                <w:tcPr>
                  <w:tcW w:w="970" w:type="dxa"/>
                  <w:vAlign w:val="center"/>
                </w:tcPr>
                <w:p w14:paraId="21D68F7A">
                  <w:pPr>
                    <w:spacing w:line="240" w:lineRule="atLeast"/>
                    <w:jc w:val="center"/>
                    <w:rPr>
                      <w:rFonts w:hint="eastAsia" w:eastAsia="宋体"/>
                      <w:bCs/>
                      <w:color w:val="auto"/>
                      <w:szCs w:val="21"/>
                      <w:lang w:eastAsia="zh-CN"/>
                    </w:rPr>
                  </w:pPr>
                  <w:r>
                    <w:rPr>
                      <w:rFonts w:hint="eastAsia"/>
                      <w:bCs/>
                      <w:color w:val="auto"/>
                      <w:szCs w:val="21"/>
                      <w:lang w:val="en-US" w:eastAsia="zh-CN"/>
                    </w:rPr>
                    <w:t>4</w:t>
                  </w:r>
                </w:p>
              </w:tc>
              <w:tc>
                <w:tcPr>
                  <w:tcW w:w="1977" w:type="dxa"/>
                  <w:vAlign w:val="center"/>
                </w:tcPr>
                <w:p w14:paraId="04774AB7">
                  <w:pPr>
                    <w:adjustRightInd w:val="0"/>
                    <w:snapToGrid w:val="0"/>
                    <w:jc w:val="center"/>
                    <w:rPr>
                      <w:bCs/>
                      <w:color w:val="auto"/>
                    </w:rPr>
                  </w:pPr>
                </w:p>
              </w:tc>
              <w:tc>
                <w:tcPr>
                  <w:tcW w:w="1199" w:type="dxa"/>
                  <w:vAlign w:val="center"/>
                </w:tcPr>
                <w:p w14:paraId="58AFA41C">
                  <w:pPr>
                    <w:jc w:val="center"/>
                    <w:rPr>
                      <w:color w:val="auto"/>
                      <w:szCs w:val="21"/>
                    </w:rPr>
                  </w:pPr>
                </w:p>
              </w:tc>
              <w:tc>
                <w:tcPr>
                  <w:tcW w:w="1199" w:type="dxa"/>
                  <w:vAlign w:val="center"/>
                </w:tcPr>
                <w:p w14:paraId="44077798">
                  <w:pPr>
                    <w:adjustRightInd w:val="0"/>
                    <w:snapToGrid w:val="0"/>
                    <w:spacing w:line="560" w:lineRule="exact"/>
                    <w:jc w:val="center"/>
                    <w:rPr>
                      <w:bCs/>
                      <w:color w:val="auto"/>
                    </w:rPr>
                  </w:pPr>
                </w:p>
              </w:tc>
            </w:tr>
            <w:tr w14:paraId="63DA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84" w:type="dxa"/>
                  <w:vAlign w:val="center"/>
                </w:tcPr>
                <w:p w14:paraId="2E2AEEDF">
                  <w:pPr>
                    <w:adjustRightInd w:val="0"/>
                    <w:snapToGrid w:val="0"/>
                    <w:spacing w:line="240" w:lineRule="atLeast"/>
                    <w:jc w:val="center"/>
                    <w:rPr>
                      <w:rFonts w:hint="eastAsia" w:eastAsia="宋体"/>
                      <w:bCs/>
                      <w:color w:val="auto"/>
                      <w:lang w:eastAsia="zh-CN"/>
                    </w:rPr>
                  </w:pPr>
                  <w:r>
                    <w:rPr>
                      <w:rFonts w:hint="eastAsia"/>
                      <w:bCs/>
                      <w:color w:val="auto"/>
                      <w:lang w:val="en-US" w:eastAsia="zh-CN"/>
                    </w:rPr>
                    <w:t>7</w:t>
                  </w:r>
                </w:p>
              </w:tc>
              <w:tc>
                <w:tcPr>
                  <w:tcW w:w="1612" w:type="dxa"/>
                  <w:vAlign w:val="center"/>
                </w:tcPr>
                <w:p w14:paraId="19D5573B">
                  <w:pPr>
                    <w:spacing w:line="240" w:lineRule="atLeast"/>
                    <w:jc w:val="center"/>
                    <w:rPr>
                      <w:bCs/>
                      <w:color w:val="auto"/>
                      <w:szCs w:val="21"/>
                    </w:rPr>
                  </w:pPr>
                  <w:r>
                    <w:rPr>
                      <w:rFonts w:hint="eastAsia"/>
                      <w:bCs/>
                      <w:color w:val="auto"/>
                      <w:szCs w:val="21"/>
                    </w:rPr>
                    <w:t>石英砂</w:t>
                  </w:r>
                </w:p>
              </w:tc>
              <w:tc>
                <w:tcPr>
                  <w:tcW w:w="649" w:type="dxa"/>
                  <w:vAlign w:val="center"/>
                </w:tcPr>
                <w:p w14:paraId="2BC5CDC6">
                  <w:pPr>
                    <w:spacing w:line="240" w:lineRule="atLeast"/>
                    <w:jc w:val="center"/>
                    <w:rPr>
                      <w:bCs/>
                      <w:color w:val="auto"/>
                      <w:szCs w:val="21"/>
                    </w:rPr>
                  </w:pPr>
                  <w:r>
                    <w:rPr>
                      <w:rFonts w:hint="eastAsia"/>
                      <w:bCs/>
                      <w:color w:val="auto"/>
                      <w:szCs w:val="21"/>
                    </w:rPr>
                    <w:t>t/a</w:t>
                  </w:r>
                </w:p>
              </w:tc>
              <w:tc>
                <w:tcPr>
                  <w:tcW w:w="970" w:type="dxa"/>
                  <w:vAlign w:val="center"/>
                </w:tcPr>
                <w:p w14:paraId="449EAF78">
                  <w:pPr>
                    <w:spacing w:line="240" w:lineRule="atLeast"/>
                    <w:jc w:val="center"/>
                    <w:rPr>
                      <w:rFonts w:hint="default" w:eastAsia="宋体"/>
                      <w:bCs/>
                      <w:color w:val="auto"/>
                      <w:szCs w:val="21"/>
                      <w:lang w:val="en-US" w:eastAsia="zh-CN"/>
                    </w:rPr>
                  </w:pPr>
                  <w:r>
                    <w:rPr>
                      <w:rFonts w:hint="eastAsia"/>
                      <w:bCs/>
                      <w:color w:val="auto"/>
                      <w:szCs w:val="21"/>
                      <w:lang w:val="en-US" w:eastAsia="zh-CN"/>
                    </w:rPr>
                    <w:t>32</w:t>
                  </w:r>
                </w:p>
              </w:tc>
              <w:tc>
                <w:tcPr>
                  <w:tcW w:w="1977" w:type="dxa"/>
                  <w:vAlign w:val="center"/>
                </w:tcPr>
                <w:p w14:paraId="2F23CD4D">
                  <w:pPr>
                    <w:adjustRightInd w:val="0"/>
                    <w:snapToGrid w:val="0"/>
                    <w:spacing w:line="560" w:lineRule="exact"/>
                    <w:jc w:val="center"/>
                    <w:rPr>
                      <w:bCs/>
                      <w:color w:val="auto"/>
                    </w:rPr>
                  </w:pPr>
                </w:p>
              </w:tc>
              <w:tc>
                <w:tcPr>
                  <w:tcW w:w="1199" w:type="dxa"/>
                  <w:vAlign w:val="center"/>
                </w:tcPr>
                <w:p w14:paraId="03F813EB">
                  <w:pPr>
                    <w:jc w:val="center"/>
                    <w:rPr>
                      <w:color w:val="auto"/>
                      <w:szCs w:val="21"/>
                    </w:rPr>
                  </w:pPr>
                </w:p>
              </w:tc>
              <w:tc>
                <w:tcPr>
                  <w:tcW w:w="1199" w:type="dxa"/>
                  <w:vAlign w:val="center"/>
                </w:tcPr>
                <w:p w14:paraId="5FE59272">
                  <w:pPr>
                    <w:adjustRightInd w:val="0"/>
                    <w:snapToGrid w:val="0"/>
                    <w:spacing w:line="560" w:lineRule="exact"/>
                    <w:jc w:val="center"/>
                    <w:rPr>
                      <w:bCs/>
                      <w:color w:val="auto"/>
                    </w:rPr>
                  </w:pPr>
                </w:p>
              </w:tc>
            </w:tr>
            <w:tr w14:paraId="578C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gridSpan w:val="2"/>
                  <w:vAlign w:val="center"/>
                </w:tcPr>
                <w:p w14:paraId="19F84D30">
                  <w:pPr>
                    <w:adjustRightInd w:val="0"/>
                    <w:snapToGrid w:val="0"/>
                    <w:spacing w:line="240" w:lineRule="atLeast"/>
                    <w:jc w:val="center"/>
                    <w:rPr>
                      <w:bCs/>
                      <w:color w:val="auto"/>
                    </w:rPr>
                  </w:pPr>
                  <w:r>
                    <w:rPr>
                      <w:rFonts w:hint="eastAsia"/>
                      <w:bCs/>
                      <w:color w:val="auto"/>
                    </w:rPr>
                    <w:t>合计</w:t>
                  </w:r>
                </w:p>
              </w:tc>
              <w:tc>
                <w:tcPr>
                  <w:tcW w:w="649" w:type="dxa"/>
                  <w:vAlign w:val="center"/>
                </w:tcPr>
                <w:p w14:paraId="3143F9C3">
                  <w:pPr>
                    <w:adjustRightInd w:val="0"/>
                    <w:snapToGrid w:val="0"/>
                    <w:spacing w:line="240" w:lineRule="atLeast"/>
                    <w:jc w:val="center"/>
                    <w:rPr>
                      <w:bCs/>
                      <w:color w:val="auto"/>
                    </w:rPr>
                  </w:pPr>
                  <w:r>
                    <w:rPr>
                      <w:bCs/>
                      <w:color w:val="auto"/>
                      <w:szCs w:val="21"/>
                    </w:rPr>
                    <w:t>t/a</w:t>
                  </w:r>
                </w:p>
              </w:tc>
              <w:tc>
                <w:tcPr>
                  <w:tcW w:w="970" w:type="dxa"/>
                  <w:vAlign w:val="center"/>
                </w:tcPr>
                <w:p w14:paraId="23DED2E8">
                  <w:pPr>
                    <w:adjustRightInd w:val="0"/>
                    <w:snapToGrid w:val="0"/>
                    <w:spacing w:line="240" w:lineRule="atLeast"/>
                    <w:jc w:val="center"/>
                    <w:rPr>
                      <w:rFonts w:hint="default" w:eastAsia="宋体"/>
                      <w:bCs/>
                      <w:color w:val="auto"/>
                      <w:lang w:val="en-US" w:eastAsia="zh-CN"/>
                    </w:rPr>
                  </w:pPr>
                  <w:r>
                    <w:rPr>
                      <w:rFonts w:hint="eastAsia"/>
                      <w:bCs/>
                      <w:color w:val="auto"/>
                    </w:rPr>
                    <w:t>6856</w:t>
                  </w:r>
                  <w:r>
                    <w:rPr>
                      <w:rFonts w:hint="eastAsia"/>
                      <w:bCs/>
                      <w:color w:val="auto"/>
                      <w:lang w:val="en-US" w:eastAsia="zh-CN"/>
                    </w:rPr>
                    <w:t>3.6</w:t>
                  </w:r>
                </w:p>
              </w:tc>
              <w:tc>
                <w:tcPr>
                  <w:tcW w:w="1977" w:type="dxa"/>
                  <w:vAlign w:val="center"/>
                </w:tcPr>
                <w:p w14:paraId="41463A13">
                  <w:pPr>
                    <w:adjustRightInd w:val="0"/>
                    <w:snapToGrid w:val="0"/>
                    <w:spacing w:line="560" w:lineRule="exact"/>
                    <w:jc w:val="center"/>
                    <w:rPr>
                      <w:bCs/>
                      <w:color w:val="auto"/>
                    </w:rPr>
                  </w:pPr>
                </w:p>
              </w:tc>
              <w:tc>
                <w:tcPr>
                  <w:tcW w:w="1199" w:type="dxa"/>
                  <w:vAlign w:val="center"/>
                </w:tcPr>
                <w:p w14:paraId="57205014">
                  <w:pPr>
                    <w:adjustRightInd w:val="0"/>
                    <w:snapToGrid w:val="0"/>
                    <w:jc w:val="center"/>
                    <w:rPr>
                      <w:bCs/>
                      <w:color w:val="auto"/>
                    </w:rPr>
                  </w:pPr>
                </w:p>
              </w:tc>
              <w:tc>
                <w:tcPr>
                  <w:tcW w:w="1199" w:type="dxa"/>
                  <w:vAlign w:val="center"/>
                </w:tcPr>
                <w:p w14:paraId="5D54D034">
                  <w:pPr>
                    <w:jc w:val="center"/>
                    <w:rPr>
                      <w:rFonts w:hint="default" w:eastAsia="宋体"/>
                      <w:color w:val="auto"/>
                      <w:szCs w:val="21"/>
                      <w:lang w:val="en-US" w:eastAsia="zh-CN"/>
                    </w:rPr>
                  </w:pPr>
                  <w:r>
                    <w:rPr>
                      <w:rFonts w:hint="eastAsia"/>
                      <w:color w:val="auto"/>
                      <w:szCs w:val="21"/>
                    </w:rPr>
                    <w:t>6856</w:t>
                  </w:r>
                  <w:r>
                    <w:rPr>
                      <w:rFonts w:hint="eastAsia"/>
                      <w:color w:val="auto"/>
                      <w:szCs w:val="21"/>
                      <w:lang w:val="en-US" w:eastAsia="zh-CN"/>
                    </w:rPr>
                    <w:t>3.6</w:t>
                  </w:r>
                </w:p>
              </w:tc>
            </w:tr>
          </w:tbl>
          <w:p w14:paraId="540CED61">
            <w:pPr>
              <w:adjustRightInd w:val="0"/>
              <w:snapToGrid w:val="0"/>
              <w:spacing w:line="560" w:lineRule="exact"/>
              <w:ind w:firstLine="422" w:firstLineChars="200"/>
              <w:jc w:val="center"/>
              <w:rPr>
                <w:b/>
                <w:color w:val="auto"/>
              </w:rPr>
            </w:pPr>
          </w:p>
          <w:p w14:paraId="4360383D">
            <w:pPr>
              <w:adjustRightInd w:val="0"/>
              <w:snapToGrid w:val="0"/>
              <w:spacing w:line="360" w:lineRule="auto"/>
              <w:ind w:firstLine="482" w:firstLineChars="200"/>
              <w:rPr>
                <w:b/>
                <w:color w:val="auto"/>
                <w:sz w:val="24"/>
              </w:rPr>
            </w:pPr>
            <w:r>
              <w:rPr>
                <w:rFonts w:hint="eastAsia"/>
                <w:b/>
                <w:color w:val="auto"/>
                <w:sz w:val="24"/>
              </w:rPr>
              <w:t>7、</w:t>
            </w:r>
            <w:r>
              <w:rPr>
                <w:b/>
                <w:color w:val="auto"/>
                <w:sz w:val="24"/>
              </w:rPr>
              <w:t>公用工程</w:t>
            </w:r>
          </w:p>
          <w:p w14:paraId="3DF1B4AD">
            <w:pPr>
              <w:adjustRightInd w:val="0"/>
              <w:snapToGrid w:val="0"/>
              <w:spacing w:line="360" w:lineRule="auto"/>
              <w:ind w:firstLine="482" w:firstLineChars="200"/>
              <w:textAlignment w:val="baseline"/>
              <w:rPr>
                <w:b/>
                <w:color w:val="auto"/>
                <w:sz w:val="24"/>
              </w:rPr>
            </w:pPr>
            <w:r>
              <w:rPr>
                <w:rFonts w:hint="eastAsia"/>
                <w:b/>
                <w:color w:val="auto"/>
                <w:sz w:val="24"/>
              </w:rPr>
              <w:t>7</w:t>
            </w:r>
            <w:r>
              <w:rPr>
                <w:b/>
                <w:color w:val="auto"/>
                <w:sz w:val="24"/>
              </w:rPr>
              <w:t>.1</w:t>
            </w:r>
            <w:r>
              <w:rPr>
                <w:rFonts w:hint="eastAsia"/>
                <w:b/>
                <w:color w:val="auto"/>
                <w:sz w:val="24"/>
              </w:rPr>
              <w:t>给排</w:t>
            </w:r>
            <w:r>
              <w:rPr>
                <w:b/>
                <w:color w:val="auto"/>
                <w:sz w:val="24"/>
              </w:rPr>
              <w:t>水</w:t>
            </w:r>
          </w:p>
          <w:p w14:paraId="50FD2C12">
            <w:pPr>
              <w:adjustRightInd w:val="0"/>
              <w:snapToGrid w:val="0"/>
              <w:spacing w:line="360" w:lineRule="auto"/>
              <w:ind w:firstLine="480" w:firstLineChars="200"/>
              <w:textAlignment w:val="baseline"/>
              <w:rPr>
                <w:color w:val="auto"/>
                <w:sz w:val="24"/>
              </w:rPr>
            </w:pPr>
            <w:r>
              <w:rPr>
                <w:color w:val="auto"/>
                <w:sz w:val="24"/>
              </w:rPr>
              <w:t>本项目用水由</w:t>
            </w:r>
            <w:r>
              <w:rPr>
                <w:rFonts w:hint="eastAsia"/>
                <w:color w:val="auto"/>
                <w:sz w:val="24"/>
              </w:rPr>
              <w:t>园区市政供水管网提供</w:t>
            </w:r>
            <w:r>
              <w:rPr>
                <w:color w:val="auto"/>
                <w:sz w:val="24"/>
              </w:rPr>
              <w:t>。包括</w:t>
            </w:r>
            <w:r>
              <w:rPr>
                <w:rFonts w:hint="eastAsia"/>
                <w:color w:val="auto"/>
                <w:sz w:val="24"/>
              </w:rPr>
              <w:t>生产用水和</w:t>
            </w:r>
            <w:r>
              <w:rPr>
                <w:color w:val="auto"/>
                <w:sz w:val="24"/>
              </w:rPr>
              <w:t>员工生活用水。具体用水情况如下：</w:t>
            </w:r>
          </w:p>
          <w:p w14:paraId="161843B4">
            <w:pPr>
              <w:adjustRightInd w:val="0"/>
              <w:snapToGrid w:val="0"/>
              <w:spacing w:line="360" w:lineRule="auto"/>
              <w:ind w:firstLine="480" w:firstLineChars="200"/>
              <w:rPr>
                <w:color w:val="auto"/>
                <w:sz w:val="24"/>
              </w:rPr>
            </w:pPr>
            <w:r>
              <w:rPr>
                <w:color w:val="auto"/>
                <w:sz w:val="24"/>
              </w:rPr>
              <w:t>（1）</w:t>
            </w:r>
            <w:r>
              <w:rPr>
                <w:rFonts w:hint="eastAsia"/>
                <w:color w:val="auto"/>
                <w:sz w:val="24"/>
              </w:rPr>
              <w:t>生产用水</w:t>
            </w:r>
          </w:p>
          <w:p w14:paraId="7757E1D4">
            <w:pPr>
              <w:pStyle w:val="100"/>
              <w:spacing w:line="360" w:lineRule="auto"/>
              <w:ind w:left="127" w:right="126" w:firstLine="445"/>
              <w:jc w:val="both"/>
              <w:rPr>
                <w:rFonts w:ascii="Times New Roman" w:hAnsi="Times New Roman" w:cs="Times New Roman"/>
                <w:color w:val="auto"/>
                <w:spacing w:val="-8"/>
                <w:sz w:val="24"/>
                <w:szCs w:val="24"/>
              </w:rPr>
            </w:pPr>
            <w:r>
              <w:rPr>
                <w:rFonts w:ascii="Times New Roman" w:hAnsi="Times New Roman" w:cs="Times New Roman"/>
                <w:color w:val="auto"/>
                <w:kern w:val="2"/>
                <w:sz w:val="24"/>
                <w:szCs w:val="24"/>
              </w:rPr>
              <w:t>本项目</w:t>
            </w:r>
            <w:r>
              <w:rPr>
                <w:rFonts w:hint="eastAsia" w:ascii="Times New Roman" w:hAnsi="Times New Roman" w:cs="Times New Roman"/>
                <w:color w:val="auto"/>
                <w:kern w:val="2"/>
                <w:sz w:val="24"/>
                <w:szCs w:val="24"/>
              </w:rPr>
              <w:t>熔炼工艺采用中频感应电炉</w:t>
            </w:r>
            <w:r>
              <w:rPr>
                <w:rFonts w:ascii="Times New Roman" w:hAnsi="Times New Roman" w:cs="Times New Roman"/>
                <w:color w:val="auto"/>
                <w:kern w:val="2"/>
                <w:sz w:val="24"/>
                <w:szCs w:val="24"/>
              </w:rPr>
              <w:t>，</w:t>
            </w:r>
            <w:r>
              <w:rPr>
                <w:rFonts w:hint="eastAsia" w:ascii="Times New Roman" w:hAnsi="Times New Roman" w:cs="Times New Roman"/>
                <w:color w:val="auto"/>
                <w:kern w:val="2"/>
                <w:sz w:val="24"/>
                <w:szCs w:val="24"/>
              </w:rPr>
              <w:t>根据建设单位提供的参数，中频炉循环冷却系统设计流量为400</w:t>
            </w:r>
            <w:r>
              <w:rPr>
                <w:rFonts w:ascii="Times New Roman" w:hAnsi="Times New Roman" w:cs="Times New Roman"/>
                <w:color w:val="auto"/>
                <w:spacing w:val="-8"/>
                <w:sz w:val="24"/>
                <w:szCs w:val="24"/>
              </w:rPr>
              <w:t>m</w:t>
            </w:r>
            <w:r>
              <w:rPr>
                <w:rFonts w:ascii="Times New Roman" w:hAnsi="Times New Roman" w:cs="Times New Roman"/>
                <w:color w:val="auto"/>
                <w:spacing w:val="-8"/>
                <w:sz w:val="24"/>
                <w:szCs w:val="24"/>
                <w:vertAlign w:val="superscript"/>
              </w:rPr>
              <w:t>3</w:t>
            </w:r>
            <w:r>
              <w:rPr>
                <w:rFonts w:ascii="Times New Roman" w:hAnsi="Times New Roman" w:cs="Times New Roman"/>
                <w:color w:val="auto"/>
                <w:spacing w:val="-8"/>
                <w:sz w:val="24"/>
                <w:szCs w:val="24"/>
              </w:rPr>
              <w:t>/</w:t>
            </w:r>
            <w:r>
              <w:rPr>
                <w:rFonts w:hint="eastAsia" w:ascii="Times New Roman" w:hAnsi="Times New Roman" w:cs="Times New Roman"/>
                <w:color w:val="auto"/>
                <w:spacing w:val="-8"/>
                <w:sz w:val="24"/>
                <w:szCs w:val="24"/>
              </w:rPr>
              <w:t>h</w:t>
            </w:r>
            <w:r>
              <w:rPr>
                <w:rFonts w:hint="eastAsia" w:ascii="Times New Roman" w:hAnsi="Times New Roman" w:cs="Times New Roman"/>
                <w:color w:val="auto"/>
                <w:kern w:val="2"/>
                <w:sz w:val="24"/>
                <w:szCs w:val="24"/>
              </w:rPr>
              <w:t>，配套建设容积为600m³的循环水池。冷却水循环使用不外排，以蒸汽的形式损耗。</w:t>
            </w:r>
            <w:r>
              <w:rPr>
                <w:rFonts w:hint="eastAsia" w:ascii="Times New Roman" w:hAnsi="Times New Roman" w:cs="Times New Roman"/>
                <w:color w:val="auto"/>
                <w:spacing w:val="-8"/>
                <w:sz w:val="24"/>
                <w:szCs w:val="24"/>
              </w:rPr>
              <w:t>则每天循环水量4</w:t>
            </w:r>
            <w:r>
              <w:rPr>
                <w:rFonts w:hint="eastAsia" w:ascii="Times New Roman" w:hAnsi="Times New Roman" w:cs="Times New Roman"/>
                <w:color w:val="auto"/>
                <w:kern w:val="2"/>
                <w:sz w:val="24"/>
                <w:szCs w:val="24"/>
              </w:rPr>
              <w:t>000</w:t>
            </w:r>
            <w:r>
              <w:rPr>
                <w:rFonts w:ascii="Times New Roman" w:hAnsi="Times New Roman" w:cs="Times New Roman"/>
                <w:color w:val="auto"/>
                <w:spacing w:val="-8"/>
                <w:sz w:val="24"/>
                <w:szCs w:val="24"/>
              </w:rPr>
              <w:t>m</w:t>
            </w:r>
            <w:r>
              <w:rPr>
                <w:rFonts w:ascii="Times New Roman" w:hAnsi="Times New Roman" w:cs="Times New Roman"/>
                <w:color w:val="auto"/>
                <w:spacing w:val="-8"/>
                <w:sz w:val="24"/>
                <w:szCs w:val="24"/>
                <w:vertAlign w:val="superscript"/>
              </w:rPr>
              <w:t>3</w:t>
            </w:r>
            <w:r>
              <w:rPr>
                <w:rFonts w:ascii="Times New Roman" w:hAnsi="Times New Roman" w:cs="Times New Roman"/>
                <w:color w:val="auto"/>
                <w:spacing w:val="-8"/>
                <w:sz w:val="24"/>
                <w:szCs w:val="24"/>
              </w:rPr>
              <w:t>/</w:t>
            </w:r>
            <w:r>
              <w:rPr>
                <w:rFonts w:hint="eastAsia" w:ascii="Times New Roman" w:hAnsi="Times New Roman" w:cs="Times New Roman"/>
                <w:color w:val="auto"/>
                <w:spacing w:val="-8"/>
                <w:sz w:val="24"/>
                <w:szCs w:val="24"/>
              </w:rPr>
              <w:t>d,年循环水量1000000</w:t>
            </w:r>
            <w:r>
              <w:rPr>
                <w:rFonts w:ascii="Times New Roman" w:hAnsi="Times New Roman" w:cs="Times New Roman"/>
                <w:color w:val="auto"/>
                <w:spacing w:val="-8"/>
                <w:sz w:val="24"/>
                <w:szCs w:val="24"/>
              </w:rPr>
              <w:t>m</w:t>
            </w:r>
            <w:r>
              <w:rPr>
                <w:rFonts w:ascii="Times New Roman" w:hAnsi="Times New Roman" w:cs="Times New Roman"/>
                <w:color w:val="auto"/>
                <w:spacing w:val="-8"/>
                <w:sz w:val="24"/>
                <w:szCs w:val="24"/>
                <w:vertAlign w:val="superscript"/>
              </w:rPr>
              <w:t>3</w:t>
            </w:r>
            <w:r>
              <w:rPr>
                <w:rFonts w:ascii="Times New Roman" w:hAnsi="Times New Roman" w:cs="Times New Roman"/>
                <w:color w:val="auto"/>
                <w:spacing w:val="-8"/>
                <w:sz w:val="24"/>
                <w:szCs w:val="24"/>
              </w:rPr>
              <w:t>/</w:t>
            </w:r>
            <w:r>
              <w:rPr>
                <w:rFonts w:hint="eastAsia" w:ascii="Times New Roman" w:hAnsi="Times New Roman" w:cs="Times New Roman"/>
                <w:color w:val="auto"/>
                <w:spacing w:val="-8"/>
                <w:sz w:val="24"/>
                <w:szCs w:val="24"/>
              </w:rPr>
              <w:t>a。</w:t>
            </w:r>
            <w:r>
              <w:rPr>
                <w:rFonts w:hint="eastAsia" w:ascii="Times New Roman" w:hAnsi="Times New Roman" w:cs="Times New Roman"/>
                <w:color w:val="auto"/>
                <w:kern w:val="2"/>
                <w:sz w:val="24"/>
                <w:szCs w:val="24"/>
              </w:rPr>
              <w:t>补水系数按10%计算，则一天补水量400</w:t>
            </w:r>
            <w:r>
              <w:rPr>
                <w:rFonts w:ascii="Times New Roman" w:hAnsi="Times New Roman" w:cs="Times New Roman"/>
                <w:color w:val="auto"/>
                <w:spacing w:val="-8"/>
                <w:sz w:val="24"/>
                <w:szCs w:val="24"/>
              </w:rPr>
              <w:t>m</w:t>
            </w:r>
            <w:r>
              <w:rPr>
                <w:rFonts w:ascii="Times New Roman" w:hAnsi="Times New Roman" w:cs="Times New Roman"/>
                <w:color w:val="auto"/>
                <w:spacing w:val="-8"/>
                <w:sz w:val="24"/>
                <w:szCs w:val="24"/>
                <w:vertAlign w:val="superscript"/>
              </w:rPr>
              <w:t>3</w:t>
            </w:r>
            <w:r>
              <w:rPr>
                <w:rFonts w:ascii="Times New Roman" w:hAnsi="Times New Roman" w:cs="Times New Roman"/>
                <w:color w:val="auto"/>
                <w:spacing w:val="-8"/>
                <w:sz w:val="24"/>
                <w:szCs w:val="24"/>
              </w:rPr>
              <w:t>/</w:t>
            </w:r>
            <w:r>
              <w:rPr>
                <w:rFonts w:hint="eastAsia" w:ascii="Times New Roman" w:hAnsi="Times New Roman" w:cs="Times New Roman"/>
                <w:color w:val="auto"/>
                <w:spacing w:val="-8"/>
                <w:sz w:val="24"/>
                <w:szCs w:val="24"/>
              </w:rPr>
              <w:t>d</w:t>
            </w:r>
            <w:r>
              <w:rPr>
                <w:rFonts w:hint="eastAsia" w:ascii="Times New Roman" w:hAnsi="Times New Roman" w:cs="Times New Roman"/>
                <w:color w:val="auto"/>
                <w:kern w:val="2"/>
                <w:sz w:val="24"/>
                <w:szCs w:val="24"/>
              </w:rPr>
              <w:t>，一年补水量为100000</w:t>
            </w:r>
            <w:r>
              <w:rPr>
                <w:rFonts w:ascii="Times New Roman" w:hAnsi="Times New Roman" w:cs="Times New Roman"/>
                <w:color w:val="auto"/>
                <w:spacing w:val="-8"/>
                <w:sz w:val="24"/>
                <w:szCs w:val="24"/>
              </w:rPr>
              <w:t>m</w:t>
            </w:r>
            <w:r>
              <w:rPr>
                <w:rFonts w:ascii="Times New Roman" w:hAnsi="Times New Roman" w:cs="Times New Roman"/>
                <w:color w:val="auto"/>
                <w:spacing w:val="-8"/>
                <w:sz w:val="24"/>
                <w:szCs w:val="24"/>
                <w:vertAlign w:val="superscript"/>
              </w:rPr>
              <w:t>3</w:t>
            </w:r>
            <w:r>
              <w:rPr>
                <w:rFonts w:ascii="Times New Roman" w:hAnsi="Times New Roman" w:cs="Times New Roman"/>
                <w:color w:val="auto"/>
                <w:spacing w:val="-8"/>
                <w:sz w:val="24"/>
                <w:szCs w:val="24"/>
              </w:rPr>
              <w:t>/a</w:t>
            </w:r>
            <w:r>
              <w:rPr>
                <w:rFonts w:hint="eastAsia" w:ascii="Times New Roman" w:hAnsi="Times New Roman" w:cs="Times New Roman"/>
                <w:color w:val="auto"/>
                <w:kern w:val="2"/>
                <w:sz w:val="24"/>
                <w:szCs w:val="24"/>
              </w:rPr>
              <w:t>。</w:t>
            </w:r>
          </w:p>
          <w:p w14:paraId="1E9DF751">
            <w:pPr>
              <w:adjustRightInd w:val="0"/>
              <w:snapToGrid w:val="0"/>
              <w:spacing w:line="360" w:lineRule="auto"/>
              <w:ind w:firstLine="480" w:firstLineChars="200"/>
              <w:rPr>
                <w:color w:val="auto"/>
                <w:sz w:val="24"/>
              </w:rPr>
            </w:pPr>
            <w:r>
              <w:rPr>
                <w:color w:val="auto"/>
                <w:sz w:val="24"/>
              </w:rPr>
              <w:t>（2）</w:t>
            </w:r>
            <w:r>
              <w:rPr>
                <w:rFonts w:hint="eastAsia"/>
                <w:color w:val="auto"/>
                <w:sz w:val="24"/>
              </w:rPr>
              <w:t>生活用水</w:t>
            </w:r>
          </w:p>
          <w:p w14:paraId="45CECECE">
            <w:pPr>
              <w:adjustRightInd w:val="0"/>
              <w:snapToGrid w:val="0"/>
              <w:spacing w:line="360" w:lineRule="auto"/>
              <w:ind w:firstLine="480" w:firstLineChars="200"/>
              <w:rPr>
                <w:color w:val="auto"/>
                <w:sz w:val="24"/>
              </w:rPr>
            </w:pPr>
            <w:r>
              <w:rPr>
                <w:rFonts w:hint="eastAsia"/>
                <w:color w:val="auto"/>
                <w:sz w:val="24"/>
              </w:rPr>
              <w:t>本项目</w:t>
            </w:r>
            <w:r>
              <w:rPr>
                <w:color w:val="auto"/>
                <w:sz w:val="24"/>
              </w:rPr>
              <w:t>劳动定员</w:t>
            </w:r>
            <w:r>
              <w:rPr>
                <w:rFonts w:hint="eastAsia"/>
                <w:color w:val="auto"/>
                <w:sz w:val="24"/>
              </w:rPr>
              <w:t>50</w:t>
            </w:r>
            <w:r>
              <w:rPr>
                <w:color w:val="auto"/>
                <w:sz w:val="24"/>
              </w:rPr>
              <w:t>人，生活用新鲜水按100L/人·d计算，则生活用水量为</w:t>
            </w:r>
            <w:r>
              <w:rPr>
                <w:rFonts w:hint="eastAsia"/>
                <w:color w:val="auto"/>
                <w:sz w:val="24"/>
              </w:rPr>
              <w:t>5</w:t>
            </w:r>
            <w:r>
              <w:rPr>
                <w:color w:val="auto"/>
                <w:sz w:val="24"/>
              </w:rPr>
              <w:t>m</w:t>
            </w:r>
            <w:r>
              <w:rPr>
                <w:color w:val="auto"/>
                <w:sz w:val="24"/>
                <w:vertAlign w:val="superscript"/>
              </w:rPr>
              <w:t>3</w:t>
            </w:r>
            <w:r>
              <w:rPr>
                <w:color w:val="auto"/>
                <w:sz w:val="24"/>
              </w:rPr>
              <w:t>/d</w:t>
            </w:r>
            <w:r>
              <w:rPr>
                <w:rFonts w:hint="eastAsia"/>
                <w:color w:val="auto"/>
                <w:sz w:val="24"/>
              </w:rPr>
              <w:t>，1250</w:t>
            </w:r>
            <w:r>
              <w:rPr>
                <w:color w:val="auto"/>
                <w:spacing w:val="-8"/>
                <w:sz w:val="24"/>
              </w:rPr>
              <w:t>m</w:t>
            </w:r>
            <w:r>
              <w:rPr>
                <w:color w:val="auto"/>
                <w:spacing w:val="-8"/>
                <w:sz w:val="24"/>
                <w:vertAlign w:val="superscript"/>
              </w:rPr>
              <w:t>3</w:t>
            </w:r>
            <w:r>
              <w:rPr>
                <w:color w:val="auto"/>
                <w:spacing w:val="-8"/>
                <w:sz w:val="24"/>
              </w:rPr>
              <w:t xml:space="preserve">/a </w:t>
            </w:r>
            <w:r>
              <w:rPr>
                <w:color w:val="auto"/>
                <w:sz w:val="24"/>
              </w:rPr>
              <w:t>。生活用水排放系数取0.90，则新增生活污水产生量为</w:t>
            </w:r>
            <w:r>
              <w:rPr>
                <w:rFonts w:hint="eastAsia"/>
                <w:color w:val="auto"/>
                <w:sz w:val="24"/>
              </w:rPr>
              <w:t>4.5</w:t>
            </w:r>
            <w:r>
              <w:rPr>
                <w:color w:val="auto"/>
                <w:sz w:val="24"/>
              </w:rPr>
              <w:t>m</w:t>
            </w:r>
            <w:r>
              <w:rPr>
                <w:color w:val="auto"/>
                <w:sz w:val="24"/>
                <w:vertAlign w:val="superscript"/>
              </w:rPr>
              <w:t>3</w:t>
            </w:r>
            <w:r>
              <w:rPr>
                <w:color w:val="auto"/>
                <w:sz w:val="24"/>
              </w:rPr>
              <w:t>/d，</w:t>
            </w:r>
            <w:r>
              <w:rPr>
                <w:rFonts w:hint="eastAsia"/>
                <w:color w:val="auto"/>
                <w:sz w:val="24"/>
              </w:rPr>
              <w:t>1125</w:t>
            </w:r>
            <w:r>
              <w:rPr>
                <w:color w:val="auto"/>
                <w:spacing w:val="-8"/>
                <w:sz w:val="24"/>
              </w:rPr>
              <w:t>m</w:t>
            </w:r>
            <w:r>
              <w:rPr>
                <w:color w:val="auto"/>
                <w:spacing w:val="-8"/>
                <w:sz w:val="24"/>
                <w:vertAlign w:val="superscript"/>
              </w:rPr>
              <w:t>3</w:t>
            </w:r>
            <w:r>
              <w:rPr>
                <w:color w:val="auto"/>
                <w:spacing w:val="-8"/>
                <w:sz w:val="24"/>
              </w:rPr>
              <w:t xml:space="preserve">/a </w:t>
            </w:r>
            <w:r>
              <w:rPr>
                <w:color w:val="auto"/>
                <w:sz w:val="24"/>
              </w:rPr>
              <w:t>。</w:t>
            </w:r>
            <w:r>
              <w:rPr>
                <w:rFonts w:hint="eastAsia"/>
                <w:color w:val="auto"/>
                <w:sz w:val="24"/>
              </w:rPr>
              <w:t>生活污水经化粪池预处理后排入园区排水管网进入园区污水处理厂处理</w:t>
            </w:r>
            <w:r>
              <w:rPr>
                <w:color w:val="auto"/>
                <w:sz w:val="24"/>
              </w:rPr>
              <w:t>。</w:t>
            </w:r>
          </w:p>
          <w:p w14:paraId="2212D857">
            <w:pPr>
              <w:pStyle w:val="71"/>
              <w:widowControl/>
              <w:adjustRightInd w:val="0"/>
              <w:snapToGrid w:val="0"/>
              <w:spacing w:line="360" w:lineRule="auto"/>
              <w:ind w:firstLine="480"/>
              <w:textAlignment w:val="baseline"/>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给排水情况见表2-</w:t>
            </w:r>
            <w:r>
              <w:rPr>
                <w:rFonts w:hint="eastAsia" w:ascii="Times New Roman" w:hAnsi="Times New Roman" w:eastAsia="宋体" w:cs="Times New Roman"/>
                <w:color w:val="auto"/>
                <w:kern w:val="0"/>
                <w:sz w:val="24"/>
              </w:rPr>
              <w:t>6</w:t>
            </w:r>
            <w:r>
              <w:rPr>
                <w:rFonts w:ascii="Times New Roman" w:hAnsi="Times New Roman" w:eastAsia="宋体" w:cs="Times New Roman"/>
                <w:color w:val="auto"/>
                <w:kern w:val="0"/>
                <w:sz w:val="24"/>
              </w:rPr>
              <w:t>，水平衡关系见图</w:t>
            </w:r>
            <w:r>
              <w:rPr>
                <w:rFonts w:hint="eastAsia" w:ascii="Times New Roman" w:hAnsi="Times New Roman" w:eastAsia="宋体" w:cs="Times New Roman"/>
                <w:color w:val="auto"/>
                <w:kern w:val="0"/>
                <w:sz w:val="24"/>
              </w:rPr>
              <w:t>2-</w:t>
            </w:r>
            <w:r>
              <w:rPr>
                <w:rFonts w:ascii="Times New Roman" w:hAnsi="Times New Roman" w:eastAsia="宋体" w:cs="Times New Roman"/>
                <w:color w:val="auto"/>
                <w:kern w:val="0"/>
                <w:sz w:val="24"/>
              </w:rPr>
              <w:t>1。</w:t>
            </w:r>
          </w:p>
          <w:p w14:paraId="45E399DE">
            <w:pPr>
              <w:spacing w:line="360" w:lineRule="auto"/>
              <w:jc w:val="center"/>
              <w:rPr>
                <w:b/>
                <w:bCs/>
                <w:color w:val="auto"/>
                <w:szCs w:val="21"/>
              </w:rPr>
            </w:pPr>
            <w:r>
              <w:rPr>
                <w:b/>
                <w:bCs/>
                <w:color w:val="auto"/>
                <w:szCs w:val="21"/>
              </w:rPr>
              <w:t>表2-</w:t>
            </w:r>
            <w:r>
              <w:rPr>
                <w:rFonts w:hint="eastAsia"/>
                <w:b/>
                <w:bCs/>
                <w:color w:val="auto"/>
                <w:szCs w:val="21"/>
              </w:rPr>
              <w:t xml:space="preserve">6 </w:t>
            </w:r>
            <w:r>
              <w:rPr>
                <w:b/>
                <w:bCs/>
                <w:color w:val="auto"/>
                <w:szCs w:val="21"/>
              </w:rPr>
              <w:t xml:space="preserve"> 项目供排水量统计表</w:t>
            </w:r>
          </w:p>
          <w:tbl>
            <w:tblPr>
              <w:tblStyle w:val="24"/>
              <w:tblpPr w:leftFromText="181" w:rightFromText="181" w:vertAnchor="text" w:horzAnchor="page" w:tblpXSpec="center" w:tblpY="1"/>
              <w:tblOverlap w:val="never"/>
              <w:tblW w:w="8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031"/>
              <w:gridCol w:w="923"/>
              <w:gridCol w:w="834"/>
              <w:gridCol w:w="986"/>
              <w:gridCol w:w="680"/>
              <w:gridCol w:w="827"/>
              <w:gridCol w:w="1625"/>
            </w:tblGrid>
            <w:tr w14:paraId="5E13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46" w:type="dxa"/>
                  <w:vAlign w:val="center"/>
                </w:tcPr>
                <w:p w14:paraId="254FBFA7">
                  <w:pPr>
                    <w:jc w:val="center"/>
                    <w:rPr>
                      <w:color w:val="auto"/>
                      <w:szCs w:val="21"/>
                    </w:rPr>
                  </w:pPr>
                  <w:r>
                    <w:rPr>
                      <w:color w:val="auto"/>
                      <w:szCs w:val="21"/>
                    </w:rPr>
                    <w:t>项目</w:t>
                  </w:r>
                </w:p>
              </w:tc>
              <w:tc>
                <w:tcPr>
                  <w:tcW w:w="886" w:type="dxa"/>
                  <w:vAlign w:val="center"/>
                </w:tcPr>
                <w:p w14:paraId="266D2AF2">
                  <w:pPr>
                    <w:jc w:val="center"/>
                    <w:rPr>
                      <w:color w:val="auto"/>
                      <w:szCs w:val="21"/>
                    </w:rPr>
                  </w:pPr>
                  <w:r>
                    <w:rPr>
                      <w:color w:val="auto"/>
                      <w:szCs w:val="21"/>
                    </w:rPr>
                    <w:t>用水标准</w:t>
                  </w:r>
                </w:p>
              </w:tc>
              <w:tc>
                <w:tcPr>
                  <w:tcW w:w="954" w:type="dxa"/>
                  <w:vAlign w:val="center"/>
                </w:tcPr>
                <w:p w14:paraId="6AFE7498">
                  <w:pPr>
                    <w:jc w:val="center"/>
                    <w:rPr>
                      <w:color w:val="auto"/>
                      <w:szCs w:val="21"/>
                    </w:rPr>
                  </w:pPr>
                  <w:r>
                    <w:rPr>
                      <w:color w:val="auto"/>
                      <w:szCs w:val="21"/>
                    </w:rPr>
                    <w:t>用水</w:t>
                  </w:r>
                </w:p>
                <w:p w14:paraId="3855A9DF">
                  <w:pPr>
                    <w:jc w:val="center"/>
                    <w:rPr>
                      <w:color w:val="auto"/>
                      <w:szCs w:val="21"/>
                    </w:rPr>
                  </w:pPr>
                  <w:r>
                    <w:rPr>
                      <w:color w:val="auto"/>
                      <w:szCs w:val="21"/>
                    </w:rPr>
                    <w:t>规模</w:t>
                  </w:r>
                </w:p>
              </w:tc>
              <w:tc>
                <w:tcPr>
                  <w:tcW w:w="847" w:type="dxa"/>
                  <w:vAlign w:val="center"/>
                </w:tcPr>
                <w:p w14:paraId="7E89DBAC">
                  <w:pPr>
                    <w:jc w:val="center"/>
                    <w:rPr>
                      <w:color w:val="auto"/>
                      <w:szCs w:val="21"/>
                    </w:rPr>
                  </w:pPr>
                  <w:r>
                    <w:rPr>
                      <w:color w:val="auto"/>
                      <w:szCs w:val="21"/>
                    </w:rPr>
                    <w:t>日用水量m</w:t>
                  </w:r>
                  <w:r>
                    <w:rPr>
                      <w:color w:val="auto"/>
                      <w:szCs w:val="21"/>
                      <w:vertAlign w:val="superscript"/>
                    </w:rPr>
                    <w:t>3</w:t>
                  </w:r>
                  <w:r>
                    <w:rPr>
                      <w:color w:val="auto"/>
                      <w:szCs w:val="21"/>
                    </w:rPr>
                    <w:t>/d</w:t>
                  </w:r>
                </w:p>
              </w:tc>
              <w:tc>
                <w:tcPr>
                  <w:tcW w:w="989" w:type="dxa"/>
                  <w:vAlign w:val="center"/>
                </w:tcPr>
                <w:p w14:paraId="24914F36">
                  <w:pPr>
                    <w:jc w:val="center"/>
                    <w:rPr>
                      <w:color w:val="auto"/>
                      <w:szCs w:val="21"/>
                    </w:rPr>
                  </w:pPr>
                  <w:r>
                    <w:rPr>
                      <w:color w:val="auto"/>
                      <w:szCs w:val="21"/>
                    </w:rPr>
                    <w:t>年用水量m</w:t>
                  </w:r>
                  <w:r>
                    <w:rPr>
                      <w:color w:val="auto"/>
                      <w:szCs w:val="21"/>
                      <w:vertAlign w:val="superscript"/>
                    </w:rPr>
                    <w:t>3</w:t>
                  </w:r>
                  <w:r>
                    <w:rPr>
                      <w:color w:val="auto"/>
                      <w:szCs w:val="21"/>
                    </w:rPr>
                    <w:t>/a</w:t>
                  </w:r>
                </w:p>
              </w:tc>
              <w:tc>
                <w:tcPr>
                  <w:tcW w:w="693" w:type="dxa"/>
                  <w:vAlign w:val="center"/>
                </w:tcPr>
                <w:p w14:paraId="5B7F4903">
                  <w:pPr>
                    <w:jc w:val="center"/>
                    <w:rPr>
                      <w:color w:val="auto"/>
                      <w:szCs w:val="21"/>
                    </w:rPr>
                  </w:pPr>
                  <w:r>
                    <w:rPr>
                      <w:color w:val="auto"/>
                      <w:szCs w:val="21"/>
                    </w:rPr>
                    <w:t>排水系数</w:t>
                  </w:r>
                </w:p>
              </w:tc>
              <w:tc>
                <w:tcPr>
                  <w:tcW w:w="839" w:type="dxa"/>
                  <w:vAlign w:val="center"/>
                </w:tcPr>
                <w:p w14:paraId="4E4C012F">
                  <w:pPr>
                    <w:jc w:val="center"/>
                    <w:rPr>
                      <w:color w:val="auto"/>
                      <w:szCs w:val="21"/>
                    </w:rPr>
                  </w:pPr>
                  <w:r>
                    <w:rPr>
                      <w:color w:val="auto"/>
                      <w:szCs w:val="21"/>
                    </w:rPr>
                    <w:t>年排水量m</w:t>
                  </w:r>
                  <w:r>
                    <w:rPr>
                      <w:color w:val="auto"/>
                      <w:szCs w:val="21"/>
                      <w:vertAlign w:val="superscript"/>
                    </w:rPr>
                    <w:t>3</w:t>
                  </w:r>
                  <w:r>
                    <w:rPr>
                      <w:color w:val="auto"/>
                      <w:szCs w:val="21"/>
                    </w:rPr>
                    <w:t>/a</w:t>
                  </w:r>
                </w:p>
              </w:tc>
              <w:tc>
                <w:tcPr>
                  <w:tcW w:w="1655" w:type="dxa"/>
                  <w:vAlign w:val="center"/>
                </w:tcPr>
                <w:p w14:paraId="5C33BBAD">
                  <w:pPr>
                    <w:jc w:val="center"/>
                    <w:rPr>
                      <w:color w:val="auto"/>
                      <w:szCs w:val="21"/>
                    </w:rPr>
                  </w:pPr>
                  <w:r>
                    <w:rPr>
                      <w:color w:val="auto"/>
                      <w:szCs w:val="21"/>
                    </w:rPr>
                    <w:t>备注</w:t>
                  </w:r>
                </w:p>
              </w:tc>
            </w:tr>
            <w:tr w14:paraId="6F1E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46" w:type="dxa"/>
                  <w:vAlign w:val="center"/>
                </w:tcPr>
                <w:p w14:paraId="16E28F22">
                  <w:pPr>
                    <w:jc w:val="center"/>
                    <w:rPr>
                      <w:color w:val="auto"/>
                      <w:szCs w:val="21"/>
                    </w:rPr>
                  </w:pPr>
                  <w:r>
                    <w:rPr>
                      <w:color w:val="auto"/>
                      <w:szCs w:val="21"/>
                    </w:rPr>
                    <w:t>生活用水</w:t>
                  </w:r>
                </w:p>
              </w:tc>
              <w:tc>
                <w:tcPr>
                  <w:tcW w:w="886" w:type="dxa"/>
                  <w:vAlign w:val="center"/>
                </w:tcPr>
                <w:p w14:paraId="5AA0479E">
                  <w:pPr>
                    <w:jc w:val="center"/>
                    <w:rPr>
                      <w:color w:val="auto"/>
                      <w:szCs w:val="21"/>
                    </w:rPr>
                  </w:pPr>
                  <w:r>
                    <w:rPr>
                      <w:rFonts w:hint="eastAsia"/>
                      <w:color w:val="auto"/>
                      <w:szCs w:val="21"/>
                    </w:rPr>
                    <w:t>10</w:t>
                  </w:r>
                  <w:r>
                    <w:rPr>
                      <w:color w:val="auto"/>
                      <w:szCs w:val="21"/>
                    </w:rPr>
                    <w:t>0L/人·d</w:t>
                  </w:r>
                </w:p>
              </w:tc>
              <w:tc>
                <w:tcPr>
                  <w:tcW w:w="954" w:type="dxa"/>
                  <w:vAlign w:val="center"/>
                </w:tcPr>
                <w:p w14:paraId="537F21F9">
                  <w:pPr>
                    <w:jc w:val="center"/>
                    <w:rPr>
                      <w:color w:val="auto"/>
                      <w:szCs w:val="21"/>
                    </w:rPr>
                  </w:pPr>
                  <w:r>
                    <w:rPr>
                      <w:rFonts w:hint="eastAsia"/>
                      <w:color w:val="auto"/>
                      <w:szCs w:val="21"/>
                    </w:rPr>
                    <w:t>50</w:t>
                  </w:r>
                  <w:r>
                    <w:rPr>
                      <w:color w:val="auto"/>
                      <w:szCs w:val="21"/>
                    </w:rPr>
                    <w:t>人</w:t>
                  </w:r>
                </w:p>
              </w:tc>
              <w:tc>
                <w:tcPr>
                  <w:tcW w:w="847" w:type="dxa"/>
                  <w:vAlign w:val="center"/>
                </w:tcPr>
                <w:p w14:paraId="5C37C2D1">
                  <w:pPr>
                    <w:jc w:val="center"/>
                    <w:rPr>
                      <w:color w:val="auto"/>
                      <w:kern w:val="0"/>
                      <w:szCs w:val="21"/>
                    </w:rPr>
                  </w:pPr>
                  <w:r>
                    <w:rPr>
                      <w:rFonts w:hint="eastAsia"/>
                      <w:color w:val="auto"/>
                      <w:kern w:val="0"/>
                      <w:szCs w:val="21"/>
                    </w:rPr>
                    <w:t>5</w:t>
                  </w:r>
                </w:p>
              </w:tc>
              <w:tc>
                <w:tcPr>
                  <w:tcW w:w="989" w:type="dxa"/>
                  <w:vAlign w:val="center"/>
                </w:tcPr>
                <w:p w14:paraId="543EB9FC">
                  <w:pPr>
                    <w:jc w:val="center"/>
                    <w:rPr>
                      <w:color w:val="auto"/>
                      <w:szCs w:val="21"/>
                    </w:rPr>
                  </w:pPr>
                  <w:r>
                    <w:rPr>
                      <w:rFonts w:hint="eastAsia"/>
                      <w:color w:val="auto"/>
                      <w:szCs w:val="21"/>
                    </w:rPr>
                    <w:t>1250</w:t>
                  </w:r>
                </w:p>
              </w:tc>
              <w:tc>
                <w:tcPr>
                  <w:tcW w:w="693" w:type="dxa"/>
                  <w:vAlign w:val="center"/>
                </w:tcPr>
                <w:p w14:paraId="727C5377">
                  <w:pPr>
                    <w:jc w:val="center"/>
                    <w:rPr>
                      <w:color w:val="auto"/>
                      <w:szCs w:val="21"/>
                    </w:rPr>
                  </w:pPr>
                  <w:r>
                    <w:rPr>
                      <w:color w:val="auto"/>
                      <w:szCs w:val="21"/>
                    </w:rPr>
                    <w:t>0.</w:t>
                  </w:r>
                  <w:r>
                    <w:rPr>
                      <w:rFonts w:hint="eastAsia"/>
                      <w:color w:val="auto"/>
                      <w:szCs w:val="21"/>
                    </w:rPr>
                    <w:t>9</w:t>
                  </w:r>
                </w:p>
              </w:tc>
              <w:tc>
                <w:tcPr>
                  <w:tcW w:w="839" w:type="dxa"/>
                  <w:vAlign w:val="center"/>
                </w:tcPr>
                <w:p w14:paraId="64E0902C">
                  <w:pPr>
                    <w:jc w:val="center"/>
                    <w:rPr>
                      <w:color w:val="auto"/>
                      <w:kern w:val="0"/>
                      <w:szCs w:val="21"/>
                    </w:rPr>
                  </w:pPr>
                  <w:r>
                    <w:rPr>
                      <w:rFonts w:hint="eastAsia"/>
                      <w:color w:val="auto"/>
                      <w:kern w:val="0"/>
                      <w:szCs w:val="21"/>
                    </w:rPr>
                    <w:t>1125</w:t>
                  </w:r>
                </w:p>
              </w:tc>
              <w:tc>
                <w:tcPr>
                  <w:tcW w:w="1655" w:type="dxa"/>
                  <w:vAlign w:val="center"/>
                </w:tcPr>
                <w:p w14:paraId="3954CBAB">
                  <w:pPr>
                    <w:jc w:val="center"/>
                    <w:rPr>
                      <w:color w:val="auto"/>
                      <w:szCs w:val="21"/>
                    </w:rPr>
                  </w:pPr>
                  <w:r>
                    <w:rPr>
                      <w:rFonts w:hint="eastAsia"/>
                      <w:color w:val="auto"/>
                      <w:szCs w:val="21"/>
                    </w:rPr>
                    <w:t>/</w:t>
                  </w:r>
                </w:p>
              </w:tc>
            </w:tr>
            <w:tr w14:paraId="51C0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46" w:type="dxa"/>
                  <w:vAlign w:val="center"/>
                </w:tcPr>
                <w:p w14:paraId="7B5E0190">
                  <w:pPr>
                    <w:rPr>
                      <w:color w:val="auto"/>
                      <w:szCs w:val="21"/>
                    </w:rPr>
                  </w:pPr>
                  <w:r>
                    <w:rPr>
                      <w:rFonts w:hint="eastAsia"/>
                      <w:color w:val="auto"/>
                      <w:szCs w:val="21"/>
                    </w:rPr>
                    <w:t>生产用水</w:t>
                  </w:r>
                </w:p>
              </w:tc>
              <w:tc>
                <w:tcPr>
                  <w:tcW w:w="886" w:type="dxa"/>
                  <w:vAlign w:val="center"/>
                </w:tcPr>
                <w:p w14:paraId="4D0156F7">
                  <w:pPr>
                    <w:jc w:val="center"/>
                    <w:rPr>
                      <w:color w:val="auto"/>
                      <w:szCs w:val="21"/>
                    </w:rPr>
                  </w:pPr>
                  <w:r>
                    <w:rPr>
                      <w:rFonts w:hint="eastAsia"/>
                      <w:color w:val="auto"/>
                      <w:szCs w:val="21"/>
                    </w:rPr>
                    <w:t>4400</w:t>
                  </w:r>
                  <w:r>
                    <w:rPr>
                      <w:color w:val="auto"/>
                      <w:szCs w:val="21"/>
                    </w:rPr>
                    <w:t>m</w:t>
                  </w:r>
                  <w:r>
                    <w:rPr>
                      <w:color w:val="auto"/>
                      <w:szCs w:val="21"/>
                      <w:vertAlign w:val="superscript"/>
                    </w:rPr>
                    <w:t>3</w:t>
                  </w:r>
                  <w:r>
                    <w:rPr>
                      <w:color w:val="auto"/>
                      <w:szCs w:val="21"/>
                    </w:rPr>
                    <w:t>/d</w:t>
                  </w:r>
                </w:p>
              </w:tc>
              <w:tc>
                <w:tcPr>
                  <w:tcW w:w="954" w:type="dxa"/>
                  <w:vAlign w:val="center"/>
                </w:tcPr>
                <w:p w14:paraId="1029C761">
                  <w:pPr>
                    <w:jc w:val="center"/>
                    <w:rPr>
                      <w:color w:val="auto"/>
                      <w:szCs w:val="21"/>
                    </w:rPr>
                  </w:pPr>
                  <w:r>
                    <w:rPr>
                      <w:rFonts w:hint="eastAsia"/>
                      <w:color w:val="auto"/>
                      <w:szCs w:val="21"/>
                    </w:rPr>
                    <w:t>/</w:t>
                  </w:r>
                </w:p>
              </w:tc>
              <w:tc>
                <w:tcPr>
                  <w:tcW w:w="847" w:type="dxa"/>
                  <w:vAlign w:val="center"/>
                </w:tcPr>
                <w:p w14:paraId="43B68713">
                  <w:pPr>
                    <w:jc w:val="center"/>
                    <w:rPr>
                      <w:color w:val="auto"/>
                      <w:kern w:val="0"/>
                      <w:szCs w:val="21"/>
                    </w:rPr>
                  </w:pPr>
                  <w:r>
                    <w:rPr>
                      <w:rFonts w:hint="eastAsia"/>
                      <w:color w:val="auto"/>
                      <w:kern w:val="0"/>
                      <w:szCs w:val="21"/>
                    </w:rPr>
                    <w:t>4400</w:t>
                  </w:r>
                </w:p>
              </w:tc>
              <w:tc>
                <w:tcPr>
                  <w:tcW w:w="989" w:type="dxa"/>
                  <w:vAlign w:val="center"/>
                </w:tcPr>
                <w:p w14:paraId="680AA5EE">
                  <w:pPr>
                    <w:jc w:val="center"/>
                    <w:rPr>
                      <w:color w:val="auto"/>
                      <w:szCs w:val="21"/>
                    </w:rPr>
                  </w:pPr>
                  <w:r>
                    <w:rPr>
                      <w:rFonts w:hint="eastAsia"/>
                      <w:color w:val="auto"/>
                      <w:szCs w:val="21"/>
                    </w:rPr>
                    <w:t>1100000</w:t>
                  </w:r>
                </w:p>
              </w:tc>
              <w:tc>
                <w:tcPr>
                  <w:tcW w:w="693" w:type="dxa"/>
                  <w:vAlign w:val="center"/>
                </w:tcPr>
                <w:p w14:paraId="7590EE9D">
                  <w:pPr>
                    <w:jc w:val="center"/>
                    <w:rPr>
                      <w:color w:val="auto"/>
                      <w:szCs w:val="21"/>
                    </w:rPr>
                  </w:pPr>
                  <w:r>
                    <w:rPr>
                      <w:rFonts w:hint="eastAsia"/>
                      <w:color w:val="auto"/>
                      <w:szCs w:val="21"/>
                    </w:rPr>
                    <w:t>/</w:t>
                  </w:r>
                </w:p>
              </w:tc>
              <w:tc>
                <w:tcPr>
                  <w:tcW w:w="839" w:type="dxa"/>
                  <w:vAlign w:val="center"/>
                </w:tcPr>
                <w:p w14:paraId="14E61E3D">
                  <w:pPr>
                    <w:jc w:val="center"/>
                    <w:rPr>
                      <w:color w:val="auto"/>
                      <w:kern w:val="0"/>
                      <w:szCs w:val="21"/>
                    </w:rPr>
                  </w:pPr>
                  <w:r>
                    <w:rPr>
                      <w:rFonts w:hint="eastAsia"/>
                      <w:color w:val="auto"/>
                      <w:kern w:val="0"/>
                      <w:szCs w:val="21"/>
                    </w:rPr>
                    <w:t>0</w:t>
                  </w:r>
                </w:p>
              </w:tc>
              <w:tc>
                <w:tcPr>
                  <w:tcW w:w="1655" w:type="dxa"/>
                  <w:vAlign w:val="center"/>
                </w:tcPr>
                <w:p w14:paraId="48304A8E">
                  <w:pPr>
                    <w:jc w:val="center"/>
                    <w:rPr>
                      <w:color w:val="auto"/>
                      <w:szCs w:val="21"/>
                    </w:rPr>
                  </w:pPr>
                  <w:r>
                    <w:rPr>
                      <w:rFonts w:hint="eastAsia"/>
                      <w:color w:val="auto"/>
                      <w:szCs w:val="21"/>
                    </w:rPr>
                    <w:t>其中新鲜水400</w:t>
                  </w:r>
                  <w:r>
                    <w:rPr>
                      <w:color w:val="auto"/>
                      <w:szCs w:val="21"/>
                    </w:rPr>
                    <w:t>m</w:t>
                  </w:r>
                  <w:r>
                    <w:rPr>
                      <w:color w:val="auto"/>
                      <w:szCs w:val="21"/>
                      <w:vertAlign w:val="superscript"/>
                    </w:rPr>
                    <w:t>3</w:t>
                  </w:r>
                  <w:r>
                    <w:rPr>
                      <w:color w:val="auto"/>
                      <w:szCs w:val="21"/>
                    </w:rPr>
                    <w:t>/d</w:t>
                  </w:r>
                  <w:r>
                    <w:rPr>
                      <w:rFonts w:hint="eastAsia"/>
                      <w:color w:val="auto"/>
                      <w:szCs w:val="21"/>
                    </w:rPr>
                    <w:t>，回用水4000</w:t>
                  </w:r>
                  <w:r>
                    <w:rPr>
                      <w:color w:val="auto"/>
                      <w:szCs w:val="21"/>
                    </w:rPr>
                    <w:t>m</w:t>
                  </w:r>
                  <w:r>
                    <w:rPr>
                      <w:color w:val="auto"/>
                      <w:szCs w:val="21"/>
                      <w:vertAlign w:val="superscript"/>
                    </w:rPr>
                    <w:t>3</w:t>
                  </w:r>
                  <w:r>
                    <w:rPr>
                      <w:color w:val="auto"/>
                      <w:szCs w:val="21"/>
                    </w:rPr>
                    <w:t>/d</w:t>
                  </w:r>
                </w:p>
              </w:tc>
            </w:tr>
            <w:tr w14:paraId="7609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986" w:type="dxa"/>
                  <w:gridSpan w:val="3"/>
                  <w:vAlign w:val="center"/>
                </w:tcPr>
                <w:p w14:paraId="64B8B0D7">
                  <w:pPr>
                    <w:jc w:val="center"/>
                    <w:rPr>
                      <w:color w:val="auto"/>
                      <w:szCs w:val="21"/>
                    </w:rPr>
                  </w:pPr>
                  <w:r>
                    <w:rPr>
                      <w:color w:val="auto"/>
                      <w:szCs w:val="21"/>
                    </w:rPr>
                    <w:t>合计</w:t>
                  </w:r>
                </w:p>
              </w:tc>
              <w:tc>
                <w:tcPr>
                  <w:tcW w:w="847" w:type="dxa"/>
                  <w:vAlign w:val="center"/>
                </w:tcPr>
                <w:p w14:paraId="62273D3C">
                  <w:pPr>
                    <w:widowControl/>
                    <w:jc w:val="center"/>
                    <w:rPr>
                      <w:color w:val="auto"/>
                      <w:kern w:val="0"/>
                      <w:szCs w:val="21"/>
                    </w:rPr>
                  </w:pPr>
                  <w:r>
                    <w:rPr>
                      <w:rFonts w:hint="eastAsia"/>
                      <w:color w:val="auto"/>
                      <w:kern w:val="0"/>
                      <w:szCs w:val="21"/>
                    </w:rPr>
                    <w:t>4405</w:t>
                  </w:r>
                </w:p>
              </w:tc>
              <w:tc>
                <w:tcPr>
                  <w:tcW w:w="989" w:type="dxa"/>
                  <w:vAlign w:val="center"/>
                </w:tcPr>
                <w:p w14:paraId="1D97F938">
                  <w:pPr>
                    <w:jc w:val="center"/>
                    <w:rPr>
                      <w:color w:val="auto"/>
                      <w:szCs w:val="21"/>
                    </w:rPr>
                  </w:pPr>
                  <w:r>
                    <w:rPr>
                      <w:rFonts w:hint="eastAsia"/>
                      <w:color w:val="auto"/>
                      <w:szCs w:val="21"/>
                    </w:rPr>
                    <w:t>1101250</w:t>
                  </w:r>
                </w:p>
              </w:tc>
              <w:tc>
                <w:tcPr>
                  <w:tcW w:w="693" w:type="dxa"/>
                  <w:vAlign w:val="center"/>
                </w:tcPr>
                <w:p w14:paraId="093D12A7">
                  <w:pPr>
                    <w:jc w:val="center"/>
                    <w:rPr>
                      <w:color w:val="auto"/>
                      <w:szCs w:val="21"/>
                    </w:rPr>
                  </w:pPr>
                  <w:r>
                    <w:rPr>
                      <w:color w:val="auto"/>
                      <w:szCs w:val="21"/>
                    </w:rPr>
                    <w:t>/</w:t>
                  </w:r>
                </w:p>
              </w:tc>
              <w:tc>
                <w:tcPr>
                  <w:tcW w:w="839" w:type="dxa"/>
                  <w:vAlign w:val="center"/>
                </w:tcPr>
                <w:p w14:paraId="425D7717">
                  <w:pPr>
                    <w:jc w:val="center"/>
                    <w:rPr>
                      <w:color w:val="auto"/>
                      <w:szCs w:val="21"/>
                    </w:rPr>
                  </w:pPr>
                  <w:r>
                    <w:rPr>
                      <w:rFonts w:hint="eastAsia"/>
                      <w:color w:val="auto"/>
                      <w:szCs w:val="21"/>
                    </w:rPr>
                    <w:t>1125</w:t>
                  </w:r>
                </w:p>
              </w:tc>
              <w:tc>
                <w:tcPr>
                  <w:tcW w:w="1655" w:type="dxa"/>
                  <w:vAlign w:val="center"/>
                </w:tcPr>
                <w:p w14:paraId="55FB3304">
                  <w:pPr>
                    <w:jc w:val="center"/>
                    <w:rPr>
                      <w:color w:val="auto"/>
                      <w:szCs w:val="21"/>
                    </w:rPr>
                  </w:pPr>
                  <w:r>
                    <w:rPr>
                      <w:color w:val="auto"/>
                      <w:szCs w:val="21"/>
                    </w:rPr>
                    <w:t>/</w:t>
                  </w:r>
                </w:p>
              </w:tc>
            </w:tr>
          </w:tbl>
          <w:p w14:paraId="5ED88B71">
            <w:pPr>
              <w:tabs>
                <w:tab w:val="left" w:pos="5052"/>
              </w:tabs>
              <w:jc w:val="center"/>
              <w:textAlignment w:val="baseline"/>
              <w:rPr>
                <w:b/>
                <w:color w:val="auto"/>
                <w:highlight w:val="yellow"/>
              </w:rPr>
            </w:pPr>
            <w:r>
              <w:rPr>
                <w:rFonts w:hint="eastAsia" w:eastAsiaTheme="minorEastAsia"/>
                <w:color w:val="auto"/>
              </w:rPr>
              <w:drawing>
                <wp:inline distT="0" distB="0" distL="114300" distR="114300">
                  <wp:extent cx="3340100" cy="1826260"/>
                  <wp:effectExtent l="0" t="0" r="12700" b="2540"/>
                  <wp:docPr id="1" name="图片 1" descr="C:/Users/Administrator/Desktop/项目计算表、流程图/新疆德瑞公司/水平衡.jpg水平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项目计算表、流程图/新疆德瑞公司/水平衡.jpg水平衡"/>
                          <pic:cNvPicPr>
                            <a:picLocks noChangeAspect="1"/>
                          </pic:cNvPicPr>
                        </pic:nvPicPr>
                        <pic:blipFill>
                          <a:blip r:embed="rId7"/>
                          <a:srcRect l="17" r="17"/>
                          <a:stretch>
                            <a:fillRect/>
                          </a:stretch>
                        </pic:blipFill>
                        <pic:spPr>
                          <a:xfrm>
                            <a:off x="0" y="0"/>
                            <a:ext cx="3340100" cy="1826260"/>
                          </a:xfrm>
                          <a:prstGeom prst="rect">
                            <a:avLst/>
                          </a:prstGeom>
                        </pic:spPr>
                      </pic:pic>
                    </a:graphicData>
                  </a:graphic>
                </wp:inline>
              </w:drawing>
            </w:r>
          </w:p>
          <w:p w14:paraId="600BC330">
            <w:pPr>
              <w:tabs>
                <w:tab w:val="left" w:pos="5052"/>
              </w:tabs>
              <w:jc w:val="left"/>
              <w:textAlignment w:val="baseline"/>
              <w:rPr>
                <w:b/>
                <w:color w:val="auto"/>
                <w:highlight w:val="yellow"/>
              </w:rPr>
            </w:pPr>
          </w:p>
          <w:p w14:paraId="251315E8">
            <w:pPr>
              <w:spacing w:line="480" w:lineRule="exact"/>
              <w:jc w:val="center"/>
              <w:textAlignment w:val="baseline"/>
              <w:rPr>
                <w:b/>
                <w:color w:val="auto"/>
                <w:sz w:val="24"/>
              </w:rPr>
            </w:pPr>
            <w:r>
              <w:rPr>
                <w:b/>
                <w:color w:val="auto"/>
              </w:rPr>
              <w:t>图2-1   项目水平衡图    单位： m</w:t>
            </w:r>
            <w:r>
              <w:rPr>
                <w:b/>
                <w:color w:val="auto"/>
                <w:vertAlign w:val="superscript"/>
              </w:rPr>
              <w:t>3</w:t>
            </w:r>
            <w:r>
              <w:rPr>
                <w:b/>
                <w:color w:val="auto"/>
              </w:rPr>
              <w:t>/</w:t>
            </w:r>
            <w:r>
              <w:rPr>
                <w:rFonts w:hint="eastAsia"/>
                <w:b/>
                <w:color w:val="auto"/>
              </w:rPr>
              <w:t>d</w:t>
            </w:r>
          </w:p>
          <w:p w14:paraId="37388238">
            <w:pPr>
              <w:spacing w:line="560" w:lineRule="exact"/>
              <w:ind w:firstLine="482" w:firstLineChars="200"/>
              <w:textAlignment w:val="baseline"/>
              <w:rPr>
                <w:b/>
                <w:color w:val="auto"/>
                <w:sz w:val="24"/>
              </w:rPr>
            </w:pPr>
            <w:r>
              <w:rPr>
                <w:rFonts w:hint="eastAsia"/>
                <w:b/>
                <w:color w:val="auto"/>
                <w:sz w:val="24"/>
              </w:rPr>
              <w:t>7.2</w:t>
            </w:r>
            <w:r>
              <w:rPr>
                <w:b/>
                <w:color w:val="auto"/>
                <w:sz w:val="24"/>
              </w:rPr>
              <w:t>供电</w:t>
            </w:r>
          </w:p>
          <w:p w14:paraId="567A4812">
            <w:pPr>
              <w:spacing w:line="560" w:lineRule="exact"/>
              <w:ind w:firstLine="480" w:firstLineChars="200"/>
              <w:textAlignment w:val="baseline"/>
              <w:rPr>
                <w:color w:val="auto"/>
                <w:sz w:val="24"/>
              </w:rPr>
            </w:pPr>
            <w:r>
              <w:rPr>
                <w:rFonts w:hint="eastAsia"/>
                <w:color w:val="auto"/>
                <w:sz w:val="24"/>
              </w:rPr>
              <w:t>厂区用电由园区市政供电电网引入，满足使用。</w:t>
            </w:r>
          </w:p>
          <w:p w14:paraId="2239744D">
            <w:pPr>
              <w:spacing w:line="560" w:lineRule="exact"/>
              <w:ind w:firstLine="482" w:firstLineChars="200"/>
              <w:textAlignment w:val="baseline"/>
              <w:rPr>
                <w:b/>
                <w:color w:val="auto"/>
                <w:sz w:val="24"/>
              </w:rPr>
            </w:pPr>
            <w:r>
              <w:rPr>
                <w:rFonts w:hint="eastAsia"/>
                <w:b/>
                <w:color w:val="auto"/>
                <w:sz w:val="24"/>
              </w:rPr>
              <w:t>7.3</w:t>
            </w:r>
            <w:r>
              <w:rPr>
                <w:b/>
                <w:color w:val="auto"/>
                <w:sz w:val="24"/>
              </w:rPr>
              <w:t>供暖</w:t>
            </w:r>
          </w:p>
          <w:p w14:paraId="642BD04B">
            <w:pPr>
              <w:spacing w:line="560" w:lineRule="exact"/>
              <w:ind w:firstLine="480" w:firstLineChars="200"/>
              <w:textAlignment w:val="baseline"/>
              <w:rPr>
                <w:color w:val="auto"/>
                <w:kern w:val="0"/>
                <w:sz w:val="24"/>
              </w:rPr>
            </w:pPr>
            <w:r>
              <w:rPr>
                <w:rFonts w:hint="eastAsia" w:eastAsiaTheme="minorEastAsia"/>
                <w:color w:val="auto"/>
                <w:kern w:val="0"/>
                <w:sz w:val="24"/>
                <w:lang w:bidi="ar"/>
              </w:rPr>
              <w:t>办公区生活用房采用</w:t>
            </w:r>
            <w:r>
              <w:rPr>
                <w:rFonts w:hint="eastAsia" w:cs="宋体"/>
                <w:bCs/>
                <w:color w:val="auto"/>
                <w:kern w:val="0"/>
                <w:sz w:val="24"/>
                <w:lang w:val="zh-CN" w:bidi="ar"/>
              </w:rPr>
              <w:t>电采暖，其他不采暖</w:t>
            </w:r>
            <w:r>
              <w:rPr>
                <w:color w:val="auto"/>
                <w:kern w:val="0"/>
                <w:sz w:val="24"/>
              </w:rPr>
              <w:t>。</w:t>
            </w:r>
          </w:p>
          <w:p w14:paraId="3567C20D">
            <w:pPr>
              <w:spacing w:line="560" w:lineRule="exact"/>
              <w:ind w:firstLine="482" w:firstLineChars="200"/>
              <w:rPr>
                <w:b/>
                <w:color w:val="auto"/>
                <w:sz w:val="24"/>
              </w:rPr>
            </w:pPr>
            <w:r>
              <w:rPr>
                <w:rFonts w:hint="eastAsia"/>
                <w:b/>
                <w:color w:val="auto"/>
                <w:sz w:val="24"/>
              </w:rPr>
              <w:t>8、</w:t>
            </w:r>
            <w:r>
              <w:rPr>
                <w:b/>
                <w:color w:val="auto"/>
                <w:sz w:val="24"/>
              </w:rPr>
              <w:t>劳动定员及工作制度</w:t>
            </w:r>
          </w:p>
          <w:p w14:paraId="1A37B94C">
            <w:pPr>
              <w:adjustRightInd w:val="0"/>
              <w:snapToGrid w:val="0"/>
              <w:spacing w:line="560" w:lineRule="exact"/>
              <w:ind w:firstLine="480" w:firstLineChars="200"/>
              <w:rPr>
                <w:b/>
                <w:color w:val="auto"/>
                <w:sz w:val="24"/>
              </w:rPr>
            </w:pPr>
            <w:r>
              <w:rPr>
                <w:rFonts w:hint="eastAsia"/>
                <w:color w:val="auto"/>
                <w:sz w:val="24"/>
                <w:lang w:val="zh-CN"/>
              </w:rPr>
              <w:t>本项目劳</w:t>
            </w:r>
            <w:r>
              <w:rPr>
                <w:rFonts w:hint="eastAsia"/>
                <w:color w:val="auto"/>
                <w:sz w:val="24"/>
              </w:rPr>
              <w:t>动定员50人，年运行250天，每天一班，每班</w:t>
            </w:r>
            <w:r>
              <w:rPr>
                <w:rFonts w:hint="eastAsia"/>
                <w:color w:val="auto"/>
                <w:sz w:val="24"/>
                <w:lang w:val="en-US" w:eastAsia="zh-CN"/>
              </w:rPr>
              <w:t>8</w:t>
            </w:r>
            <w:r>
              <w:rPr>
                <w:rFonts w:hint="eastAsia"/>
                <w:color w:val="auto"/>
                <w:sz w:val="24"/>
              </w:rPr>
              <w:t>小时，年工作时间</w:t>
            </w:r>
            <w:r>
              <w:rPr>
                <w:rFonts w:hint="eastAsia"/>
                <w:color w:val="auto"/>
                <w:sz w:val="24"/>
                <w:lang w:val="en-US" w:eastAsia="zh-CN"/>
              </w:rPr>
              <w:t>2000</w:t>
            </w:r>
            <w:r>
              <w:rPr>
                <w:rFonts w:hint="eastAsia"/>
                <w:color w:val="auto"/>
                <w:sz w:val="24"/>
              </w:rPr>
              <w:t>h</w:t>
            </w:r>
            <w:r>
              <w:rPr>
                <w:color w:val="auto"/>
                <w:sz w:val="24"/>
              </w:rPr>
              <w:t>。</w:t>
            </w:r>
          </w:p>
          <w:p w14:paraId="0853B74B">
            <w:pPr>
              <w:adjustRightInd w:val="0"/>
              <w:snapToGrid w:val="0"/>
              <w:spacing w:line="560" w:lineRule="exact"/>
              <w:ind w:firstLine="482" w:firstLineChars="200"/>
              <w:rPr>
                <w:b/>
                <w:bCs/>
                <w:color w:val="auto"/>
                <w:sz w:val="24"/>
              </w:rPr>
            </w:pPr>
            <w:r>
              <w:rPr>
                <w:rFonts w:hint="eastAsia"/>
                <w:b/>
                <w:color w:val="auto"/>
                <w:sz w:val="24"/>
              </w:rPr>
              <w:t>9、</w:t>
            </w:r>
            <w:r>
              <w:rPr>
                <w:rFonts w:hint="eastAsia" w:cs="宋体"/>
                <w:b/>
                <w:bCs/>
                <w:color w:val="auto"/>
                <w:sz w:val="24"/>
                <w:lang w:bidi="ar"/>
              </w:rPr>
              <w:t>总平面布置及平面布置合理性</w:t>
            </w:r>
          </w:p>
          <w:p w14:paraId="07BB367D">
            <w:pPr>
              <w:adjustRightInd w:val="0"/>
              <w:snapToGrid w:val="0"/>
              <w:spacing w:line="560" w:lineRule="exact"/>
              <w:ind w:firstLine="480" w:firstLineChars="200"/>
              <w:rPr>
                <w:rFonts w:eastAsia="仿宋_GB2312"/>
                <w:color w:val="auto"/>
              </w:rPr>
            </w:pPr>
            <w:r>
              <w:rPr>
                <w:rFonts w:hint="eastAsia"/>
                <w:color w:val="auto"/>
                <w:sz w:val="24"/>
                <w:lang w:val="zh-CN"/>
              </w:rPr>
              <w:t>项目位于托克逊能源重化工工业园区，项目区北侧为</w:t>
            </w:r>
            <w:r>
              <w:rPr>
                <w:rFonts w:hint="eastAsia"/>
                <w:color w:val="auto"/>
                <w:sz w:val="24"/>
              </w:rPr>
              <w:t>新疆亿德新材料科技有限公司预留空地</w:t>
            </w:r>
            <w:r>
              <w:rPr>
                <w:rFonts w:hint="eastAsia"/>
                <w:color w:val="auto"/>
                <w:sz w:val="24"/>
                <w:lang w:val="zh-CN"/>
              </w:rPr>
              <w:t>，西侧为</w:t>
            </w:r>
            <w:r>
              <w:rPr>
                <w:rFonts w:hint="eastAsia"/>
                <w:color w:val="auto"/>
                <w:sz w:val="24"/>
              </w:rPr>
              <w:t>新疆润垚混凝土</w:t>
            </w:r>
            <w:r>
              <w:rPr>
                <w:rFonts w:hint="eastAsia"/>
                <w:color w:val="auto"/>
                <w:sz w:val="24"/>
                <w:lang w:val="zh-CN"/>
              </w:rPr>
              <w:t>有限公司，南侧为园区</w:t>
            </w:r>
            <w:r>
              <w:rPr>
                <w:rFonts w:hint="eastAsia"/>
                <w:color w:val="auto"/>
                <w:sz w:val="24"/>
              </w:rPr>
              <w:t>厂房</w:t>
            </w:r>
            <w:r>
              <w:rPr>
                <w:rFonts w:hint="eastAsia"/>
                <w:color w:val="auto"/>
                <w:sz w:val="24"/>
                <w:lang w:val="zh-CN"/>
              </w:rPr>
              <w:t>，东侧为</w:t>
            </w:r>
            <w:r>
              <w:rPr>
                <w:rFonts w:hint="eastAsia"/>
                <w:color w:val="auto"/>
                <w:sz w:val="24"/>
              </w:rPr>
              <w:t>新建林碳新材料有限公司</w:t>
            </w:r>
            <w:r>
              <w:rPr>
                <w:rFonts w:hint="eastAsia"/>
                <w:color w:val="auto"/>
                <w:sz w:val="24"/>
                <w:lang w:val="zh-CN"/>
              </w:rPr>
              <w:t>。本项目</w:t>
            </w:r>
            <w:r>
              <w:rPr>
                <w:rFonts w:hint="eastAsia"/>
                <w:color w:val="auto"/>
                <w:sz w:val="24"/>
              </w:rPr>
              <w:t>出入口是现有的，位于厂区南侧，</w:t>
            </w:r>
            <w:r>
              <w:rPr>
                <w:rFonts w:hint="eastAsia"/>
                <w:color w:val="auto"/>
                <w:sz w:val="24"/>
                <w:lang w:val="zh-CN"/>
              </w:rPr>
              <w:t>交通较为便利。目前，园区公共管理建设、市政工程建设、道路系统、道路两侧绿化用地及园区公共绿地等基础设施建设完成，为本项目提供了良好的依托条件。</w:t>
            </w:r>
          </w:p>
          <w:p w14:paraId="0B02F147">
            <w:pPr>
              <w:adjustRightInd w:val="0"/>
              <w:snapToGrid w:val="0"/>
              <w:spacing w:line="560" w:lineRule="exact"/>
              <w:ind w:firstLine="480" w:firstLineChars="200"/>
              <w:rPr>
                <w:color w:val="auto"/>
                <w:sz w:val="24"/>
                <w:lang w:val="zh-CN"/>
              </w:rPr>
            </w:pPr>
            <w:r>
              <w:rPr>
                <w:rFonts w:hint="eastAsia"/>
                <w:color w:val="auto"/>
                <w:sz w:val="24"/>
                <w:lang w:val="zh-CN"/>
              </w:rPr>
              <w:t>本项目厂区平面布局：生产车间靠近东侧呈“直线”型。生产区域功能齐全，整个厂房在满足生产、操作、安全和环保的要求许可时，联合集中布置，集中控制；厂区平面布置功能区分明确，根据工业企业的性质、规模、生产流程、交通运输、环境保护及场地自然条件合理布局；厂区通道宽度满足各种运输线路布局。</w:t>
            </w:r>
          </w:p>
          <w:p w14:paraId="33AD885F">
            <w:pPr>
              <w:adjustRightInd w:val="0"/>
              <w:snapToGrid w:val="0"/>
              <w:spacing w:line="560" w:lineRule="exact"/>
              <w:ind w:firstLine="480" w:firstLineChars="200"/>
              <w:rPr>
                <w:color w:val="auto"/>
                <w:sz w:val="24"/>
              </w:rPr>
            </w:pPr>
            <w:r>
              <w:rPr>
                <w:rFonts w:hint="eastAsia"/>
                <w:color w:val="auto"/>
                <w:sz w:val="24"/>
                <w:lang w:val="zh-CN"/>
              </w:rPr>
              <w:t>生产车间内设备根据产品生产工艺流程形成流水线式布置，避免各工序生产线路反复，节约了人力和物力。整个厂区布置有利生产、方便管理。</w:t>
            </w:r>
            <w:r>
              <w:rPr>
                <w:rFonts w:hint="eastAsia"/>
                <w:color w:val="auto"/>
                <w:sz w:val="24"/>
              </w:rPr>
              <w:t>管理用房位于生产厂房东侧。</w:t>
            </w:r>
          </w:p>
          <w:p w14:paraId="567A0373">
            <w:pPr>
              <w:pStyle w:val="81"/>
              <w:spacing w:line="520" w:lineRule="exact"/>
              <w:ind w:firstLine="480" w:firstLineChars="200"/>
              <w:rPr>
                <w:rFonts w:ascii="宋体" w:hAnsi="宋体"/>
                <w:color w:val="auto"/>
                <w:sz w:val="24"/>
                <w:szCs w:val="24"/>
                <w:lang w:bidi="ar"/>
              </w:rPr>
            </w:pPr>
            <w:r>
              <w:rPr>
                <w:rFonts w:ascii="宋体" w:hAnsi="宋体"/>
                <w:color w:val="auto"/>
                <w:sz w:val="24"/>
                <w:szCs w:val="24"/>
              </w:rPr>
              <w:t>本项目所在地周围环境质量较好，满足相应的环境功能区划。从地理位置、环境条件、气象条件及</w:t>
            </w:r>
            <w:r>
              <w:rPr>
                <w:rFonts w:hint="eastAsia" w:ascii="宋体" w:hAnsi="宋体"/>
                <w:color w:val="auto"/>
                <w:sz w:val="24"/>
                <w:szCs w:val="24"/>
              </w:rPr>
              <w:t>废水</w:t>
            </w:r>
            <w:r>
              <w:rPr>
                <w:rFonts w:ascii="宋体" w:hAnsi="宋体"/>
                <w:color w:val="auto"/>
                <w:sz w:val="24"/>
                <w:szCs w:val="24"/>
              </w:rPr>
              <w:t>排放状况等环境经济因素综合考虑，项目总图布置从环保角度是合理的。</w:t>
            </w:r>
          </w:p>
          <w:p w14:paraId="3EEA37EA">
            <w:pPr>
              <w:pStyle w:val="81"/>
              <w:spacing w:line="520" w:lineRule="exact"/>
              <w:ind w:firstLine="480"/>
              <w:rPr>
                <w:color w:val="auto"/>
                <w:sz w:val="24"/>
                <w:szCs w:val="24"/>
              </w:rPr>
            </w:pPr>
            <w:r>
              <w:rPr>
                <w:rFonts w:hint="eastAsia" w:ascii="宋体" w:hAnsi="宋体"/>
                <w:color w:val="auto"/>
                <w:sz w:val="24"/>
                <w:szCs w:val="24"/>
                <w:lang w:bidi="ar"/>
              </w:rPr>
              <w:t>综上所述，总图布置从环保角度是合理的。</w:t>
            </w:r>
            <w:r>
              <w:rPr>
                <w:rFonts w:hint="eastAsia"/>
                <w:color w:val="auto"/>
                <w:sz w:val="24"/>
                <w:szCs w:val="24"/>
                <w:lang w:bidi="ar"/>
              </w:rPr>
              <w:t>项目平面布置图见附图。</w:t>
            </w:r>
          </w:p>
          <w:p w14:paraId="713B48F9">
            <w:pPr>
              <w:spacing w:line="520" w:lineRule="exact"/>
              <w:ind w:firstLine="482" w:firstLineChars="200"/>
              <w:rPr>
                <w:b/>
                <w:bCs/>
                <w:color w:val="auto"/>
                <w:sz w:val="24"/>
              </w:rPr>
            </w:pPr>
            <w:r>
              <w:rPr>
                <w:rFonts w:hint="eastAsia"/>
                <w:b/>
                <w:bCs/>
                <w:color w:val="auto"/>
                <w:sz w:val="24"/>
                <w:lang w:bidi="ar"/>
              </w:rPr>
              <w:t>10、</w:t>
            </w:r>
            <w:r>
              <w:rPr>
                <w:rFonts w:hint="eastAsia" w:cs="宋体"/>
                <w:b/>
                <w:bCs/>
                <w:color w:val="auto"/>
                <w:sz w:val="24"/>
                <w:lang w:bidi="ar"/>
              </w:rPr>
              <w:t>项目实施计划</w:t>
            </w:r>
          </w:p>
          <w:p w14:paraId="100AD022">
            <w:pPr>
              <w:spacing w:line="520" w:lineRule="exact"/>
              <w:ind w:firstLine="480" w:firstLineChars="200"/>
              <w:rPr>
                <w:rFonts w:cs="宋体"/>
                <w:color w:val="auto"/>
                <w:sz w:val="24"/>
                <w:lang w:bidi="ar"/>
              </w:rPr>
            </w:pPr>
            <w:r>
              <w:rPr>
                <w:rFonts w:hint="eastAsia" w:cs="宋体"/>
                <w:color w:val="auto"/>
                <w:sz w:val="24"/>
                <w:lang w:bidi="ar"/>
              </w:rPr>
              <w:t>本项目于</w:t>
            </w:r>
            <w:r>
              <w:rPr>
                <w:color w:val="auto"/>
                <w:sz w:val="24"/>
                <w:lang w:bidi="ar"/>
              </w:rPr>
              <w:t>20</w:t>
            </w:r>
            <w:r>
              <w:rPr>
                <w:rFonts w:hint="eastAsia"/>
                <w:color w:val="auto"/>
                <w:sz w:val="24"/>
                <w:lang w:bidi="ar"/>
              </w:rPr>
              <w:t>24</w:t>
            </w:r>
            <w:r>
              <w:rPr>
                <w:rFonts w:hint="eastAsia" w:cs="宋体"/>
                <w:color w:val="auto"/>
                <w:sz w:val="24"/>
                <w:lang w:bidi="ar"/>
              </w:rPr>
              <w:t>年5月开工建设，</w:t>
            </w:r>
            <w:r>
              <w:rPr>
                <w:color w:val="auto"/>
                <w:sz w:val="24"/>
                <w:lang w:bidi="ar"/>
              </w:rPr>
              <w:t>20</w:t>
            </w:r>
            <w:r>
              <w:rPr>
                <w:rFonts w:hint="eastAsia"/>
                <w:color w:val="auto"/>
                <w:sz w:val="24"/>
                <w:lang w:bidi="ar"/>
              </w:rPr>
              <w:t>24</w:t>
            </w:r>
            <w:r>
              <w:rPr>
                <w:rFonts w:hint="eastAsia" w:cs="宋体"/>
                <w:color w:val="auto"/>
                <w:sz w:val="24"/>
                <w:lang w:bidi="ar"/>
              </w:rPr>
              <w:t>年7月完工。</w:t>
            </w:r>
            <w:r>
              <w:rPr>
                <w:rFonts w:cs="宋体"/>
                <w:color w:val="auto"/>
                <w:sz w:val="24"/>
                <w:lang w:bidi="ar"/>
              </w:rPr>
              <w:t xml:space="preserve"> </w:t>
            </w:r>
          </w:p>
        </w:tc>
      </w:tr>
      <w:tr w14:paraId="5B2A82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454" w:type="dxa"/>
            <w:vAlign w:val="center"/>
          </w:tcPr>
          <w:p w14:paraId="5CB3E3F8">
            <w:pPr>
              <w:pStyle w:val="19"/>
              <w:adjustRightInd w:val="0"/>
              <w:snapToGrid w:val="0"/>
              <w:spacing w:before="0" w:beforeAutospacing="0" w:after="0" w:afterAutospacing="0"/>
              <w:jc w:val="center"/>
              <w:rPr>
                <w:rFonts w:ascii="Times New Roman" w:hAnsi="Times New Roman" w:cs="宋体"/>
                <w:color w:val="auto"/>
                <w:sz w:val="21"/>
                <w:szCs w:val="21"/>
              </w:rPr>
            </w:pPr>
            <w:r>
              <w:rPr>
                <w:rFonts w:hint="eastAsia" w:ascii="Times New Roman" w:hAnsi="Times New Roman" w:cs="宋体"/>
                <w:color w:val="auto"/>
                <w:szCs w:val="21"/>
              </w:rPr>
              <w:t>工艺流程和产排污环节</w:t>
            </w:r>
          </w:p>
        </w:tc>
        <w:tc>
          <w:tcPr>
            <w:tcW w:w="8606" w:type="dxa"/>
          </w:tcPr>
          <w:p w14:paraId="70054DE0">
            <w:pPr>
              <w:autoSpaceDE w:val="0"/>
              <w:autoSpaceDN w:val="0"/>
              <w:adjustRightInd w:val="0"/>
              <w:spacing w:line="560" w:lineRule="exact"/>
              <w:ind w:firstLine="482" w:firstLineChars="200"/>
              <w:jc w:val="left"/>
              <w:rPr>
                <w:b/>
                <w:bCs/>
                <w:color w:val="auto"/>
                <w:kern w:val="0"/>
                <w:sz w:val="24"/>
              </w:rPr>
            </w:pPr>
            <w:r>
              <w:rPr>
                <w:rFonts w:hint="eastAsia"/>
                <w:b/>
                <w:bCs/>
                <w:color w:val="auto"/>
                <w:kern w:val="0"/>
                <w:sz w:val="24"/>
              </w:rPr>
              <w:t>一、施工期</w:t>
            </w:r>
          </w:p>
          <w:p w14:paraId="72AB6FA0">
            <w:pPr>
              <w:adjustRightInd w:val="0"/>
              <w:snapToGrid w:val="0"/>
              <w:spacing w:line="360" w:lineRule="auto"/>
              <w:ind w:firstLine="480" w:firstLineChars="200"/>
              <w:rPr>
                <w:rFonts w:hint="eastAsia"/>
                <w:color w:val="auto"/>
                <w:sz w:val="24"/>
              </w:rPr>
            </w:pPr>
            <w:r>
              <w:rPr>
                <w:rFonts w:hint="eastAsia" w:ascii="Times New Roman" w:hAnsi="Times New Roman"/>
                <w:color w:val="auto"/>
                <w:kern w:val="0"/>
                <w:sz w:val="24"/>
                <w:szCs w:val="24"/>
              </w:rPr>
              <w:t>本项目租赁新疆亿德新材料科技有限公司</w:t>
            </w:r>
            <w:r>
              <w:rPr>
                <w:rFonts w:hint="eastAsia"/>
                <w:color w:val="auto"/>
                <w:kern w:val="0"/>
                <w:sz w:val="24"/>
                <w:szCs w:val="24"/>
                <w:lang w:val="en-US" w:eastAsia="zh-CN"/>
              </w:rPr>
              <w:t>现有</w:t>
            </w:r>
            <w:r>
              <w:rPr>
                <w:rFonts w:hint="eastAsia" w:ascii="Times New Roman" w:hAnsi="Times New Roman"/>
                <w:color w:val="auto"/>
                <w:kern w:val="0"/>
                <w:sz w:val="24"/>
                <w:szCs w:val="24"/>
              </w:rPr>
              <w:t>厂房，施工期主要进行</w:t>
            </w:r>
            <w:r>
              <w:rPr>
                <w:rFonts w:hint="eastAsia" w:ascii="Times New Roman" w:hAnsi="Times New Roman"/>
                <w:color w:val="auto"/>
                <w:kern w:val="0"/>
                <w:sz w:val="24"/>
                <w:szCs w:val="24"/>
                <w:lang w:val="en-US" w:eastAsia="zh-CN"/>
              </w:rPr>
              <w:t>危废暂存间的建设、循环水池的建设和</w:t>
            </w:r>
            <w:r>
              <w:rPr>
                <w:rFonts w:hint="eastAsia" w:ascii="Times New Roman" w:hAnsi="Times New Roman"/>
                <w:color w:val="auto"/>
                <w:kern w:val="0"/>
                <w:sz w:val="24"/>
                <w:szCs w:val="24"/>
              </w:rPr>
              <w:t>设备的</w:t>
            </w:r>
            <w:r>
              <w:rPr>
                <w:rFonts w:hint="eastAsia" w:ascii="Times New Roman" w:hAnsi="Times New Roman"/>
                <w:color w:val="auto"/>
                <w:kern w:val="0"/>
                <w:sz w:val="24"/>
                <w:szCs w:val="24"/>
                <w:lang w:val="en-US" w:eastAsia="zh-CN"/>
              </w:rPr>
              <w:t>运输、安装及调试</w:t>
            </w:r>
            <w:r>
              <w:rPr>
                <w:rFonts w:hint="eastAsia" w:ascii="Times New Roman" w:hAnsi="Times New Roman"/>
                <w:color w:val="auto"/>
                <w:kern w:val="0"/>
                <w:sz w:val="24"/>
                <w:szCs w:val="24"/>
              </w:rPr>
              <w:t>。</w:t>
            </w:r>
            <w:r>
              <w:rPr>
                <w:rFonts w:hint="eastAsia"/>
                <w:color w:val="auto"/>
                <w:sz w:val="24"/>
              </w:rPr>
              <w:t>施工期主要污染工序见表2-</w:t>
            </w:r>
            <w:r>
              <w:rPr>
                <w:rFonts w:hint="eastAsia"/>
                <w:color w:val="auto"/>
                <w:sz w:val="24"/>
                <w:lang w:val="en-US" w:eastAsia="zh-CN"/>
              </w:rPr>
              <w:t>7</w:t>
            </w:r>
            <w:r>
              <w:rPr>
                <w:rFonts w:hint="eastAsia"/>
                <w:color w:val="auto"/>
                <w:sz w:val="24"/>
              </w:rPr>
              <w:t>。</w:t>
            </w:r>
          </w:p>
          <w:p w14:paraId="44D14C20">
            <w:pPr>
              <w:autoSpaceDE w:val="0"/>
              <w:jc w:val="center"/>
              <w:rPr>
                <w:b/>
                <w:bCs/>
                <w:color w:val="auto"/>
                <w:szCs w:val="21"/>
              </w:rPr>
            </w:pPr>
            <w:r>
              <w:rPr>
                <w:b/>
                <w:bCs/>
                <w:color w:val="auto"/>
                <w:szCs w:val="21"/>
              </w:rPr>
              <w:t>表2-</w:t>
            </w:r>
            <w:r>
              <w:rPr>
                <w:rFonts w:hint="eastAsia"/>
                <w:b/>
                <w:bCs/>
                <w:color w:val="auto"/>
                <w:szCs w:val="21"/>
                <w:lang w:val="en-US" w:eastAsia="zh-CN"/>
              </w:rPr>
              <w:t>7</w:t>
            </w:r>
            <w:r>
              <w:rPr>
                <w:b/>
                <w:bCs/>
                <w:color w:val="auto"/>
                <w:szCs w:val="21"/>
              </w:rPr>
              <w:t xml:space="preserve">  施工期主</w:t>
            </w:r>
            <w:r>
              <w:rPr>
                <w:rFonts w:hint="eastAsia"/>
                <w:b/>
                <w:bCs/>
                <w:color w:val="auto"/>
                <w:szCs w:val="21"/>
              </w:rPr>
              <w:t>要污染工序一览表</w:t>
            </w:r>
          </w:p>
          <w:tbl>
            <w:tblPr>
              <w:tblStyle w:val="24"/>
              <w:tblW w:w="4998"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141"/>
              <w:gridCol w:w="2152"/>
              <w:gridCol w:w="2422"/>
              <w:gridCol w:w="2670"/>
            </w:tblGrid>
            <w:tr w14:paraId="6A49560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tcBorders>
                    <w:tl2br w:val="nil"/>
                    <w:tr2bl w:val="nil"/>
                  </w:tcBorders>
                  <w:vAlign w:val="center"/>
                </w:tcPr>
                <w:p w14:paraId="13B178C4">
                  <w:pPr>
                    <w:autoSpaceDE w:val="0"/>
                    <w:jc w:val="center"/>
                    <w:rPr>
                      <w:b/>
                      <w:bCs/>
                      <w:color w:val="auto"/>
                      <w:szCs w:val="21"/>
                    </w:rPr>
                  </w:pPr>
                  <w:r>
                    <w:rPr>
                      <w:b/>
                      <w:bCs/>
                      <w:color w:val="auto"/>
                      <w:szCs w:val="21"/>
                    </w:rPr>
                    <w:t>污染类别</w:t>
                  </w:r>
                </w:p>
              </w:tc>
              <w:tc>
                <w:tcPr>
                  <w:tcW w:w="1283" w:type="pct"/>
                  <w:tcBorders>
                    <w:tl2br w:val="nil"/>
                    <w:tr2bl w:val="nil"/>
                  </w:tcBorders>
                  <w:vAlign w:val="center"/>
                </w:tcPr>
                <w:p w14:paraId="3A454871">
                  <w:pPr>
                    <w:autoSpaceDE w:val="0"/>
                    <w:jc w:val="center"/>
                    <w:rPr>
                      <w:b/>
                      <w:bCs/>
                      <w:color w:val="auto"/>
                      <w:szCs w:val="21"/>
                    </w:rPr>
                  </w:pPr>
                  <w:r>
                    <w:rPr>
                      <w:b/>
                      <w:bCs/>
                      <w:color w:val="auto"/>
                      <w:szCs w:val="21"/>
                    </w:rPr>
                    <w:t>污染源</w:t>
                  </w:r>
                </w:p>
              </w:tc>
              <w:tc>
                <w:tcPr>
                  <w:tcW w:w="1444" w:type="pct"/>
                  <w:tcBorders>
                    <w:tl2br w:val="nil"/>
                    <w:tr2bl w:val="nil"/>
                  </w:tcBorders>
                  <w:vAlign w:val="center"/>
                </w:tcPr>
                <w:p w14:paraId="245D85CE">
                  <w:pPr>
                    <w:autoSpaceDE w:val="0"/>
                    <w:jc w:val="center"/>
                    <w:rPr>
                      <w:b/>
                      <w:bCs/>
                      <w:color w:val="auto"/>
                      <w:szCs w:val="21"/>
                    </w:rPr>
                  </w:pPr>
                  <w:r>
                    <w:rPr>
                      <w:b/>
                      <w:bCs/>
                      <w:color w:val="auto"/>
                      <w:szCs w:val="21"/>
                    </w:rPr>
                    <w:t>产生工序</w:t>
                  </w:r>
                </w:p>
              </w:tc>
              <w:tc>
                <w:tcPr>
                  <w:tcW w:w="1591" w:type="pct"/>
                  <w:tcBorders>
                    <w:tl2br w:val="nil"/>
                    <w:tr2bl w:val="nil"/>
                  </w:tcBorders>
                  <w:vAlign w:val="center"/>
                </w:tcPr>
                <w:p w14:paraId="58C799A9">
                  <w:pPr>
                    <w:autoSpaceDE w:val="0"/>
                    <w:jc w:val="center"/>
                    <w:rPr>
                      <w:b/>
                      <w:bCs/>
                      <w:color w:val="auto"/>
                      <w:szCs w:val="21"/>
                    </w:rPr>
                  </w:pPr>
                  <w:r>
                    <w:rPr>
                      <w:b/>
                      <w:bCs/>
                      <w:color w:val="auto"/>
                      <w:szCs w:val="21"/>
                    </w:rPr>
                    <w:t>污染因子</w:t>
                  </w:r>
                </w:p>
              </w:tc>
            </w:tr>
            <w:tr w14:paraId="37E06AC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tcBorders>
                    <w:tl2br w:val="nil"/>
                    <w:tr2bl w:val="nil"/>
                  </w:tcBorders>
                  <w:vAlign w:val="center"/>
                </w:tcPr>
                <w:p w14:paraId="5248B2DD">
                  <w:pPr>
                    <w:jc w:val="center"/>
                    <w:rPr>
                      <w:rFonts w:hint="default" w:eastAsia="宋体"/>
                      <w:color w:val="auto"/>
                      <w:szCs w:val="21"/>
                      <w:lang w:val="en-US" w:eastAsia="zh-CN"/>
                    </w:rPr>
                  </w:pPr>
                  <w:r>
                    <w:rPr>
                      <w:rFonts w:hint="eastAsia"/>
                      <w:color w:val="auto"/>
                      <w:szCs w:val="21"/>
                      <w:lang w:val="en-US" w:eastAsia="zh-CN"/>
                    </w:rPr>
                    <w:t>废气</w:t>
                  </w:r>
                </w:p>
              </w:tc>
              <w:tc>
                <w:tcPr>
                  <w:tcW w:w="1283" w:type="pct"/>
                  <w:tcBorders>
                    <w:tl2br w:val="nil"/>
                    <w:tr2bl w:val="nil"/>
                  </w:tcBorders>
                  <w:vAlign w:val="center"/>
                </w:tcPr>
                <w:p w14:paraId="164953E9">
                  <w:pPr>
                    <w:autoSpaceDE w:val="0"/>
                    <w:jc w:val="center"/>
                    <w:rPr>
                      <w:rFonts w:hint="default" w:eastAsia="宋体"/>
                      <w:color w:val="auto"/>
                      <w:szCs w:val="21"/>
                      <w:lang w:val="en-US" w:eastAsia="zh-CN"/>
                    </w:rPr>
                  </w:pPr>
                  <w:r>
                    <w:rPr>
                      <w:rFonts w:hint="eastAsia"/>
                      <w:color w:val="auto"/>
                      <w:szCs w:val="21"/>
                      <w:lang w:val="en-US" w:eastAsia="zh-CN"/>
                    </w:rPr>
                    <w:t>施工扬尘</w:t>
                  </w:r>
                </w:p>
              </w:tc>
              <w:tc>
                <w:tcPr>
                  <w:tcW w:w="1444" w:type="pct"/>
                  <w:tcBorders>
                    <w:tl2br w:val="nil"/>
                    <w:tr2bl w:val="nil"/>
                  </w:tcBorders>
                  <w:vAlign w:val="center"/>
                </w:tcPr>
                <w:p w14:paraId="0AD4160B">
                  <w:pPr>
                    <w:autoSpaceDE w:val="0"/>
                    <w:jc w:val="center"/>
                    <w:rPr>
                      <w:rFonts w:hint="default" w:eastAsia="宋体"/>
                      <w:color w:val="auto"/>
                      <w:szCs w:val="21"/>
                      <w:lang w:val="en-US" w:eastAsia="zh-CN"/>
                    </w:rPr>
                  </w:pPr>
                  <w:r>
                    <w:rPr>
                      <w:rFonts w:hint="eastAsia"/>
                      <w:color w:val="auto"/>
                      <w:szCs w:val="21"/>
                      <w:lang w:val="en-US" w:eastAsia="zh-CN"/>
                    </w:rPr>
                    <w:t>危废暂存间及循环水池的建设、设备运输、设备安装</w:t>
                  </w:r>
                </w:p>
              </w:tc>
              <w:tc>
                <w:tcPr>
                  <w:tcW w:w="1591" w:type="pct"/>
                  <w:tcBorders>
                    <w:tl2br w:val="nil"/>
                    <w:tr2bl w:val="nil"/>
                  </w:tcBorders>
                  <w:vAlign w:val="center"/>
                </w:tcPr>
                <w:p w14:paraId="46B8249F">
                  <w:pPr>
                    <w:autoSpaceDE w:val="0"/>
                    <w:jc w:val="center"/>
                    <w:rPr>
                      <w:rFonts w:hint="eastAsia" w:eastAsia="宋体"/>
                      <w:color w:val="auto"/>
                      <w:szCs w:val="21"/>
                      <w:lang w:val="en-US" w:eastAsia="zh-CN"/>
                    </w:rPr>
                  </w:pPr>
                  <w:r>
                    <w:rPr>
                      <w:rFonts w:hint="eastAsia"/>
                      <w:color w:val="auto"/>
                      <w:szCs w:val="21"/>
                      <w:lang w:val="en-US" w:eastAsia="zh-CN"/>
                    </w:rPr>
                    <w:t>颗粒物</w:t>
                  </w:r>
                </w:p>
              </w:tc>
            </w:tr>
            <w:tr w14:paraId="23710D2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tcBorders>
                    <w:tl2br w:val="nil"/>
                    <w:tr2bl w:val="nil"/>
                  </w:tcBorders>
                  <w:vAlign w:val="center"/>
                </w:tcPr>
                <w:p w14:paraId="5D288DDC">
                  <w:pPr>
                    <w:jc w:val="center"/>
                    <w:rPr>
                      <w:color w:val="auto"/>
                      <w:szCs w:val="21"/>
                    </w:rPr>
                  </w:pPr>
                  <w:r>
                    <w:rPr>
                      <w:rFonts w:hint="eastAsia"/>
                      <w:color w:val="auto"/>
                      <w:szCs w:val="21"/>
                    </w:rPr>
                    <w:t>废气</w:t>
                  </w:r>
                </w:p>
              </w:tc>
              <w:tc>
                <w:tcPr>
                  <w:tcW w:w="1283" w:type="pct"/>
                  <w:tcBorders>
                    <w:tl2br w:val="nil"/>
                    <w:tr2bl w:val="nil"/>
                  </w:tcBorders>
                  <w:vAlign w:val="center"/>
                </w:tcPr>
                <w:p w14:paraId="37CE8602">
                  <w:pPr>
                    <w:autoSpaceDE w:val="0"/>
                    <w:jc w:val="center"/>
                    <w:rPr>
                      <w:color w:val="auto"/>
                      <w:szCs w:val="21"/>
                    </w:rPr>
                  </w:pPr>
                  <w:r>
                    <w:rPr>
                      <w:rFonts w:hint="eastAsia"/>
                      <w:color w:val="auto"/>
                      <w:szCs w:val="21"/>
                    </w:rPr>
                    <w:t>机械车辆</w:t>
                  </w:r>
                </w:p>
              </w:tc>
              <w:tc>
                <w:tcPr>
                  <w:tcW w:w="1444" w:type="pct"/>
                  <w:tcBorders>
                    <w:tl2br w:val="nil"/>
                    <w:tr2bl w:val="nil"/>
                  </w:tcBorders>
                  <w:vAlign w:val="center"/>
                </w:tcPr>
                <w:p w14:paraId="505C5726">
                  <w:pPr>
                    <w:autoSpaceDE w:val="0"/>
                    <w:jc w:val="center"/>
                    <w:rPr>
                      <w:color w:val="auto"/>
                      <w:szCs w:val="21"/>
                    </w:rPr>
                  </w:pPr>
                  <w:r>
                    <w:rPr>
                      <w:rFonts w:hint="eastAsia"/>
                      <w:color w:val="auto"/>
                      <w:szCs w:val="21"/>
                    </w:rPr>
                    <w:t>车辆</w:t>
                  </w:r>
                  <w:r>
                    <w:rPr>
                      <w:color w:val="auto"/>
                      <w:szCs w:val="21"/>
                    </w:rPr>
                    <w:t>运输</w:t>
                  </w:r>
                </w:p>
              </w:tc>
              <w:tc>
                <w:tcPr>
                  <w:tcW w:w="1591" w:type="pct"/>
                  <w:tcBorders>
                    <w:tl2br w:val="nil"/>
                    <w:tr2bl w:val="nil"/>
                  </w:tcBorders>
                  <w:vAlign w:val="center"/>
                </w:tcPr>
                <w:p w14:paraId="58F80C71">
                  <w:pPr>
                    <w:autoSpaceDE w:val="0"/>
                    <w:jc w:val="center"/>
                    <w:rPr>
                      <w:color w:val="auto"/>
                      <w:szCs w:val="21"/>
                    </w:rPr>
                  </w:pPr>
                  <w:r>
                    <w:rPr>
                      <w:color w:val="auto"/>
                      <w:szCs w:val="21"/>
                    </w:rPr>
                    <w:t>TSP</w:t>
                  </w:r>
                  <w:r>
                    <w:rPr>
                      <w:rFonts w:hint="eastAsia"/>
                      <w:color w:val="auto"/>
                      <w:szCs w:val="21"/>
                    </w:rPr>
                    <w:t>、</w:t>
                  </w:r>
                  <w:r>
                    <w:rPr>
                      <w:color w:val="auto"/>
                      <w:szCs w:val="21"/>
                    </w:rPr>
                    <w:t>THC</w:t>
                  </w:r>
                  <w:r>
                    <w:rPr>
                      <w:rFonts w:hint="eastAsia"/>
                      <w:color w:val="auto"/>
                      <w:szCs w:val="21"/>
                    </w:rPr>
                    <w:t>、</w:t>
                  </w:r>
                  <w:r>
                    <w:rPr>
                      <w:color w:val="auto"/>
                      <w:szCs w:val="21"/>
                    </w:rPr>
                    <w:t>CO</w:t>
                  </w:r>
                  <w:r>
                    <w:rPr>
                      <w:rFonts w:hint="eastAsia"/>
                      <w:color w:val="auto"/>
                      <w:szCs w:val="21"/>
                    </w:rPr>
                    <w:t>、</w:t>
                  </w:r>
                  <w:r>
                    <w:rPr>
                      <w:color w:val="auto"/>
                      <w:szCs w:val="21"/>
                    </w:rPr>
                    <w:t>NO</w:t>
                  </w:r>
                  <w:r>
                    <w:rPr>
                      <w:color w:val="auto"/>
                      <w:szCs w:val="21"/>
                      <w:vertAlign w:val="subscript"/>
                    </w:rPr>
                    <w:t>X</w:t>
                  </w:r>
                </w:p>
              </w:tc>
            </w:tr>
            <w:tr w14:paraId="7D87493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tcBorders>
                    <w:tl2br w:val="nil"/>
                    <w:tr2bl w:val="nil"/>
                  </w:tcBorders>
                  <w:vAlign w:val="center"/>
                </w:tcPr>
                <w:p w14:paraId="1EFA153C">
                  <w:pPr>
                    <w:autoSpaceDE w:val="0"/>
                    <w:jc w:val="center"/>
                    <w:rPr>
                      <w:color w:val="auto"/>
                      <w:szCs w:val="21"/>
                    </w:rPr>
                  </w:pPr>
                  <w:r>
                    <w:rPr>
                      <w:color w:val="auto"/>
                      <w:szCs w:val="21"/>
                    </w:rPr>
                    <w:t>废水</w:t>
                  </w:r>
                </w:p>
              </w:tc>
              <w:tc>
                <w:tcPr>
                  <w:tcW w:w="1283" w:type="pct"/>
                  <w:tcBorders>
                    <w:tl2br w:val="nil"/>
                    <w:tr2bl w:val="nil"/>
                  </w:tcBorders>
                  <w:vAlign w:val="center"/>
                </w:tcPr>
                <w:p w14:paraId="0B3A0D4F">
                  <w:pPr>
                    <w:autoSpaceDE w:val="0"/>
                    <w:jc w:val="center"/>
                    <w:rPr>
                      <w:color w:val="auto"/>
                      <w:szCs w:val="21"/>
                    </w:rPr>
                  </w:pPr>
                  <w:r>
                    <w:rPr>
                      <w:rFonts w:hint="eastAsia"/>
                      <w:color w:val="auto"/>
                      <w:szCs w:val="21"/>
                    </w:rPr>
                    <w:t>施工废水</w:t>
                  </w:r>
                </w:p>
              </w:tc>
              <w:tc>
                <w:tcPr>
                  <w:tcW w:w="1444" w:type="pct"/>
                  <w:tcBorders>
                    <w:tl2br w:val="nil"/>
                    <w:tr2bl w:val="nil"/>
                  </w:tcBorders>
                  <w:vAlign w:val="center"/>
                </w:tcPr>
                <w:p w14:paraId="70ED34E9">
                  <w:pPr>
                    <w:autoSpaceDE w:val="0"/>
                    <w:jc w:val="center"/>
                    <w:rPr>
                      <w:color w:val="auto"/>
                      <w:szCs w:val="21"/>
                    </w:rPr>
                  </w:pPr>
                  <w:r>
                    <w:rPr>
                      <w:rFonts w:hint="eastAsia"/>
                      <w:color w:val="auto"/>
                      <w:szCs w:val="21"/>
                    </w:rPr>
                    <w:t>施工过程</w:t>
                  </w:r>
                </w:p>
              </w:tc>
              <w:tc>
                <w:tcPr>
                  <w:tcW w:w="1591" w:type="pct"/>
                  <w:tcBorders>
                    <w:tl2br w:val="nil"/>
                    <w:tr2bl w:val="nil"/>
                  </w:tcBorders>
                  <w:vAlign w:val="center"/>
                </w:tcPr>
                <w:p w14:paraId="219569B8">
                  <w:pPr>
                    <w:autoSpaceDE w:val="0"/>
                    <w:jc w:val="center"/>
                    <w:rPr>
                      <w:color w:val="auto"/>
                      <w:szCs w:val="21"/>
                    </w:rPr>
                  </w:pPr>
                  <w:r>
                    <w:rPr>
                      <w:color w:val="auto"/>
                      <w:szCs w:val="21"/>
                    </w:rPr>
                    <w:t>SS</w:t>
                  </w:r>
                </w:p>
              </w:tc>
            </w:tr>
            <w:tr w14:paraId="0E7A63A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vMerge w:val="restart"/>
                  <w:tcBorders>
                    <w:tl2br w:val="nil"/>
                    <w:tr2bl w:val="nil"/>
                  </w:tcBorders>
                  <w:vAlign w:val="center"/>
                </w:tcPr>
                <w:p w14:paraId="087F5094">
                  <w:pPr>
                    <w:autoSpaceDE w:val="0"/>
                    <w:jc w:val="center"/>
                    <w:rPr>
                      <w:color w:val="auto"/>
                      <w:szCs w:val="21"/>
                    </w:rPr>
                  </w:pPr>
                  <w:r>
                    <w:rPr>
                      <w:color w:val="auto"/>
                      <w:szCs w:val="21"/>
                    </w:rPr>
                    <w:t>噪声</w:t>
                  </w:r>
                </w:p>
              </w:tc>
              <w:tc>
                <w:tcPr>
                  <w:tcW w:w="1283" w:type="pct"/>
                  <w:tcBorders>
                    <w:tl2br w:val="nil"/>
                    <w:tr2bl w:val="nil"/>
                  </w:tcBorders>
                  <w:vAlign w:val="center"/>
                </w:tcPr>
                <w:p w14:paraId="4E87D70F">
                  <w:pPr>
                    <w:autoSpaceDE w:val="0"/>
                    <w:jc w:val="center"/>
                    <w:rPr>
                      <w:color w:val="auto"/>
                      <w:szCs w:val="21"/>
                    </w:rPr>
                  </w:pPr>
                  <w:r>
                    <w:rPr>
                      <w:color w:val="auto"/>
                      <w:szCs w:val="21"/>
                    </w:rPr>
                    <w:t>施工设备</w:t>
                  </w:r>
                </w:p>
              </w:tc>
              <w:tc>
                <w:tcPr>
                  <w:tcW w:w="1444" w:type="pct"/>
                  <w:tcBorders>
                    <w:tl2br w:val="nil"/>
                    <w:tr2bl w:val="nil"/>
                  </w:tcBorders>
                  <w:vAlign w:val="center"/>
                </w:tcPr>
                <w:p w14:paraId="52EA6077">
                  <w:pPr>
                    <w:autoSpaceDE w:val="0"/>
                    <w:jc w:val="center"/>
                    <w:rPr>
                      <w:color w:val="auto"/>
                      <w:szCs w:val="21"/>
                    </w:rPr>
                  </w:pPr>
                  <w:r>
                    <w:rPr>
                      <w:color w:val="auto"/>
                      <w:szCs w:val="21"/>
                    </w:rPr>
                    <w:t>施工设备运行</w:t>
                  </w:r>
                </w:p>
              </w:tc>
              <w:tc>
                <w:tcPr>
                  <w:tcW w:w="1591" w:type="pct"/>
                  <w:tcBorders>
                    <w:tl2br w:val="nil"/>
                    <w:tr2bl w:val="nil"/>
                  </w:tcBorders>
                  <w:vAlign w:val="center"/>
                </w:tcPr>
                <w:p w14:paraId="5D14B2C4">
                  <w:pPr>
                    <w:autoSpaceDE w:val="0"/>
                    <w:jc w:val="center"/>
                    <w:rPr>
                      <w:color w:val="auto"/>
                      <w:szCs w:val="21"/>
                    </w:rPr>
                  </w:pPr>
                  <w:r>
                    <w:rPr>
                      <w:color w:val="auto"/>
                      <w:szCs w:val="21"/>
                    </w:rPr>
                    <w:t>机械噪声</w:t>
                  </w:r>
                </w:p>
              </w:tc>
            </w:tr>
            <w:tr w14:paraId="460DF0C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vMerge w:val="continue"/>
                  <w:tcBorders>
                    <w:tl2br w:val="nil"/>
                    <w:tr2bl w:val="nil"/>
                  </w:tcBorders>
                  <w:vAlign w:val="center"/>
                </w:tcPr>
                <w:p w14:paraId="5F9B1E14">
                  <w:pPr>
                    <w:rPr>
                      <w:color w:val="auto"/>
                      <w:szCs w:val="21"/>
                    </w:rPr>
                  </w:pPr>
                </w:p>
              </w:tc>
              <w:tc>
                <w:tcPr>
                  <w:tcW w:w="1283" w:type="pct"/>
                  <w:tcBorders>
                    <w:tl2br w:val="nil"/>
                    <w:tr2bl w:val="nil"/>
                  </w:tcBorders>
                  <w:vAlign w:val="center"/>
                </w:tcPr>
                <w:p w14:paraId="220A54DE">
                  <w:pPr>
                    <w:autoSpaceDE w:val="0"/>
                    <w:jc w:val="center"/>
                    <w:rPr>
                      <w:color w:val="auto"/>
                      <w:szCs w:val="21"/>
                    </w:rPr>
                  </w:pPr>
                  <w:r>
                    <w:rPr>
                      <w:color w:val="auto"/>
                      <w:szCs w:val="21"/>
                    </w:rPr>
                    <w:t>运输车辆</w:t>
                  </w:r>
                </w:p>
              </w:tc>
              <w:tc>
                <w:tcPr>
                  <w:tcW w:w="1444" w:type="pct"/>
                  <w:tcBorders>
                    <w:tl2br w:val="nil"/>
                    <w:tr2bl w:val="nil"/>
                  </w:tcBorders>
                  <w:vAlign w:val="center"/>
                </w:tcPr>
                <w:p w14:paraId="535B6E63">
                  <w:pPr>
                    <w:autoSpaceDE w:val="0"/>
                    <w:jc w:val="center"/>
                    <w:rPr>
                      <w:color w:val="auto"/>
                      <w:szCs w:val="21"/>
                    </w:rPr>
                  </w:pPr>
                  <w:r>
                    <w:rPr>
                      <w:color w:val="auto"/>
                      <w:szCs w:val="21"/>
                    </w:rPr>
                    <w:t>运输车辆行驶</w:t>
                  </w:r>
                </w:p>
              </w:tc>
              <w:tc>
                <w:tcPr>
                  <w:tcW w:w="1591" w:type="pct"/>
                  <w:tcBorders>
                    <w:tl2br w:val="nil"/>
                    <w:tr2bl w:val="nil"/>
                  </w:tcBorders>
                  <w:vAlign w:val="center"/>
                </w:tcPr>
                <w:p w14:paraId="7B2D7E09">
                  <w:pPr>
                    <w:autoSpaceDE w:val="0"/>
                    <w:jc w:val="center"/>
                    <w:rPr>
                      <w:color w:val="auto"/>
                      <w:szCs w:val="21"/>
                    </w:rPr>
                  </w:pPr>
                  <w:r>
                    <w:rPr>
                      <w:rFonts w:hint="eastAsia"/>
                      <w:color w:val="auto"/>
                      <w:szCs w:val="21"/>
                    </w:rPr>
                    <w:t>交通噪声</w:t>
                  </w:r>
                </w:p>
              </w:tc>
            </w:tr>
            <w:tr w14:paraId="1027F2A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vMerge w:val="continue"/>
                  <w:tcBorders>
                    <w:tl2br w:val="nil"/>
                    <w:tr2bl w:val="nil"/>
                  </w:tcBorders>
                  <w:vAlign w:val="center"/>
                </w:tcPr>
                <w:p w14:paraId="710BAB51">
                  <w:pPr>
                    <w:rPr>
                      <w:color w:val="auto"/>
                      <w:szCs w:val="21"/>
                    </w:rPr>
                  </w:pPr>
                </w:p>
              </w:tc>
              <w:tc>
                <w:tcPr>
                  <w:tcW w:w="1283" w:type="pct"/>
                  <w:tcBorders>
                    <w:tl2br w:val="nil"/>
                    <w:tr2bl w:val="nil"/>
                  </w:tcBorders>
                  <w:vAlign w:val="center"/>
                </w:tcPr>
                <w:p w14:paraId="6A70C226">
                  <w:pPr>
                    <w:autoSpaceDE w:val="0"/>
                    <w:jc w:val="center"/>
                    <w:rPr>
                      <w:color w:val="auto"/>
                      <w:szCs w:val="21"/>
                    </w:rPr>
                  </w:pPr>
                  <w:r>
                    <w:rPr>
                      <w:color w:val="auto"/>
                      <w:szCs w:val="21"/>
                    </w:rPr>
                    <w:t>施工人员</w:t>
                  </w:r>
                </w:p>
              </w:tc>
              <w:tc>
                <w:tcPr>
                  <w:tcW w:w="1444" w:type="pct"/>
                  <w:tcBorders>
                    <w:tl2br w:val="nil"/>
                    <w:tr2bl w:val="nil"/>
                  </w:tcBorders>
                  <w:vAlign w:val="center"/>
                </w:tcPr>
                <w:p w14:paraId="68185F0C">
                  <w:pPr>
                    <w:autoSpaceDE w:val="0"/>
                    <w:jc w:val="center"/>
                    <w:rPr>
                      <w:color w:val="auto"/>
                      <w:szCs w:val="21"/>
                    </w:rPr>
                  </w:pPr>
                  <w:r>
                    <w:rPr>
                      <w:color w:val="auto"/>
                      <w:szCs w:val="21"/>
                    </w:rPr>
                    <w:t>人员施工、生活</w:t>
                  </w:r>
                </w:p>
              </w:tc>
              <w:tc>
                <w:tcPr>
                  <w:tcW w:w="1591" w:type="pct"/>
                  <w:tcBorders>
                    <w:tl2br w:val="nil"/>
                    <w:tr2bl w:val="nil"/>
                  </w:tcBorders>
                  <w:vAlign w:val="center"/>
                </w:tcPr>
                <w:p w14:paraId="2477F7AA">
                  <w:pPr>
                    <w:autoSpaceDE w:val="0"/>
                    <w:jc w:val="center"/>
                    <w:rPr>
                      <w:color w:val="auto"/>
                      <w:szCs w:val="21"/>
                    </w:rPr>
                  </w:pPr>
                  <w:r>
                    <w:rPr>
                      <w:rFonts w:hint="eastAsia"/>
                      <w:color w:val="auto"/>
                      <w:szCs w:val="21"/>
                    </w:rPr>
                    <w:t>生活噪声</w:t>
                  </w:r>
                </w:p>
              </w:tc>
            </w:tr>
            <w:tr w14:paraId="34DD9F7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680" w:type="pct"/>
                  <w:tcBorders>
                    <w:tl2br w:val="nil"/>
                    <w:tr2bl w:val="nil"/>
                  </w:tcBorders>
                  <w:vAlign w:val="center"/>
                </w:tcPr>
                <w:p w14:paraId="365F6403">
                  <w:pPr>
                    <w:ind w:firstLine="210" w:firstLineChars="100"/>
                    <w:rPr>
                      <w:color w:val="auto"/>
                      <w:szCs w:val="21"/>
                    </w:rPr>
                  </w:pPr>
                  <w:r>
                    <w:rPr>
                      <w:color w:val="auto"/>
                      <w:szCs w:val="21"/>
                    </w:rPr>
                    <w:t>固废</w:t>
                  </w:r>
                </w:p>
              </w:tc>
              <w:tc>
                <w:tcPr>
                  <w:tcW w:w="1283" w:type="pct"/>
                  <w:tcBorders>
                    <w:tl2br w:val="nil"/>
                    <w:tr2bl w:val="nil"/>
                  </w:tcBorders>
                  <w:vAlign w:val="center"/>
                </w:tcPr>
                <w:p w14:paraId="6B7EAE81">
                  <w:pPr>
                    <w:jc w:val="center"/>
                    <w:rPr>
                      <w:color w:val="auto"/>
                      <w:szCs w:val="21"/>
                    </w:rPr>
                  </w:pPr>
                  <w:r>
                    <w:rPr>
                      <w:color w:val="auto"/>
                      <w:szCs w:val="21"/>
                    </w:rPr>
                    <w:t>建筑垃圾</w:t>
                  </w:r>
                </w:p>
              </w:tc>
              <w:tc>
                <w:tcPr>
                  <w:tcW w:w="1444" w:type="pct"/>
                  <w:tcBorders>
                    <w:tl2br w:val="nil"/>
                    <w:tr2bl w:val="nil"/>
                  </w:tcBorders>
                  <w:vAlign w:val="center"/>
                </w:tcPr>
                <w:p w14:paraId="62124BDF">
                  <w:pPr>
                    <w:autoSpaceDE w:val="0"/>
                    <w:jc w:val="center"/>
                    <w:rPr>
                      <w:color w:val="auto"/>
                      <w:szCs w:val="21"/>
                    </w:rPr>
                  </w:pPr>
                  <w:r>
                    <w:rPr>
                      <w:color w:val="auto"/>
                      <w:szCs w:val="21"/>
                    </w:rPr>
                    <w:t>施工过程</w:t>
                  </w:r>
                </w:p>
              </w:tc>
              <w:tc>
                <w:tcPr>
                  <w:tcW w:w="1591" w:type="pct"/>
                  <w:tcBorders>
                    <w:tl2br w:val="nil"/>
                    <w:tr2bl w:val="nil"/>
                  </w:tcBorders>
                  <w:vAlign w:val="center"/>
                </w:tcPr>
                <w:p w14:paraId="0341081D">
                  <w:pPr>
                    <w:autoSpaceDE w:val="0"/>
                    <w:jc w:val="center"/>
                    <w:rPr>
                      <w:color w:val="auto"/>
                      <w:szCs w:val="21"/>
                    </w:rPr>
                  </w:pPr>
                  <w:r>
                    <w:rPr>
                      <w:rFonts w:hint="eastAsia"/>
                      <w:color w:val="auto"/>
                      <w:szCs w:val="21"/>
                    </w:rPr>
                    <w:t>设备包装</w:t>
                  </w:r>
                </w:p>
              </w:tc>
            </w:tr>
            <w:tr w14:paraId="28F3153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tcBorders>
                    <w:tl2br w:val="nil"/>
                    <w:tr2bl w:val="nil"/>
                  </w:tcBorders>
                  <w:vAlign w:val="center"/>
                </w:tcPr>
                <w:p w14:paraId="446FA806">
                  <w:pPr>
                    <w:autoSpaceDE w:val="0"/>
                    <w:jc w:val="center"/>
                    <w:rPr>
                      <w:color w:val="auto"/>
                      <w:szCs w:val="21"/>
                    </w:rPr>
                  </w:pPr>
                  <w:r>
                    <w:rPr>
                      <w:color w:val="auto"/>
                      <w:szCs w:val="21"/>
                    </w:rPr>
                    <w:t>生态</w:t>
                  </w:r>
                </w:p>
              </w:tc>
              <w:tc>
                <w:tcPr>
                  <w:tcW w:w="4319" w:type="pct"/>
                  <w:gridSpan w:val="3"/>
                  <w:tcBorders>
                    <w:tl2br w:val="nil"/>
                    <w:tr2bl w:val="nil"/>
                  </w:tcBorders>
                  <w:vAlign w:val="center"/>
                </w:tcPr>
                <w:p w14:paraId="2ABA15FF">
                  <w:pPr>
                    <w:autoSpaceDE w:val="0"/>
                    <w:jc w:val="center"/>
                    <w:rPr>
                      <w:color w:val="auto"/>
                      <w:szCs w:val="21"/>
                    </w:rPr>
                  </w:pPr>
                  <w:r>
                    <w:rPr>
                      <w:color w:val="auto"/>
                      <w:szCs w:val="21"/>
                    </w:rPr>
                    <w:t>/</w:t>
                  </w:r>
                </w:p>
              </w:tc>
            </w:tr>
          </w:tbl>
          <w:p w14:paraId="57F1AFCD">
            <w:pPr>
              <w:autoSpaceDE w:val="0"/>
              <w:autoSpaceDN w:val="0"/>
              <w:adjustRightInd w:val="0"/>
              <w:spacing w:line="520" w:lineRule="exact"/>
              <w:ind w:firstLine="482" w:firstLineChars="200"/>
              <w:jc w:val="left"/>
              <w:rPr>
                <w:b/>
                <w:bCs/>
                <w:color w:val="auto"/>
                <w:kern w:val="0"/>
                <w:sz w:val="24"/>
              </w:rPr>
            </w:pPr>
            <w:r>
              <w:rPr>
                <w:rFonts w:hint="eastAsia"/>
                <w:b/>
                <w:bCs/>
                <w:color w:val="auto"/>
                <w:kern w:val="0"/>
                <w:sz w:val="24"/>
              </w:rPr>
              <w:t>二、运营期</w:t>
            </w:r>
          </w:p>
          <w:p w14:paraId="14FD50B1">
            <w:pPr>
              <w:autoSpaceDE w:val="0"/>
              <w:autoSpaceDN w:val="0"/>
              <w:adjustRightInd w:val="0"/>
              <w:spacing w:line="520" w:lineRule="exact"/>
              <w:ind w:firstLine="480" w:firstLineChars="200"/>
              <w:rPr>
                <w:bCs/>
                <w:color w:val="auto"/>
                <w:kern w:val="0"/>
                <w:sz w:val="24"/>
              </w:rPr>
            </w:pPr>
            <w:r>
              <w:rPr>
                <w:rFonts w:hint="eastAsia"/>
                <w:bCs/>
                <w:color w:val="auto"/>
                <w:kern w:val="0"/>
                <w:sz w:val="24"/>
              </w:rPr>
              <w:t>本项目运营期工艺流程及产污环节如</w:t>
            </w:r>
            <w:r>
              <w:rPr>
                <w:rFonts w:hint="eastAsia"/>
                <w:bCs/>
                <w:color w:val="auto"/>
                <w:kern w:val="0"/>
                <w:sz w:val="24"/>
                <w:lang w:val="en-US" w:eastAsia="zh-CN"/>
              </w:rPr>
              <w:t>图</w:t>
            </w:r>
            <w:r>
              <w:rPr>
                <w:rFonts w:hint="eastAsia"/>
                <w:bCs/>
                <w:color w:val="auto"/>
                <w:kern w:val="0"/>
                <w:sz w:val="24"/>
              </w:rPr>
              <w:t>2-</w:t>
            </w:r>
            <w:r>
              <w:rPr>
                <w:rFonts w:hint="eastAsia"/>
                <w:bCs/>
                <w:color w:val="auto"/>
                <w:kern w:val="0"/>
                <w:sz w:val="24"/>
                <w:lang w:val="en-US" w:eastAsia="zh-CN"/>
              </w:rPr>
              <w:t>2</w:t>
            </w:r>
            <w:r>
              <w:rPr>
                <w:rFonts w:hint="eastAsia"/>
                <w:bCs/>
                <w:color w:val="auto"/>
                <w:kern w:val="0"/>
                <w:sz w:val="24"/>
              </w:rPr>
              <w:t>：</w:t>
            </w:r>
          </w:p>
          <w:p w14:paraId="606BE72B">
            <w:pPr>
              <w:autoSpaceDE w:val="0"/>
              <w:autoSpaceDN w:val="0"/>
              <w:adjustRightInd w:val="0"/>
              <w:spacing w:line="520" w:lineRule="exact"/>
              <w:rPr>
                <w:bCs/>
                <w:color w:val="auto"/>
                <w:kern w:val="0"/>
                <w:sz w:val="24"/>
              </w:rPr>
            </w:pPr>
          </w:p>
          <w:p w14:paraId="1F5F37B9">
            <w:pPr>
              <w:autoSpaceDE w:val="0"/>
              <w:autoSpaceDN w:val="0"/>
              <w:adjustRightInd w:val="0"/>
              <w:ind w:firstLine="420" w:firstLineChars="200"/>
              <w:rPr>
                <w:rFonts w:hint="eastAsia" w:eastAsiaTheme="minorEastAsia"/>
                <w:color w:val="auto"/>
              </w:rPr>
            </w:pPr>
          </w:p>
          <w:p w14:paraId="1195A60F">
            <w:pPr>
              <w:autoSpaceDE w:val="0"/>
              <w:autoSpaceDN w:val="0"/>
              <w:adjustRightInd w:val="0"/>
              <w:ind w:firstLine="420" w:firstLineChars="200"/>
              <w:rPr>
                <w:rFonts w:hint="eastAsia" w:eastAsiaTheme="minorEastAsia"/>
                <w:color w:val="auto"/>
              </w:rPr>
            </w:pPr>
          </w:p>
          <w:p w14:paraId="1ADE2C97">
            <w:pPr>
              <w:autoSpaceDE w:val="0"/>
              <w:autoSpaceDN w:val="0"/>
              <w:adjustRightInd w:val="0"/>
              <w:ind w:firstLine="420" w:firstLineChars="200"/>
              <w:rPr>
                <w:rFonts w:hint="eastAsia" w:eastAsiaTheme="minorEastAsia"/>
                <w:color w:val="auto"/>
              </w:rPr>
            </w:pPr>
          </w:p>
          <w:p w14:paraId="36F7A7C8">
            <w:pPr>
              <w:autoSpaceDE w:val="0"/>
              <w:autoSpaceDN w:val="0"/>
              <w:adjustRightInd w:val="0"/>
              <w:ind w:firstLine="420" w:firstLineChars="200"/>
              <w:rPr>
                <w:rFonts w:hint="eastAsia" w:eastAsiaTheme="minorEastAsia"/>
                <w:color w:val="auto"/>
              </w:rPr>
            </w:pPr>
          </w:p>
          <w:p w14:paraId="0CCB707C">
            <w:pPr>
              <w:autoSpaceDE w:val="0"/>
              <w:autoSpaceDN w:val="0"/>
              <w:adjustRightInd w:val="0"/>
              <w:ind w:firstLine="420" w:firstLineChars="200"/>
              <w:rPr>
                <w:rFonts w:hint="eastAsia" w:eastAsiaTheme="minorEastAsia"/>
                <w:color w:val="auto"/>
              </w:rPr>
            </w:pPr>
          </w:p>
          <w:p w14:paraId="4CAC308F">
            <w:pPr>
              <w:autoSpaceDE w:val="0"/>
              <w:autoSpaceDN w:val="0"/>
              <w:adjustRightInd w:val="0"/>
              <w:ind w:firstLine="420" w:firstLineChars="200"/>
              <w:rPr>
                <w:rFonts w:hint="eastAsia" w:eastAsiaTheme="minorEastAsia"/>
                <w:color w:val="auto"/>
              </w:rPr>
            </w:pPr>
          </w:p>
          <w:p w14:paraId="047D31B3">
            <w:pPr>
              <w:autoSpaceDE w:val="0"/>
              <w:autoSpaceDN w:val="0"/>
              <w:adjustRightInd w:val="0"/>
              <w:ind w:firstLine="420" w:firstLineChars="200"/>
              <w:rPr>
                <w:rFonts w:hint="eastAsia" w:eastAsiaTheme="minorEastAsia"/>
                <w:color w:val="auto"/>
              </w:rPr>
            </w:pPr>
          </w:p>
          <w:p w14:paraId="4D004BEC">
            <w:pPr>
              <w:autoSpaceDE w:val="0"/>
              <w:autoSpaceDN w:val="0"/>
              <w:adjustRightInd w:val="0"/>
              <w:ind w:firstLine="420" w:firstLineChars="200"/>
              <w:rPr>
                <w:rFonts w:hint="eastAsia" w:eastAsiaTheme="minorEastAsia"/>
                <w:color w:val="auto"/>
              </w:rPr>
            </w:pPr>
          </w:p>
          <w:p w14:paraId="6CAB7BB2">
            <w:pPr>
              <w:autoSpaceDE w:val="0"/>
              <w:autoSpaceDN w:val="0"/>
              <w:adjustRightInd w:val="0"/>
              <w:ind w:firstLine="420" w:firstLineChars="200"/>
              <w:rPr>
                <w:rFonts w:hint="eastAsia" w:eastAsiaTheme="minorEastAsia"/>
                <w:color w:val="auto"/>
              </w:rPr>
            </w:pPr>
          </w:p>
          <w:p w14:paraId="5FCD611F">
            <w:pPr>
              <w:autoSpaceDE w:val="0"/>
              <w:autoSpaceDN w:val="0"/>
              <w:adjustRightInd w:val="0"/>
              <w:ind w:firstLine="420" w:firstLineChars="200"/>
              <w:rPr>
                <w:rFonts w:hint="eastAsia" w:eastAsiaTheme="minorEastAsia"/>
                <w:color w:val="auto"/>
              </w:rPr>
            </w:pPr>
          </w:p>
          <w:p w14:paraId="224B2A20">
            <w:pPr>
              <w:autoSpaceDE w:val="0"/>
              <w:autoSpaceDN w:val="0"/>
              <w:adjustRightInd w:val="0"/>
              <w:ind w:firstLine="420" w:firstLineChars="200"/>
              <w:jc w:val="center"/>
              <w:rPr>
                <w:rFonts w:hint="eastAsia" w:eastAsiaTheme="minorEastAsia"/>
                <w:color w:val="auto"/>
              </w:rPr>
            </w:pPr>
          </w:p>
          <w:p w14:paraId="6673E325">
            <w:pPr>
              <w:autoSpaceDE w:val="0"/>
              <w:autoSpaceDN w:val="0"/>
              <w:adjustRightInd w:val="0"/>
              <w:ind w:firstLine="420" w:firstLineChars="200"/>
              <w:jc w:val="center"/>
              <w:rPr>
                <w:rFonts w:hint="eastAsia" w:eastAsiaTheme="minorEastAsia"/>
                <w:color w:val="auto"/>
              </w:rPr>
            </w:pPr>
          </w:p>
          <w:p w14:paraId="5EA53BF4">
            <w:pPr>
              <w:autoSpaceDE w:val="0"/>
              <w:autoSpaceDN w:val="0"/>
              <w:adjustRightInd w:val="0"/>
              <w:ind w:firstLine="420" w:firstLineChars="200"/>
              <w:jc w:val="center"/>
              <w:rPr>
                <w:rFonts w:hint="eastAsia" w:eastAsiaTheme="minorEastAsia"/>
                <w:color w:val="auto"/>
              </w:rPr>
            </w:pPr>
            <w:r>
              <w:rPr>
                <w:rFonts w:hint="eastAsia" w:eastAsiaTheme="minorEastAsia"/>
                <w:color w:val="auto"/>
              </w:rPr>
              <w:drawing>
                <wp:inline distT="0" distB="0" distL="114300" distR="114300">
                  <wp:extent cx="3994785" cy="2546985"/>
                  <wp:effectExtent l="0" t="0" r="5715" b="5715"/>
                  <wp:docPr id="18" name="图片 18" descr="C:/Users/Administrator/Desktop/项目计算表、流程图/新疆德瑞公司/物料平衡(1).jpg物料平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项目计算表、流程图/新疆德瑞公司/物料平衡(1).jpg物料平衡(1)"/>
                          <pic:cNvPicPr>
                            <a:picLocks noChangeAspect="1"/>
                          </pic:cNvPicPr>
                        </pic:nvPicPr>
                        <pic:blipFill>
                          <a:blip r:embed="rId8"/>
                          <a:srcRect t="4729" b="4729"/>
                          <a:stretch>
                            <a:fillRect/>
                          </a:stretch>
                        </pic:blipFill>
                        <pic:spPr>
                          <a:xfrm>
                            <a:off x="0" y="0"/>
                            <a:ext cx="3994785" cy="2546985"/>
                          </a:xfrm>
                          <a:prstGeom prst="rect">
                            <a:avLst/>
                          </a:prstGeom>
                        </pic:spPr>
                      </pic:pic>
                    </a:graphicData>
                  </a:graphic>
                </wp:inline>
              </w:drawing>
            </w:r>
          </w:p>
          <w:p w14:paraId="019B1F8D">
            <w:pPr>
              <w:autoSpaceDE w:val="0"/>
              <w:autoSpaceDN w:val="0"/>
              <w:adjustRightInd w:val="0"/>
              <w:spacing w:line="520" w:lineRule="exact"/>
              <w:jc w:val="center"/>
              <w:rPr>
                <w:b/>
                <w:bCs/>
                <w:color w:val="auto"/>
                <w:kern w:val="0"/>
                <w:sz w:val="24"/>
                <w:szCs w:val="30"/>
              </w:rPr>
            </w:pPr>
            <w:r>
              <w:rPr>
                <w:b/>
                <w:bCs/>
                <w:color w:val="auto"/>
                <w:kern w:val="0"/>
              </w:rPr>
              <w:t>图2-</w:t>
            </w:r>
            <w:r>
              <w:rPr>
                <w:rFonts w:hint="eastAsia"/>
                <w:b/>
                <w:bCs/>
                <w:color w:val="auto"/>
                <w:kern w:val="0"/>
                <w:lang w:val="en-US" w:eastAsia="zh-CN"/>
              </w:rPr>
              <w:t>2</w:t>
            </w:r>
            <w:r>
              <w:rPr>
                <w:b/>
                <w:bCs/>
                <w:color w:val="auto"/>
                <w:kern w:val="0"/>
              </w:rPr>
              <w:t xml:space="preserve">  运营期</w:t>
            </w:r>
            <w:r>
              <w:rPr>
                <w:rFonts w:hint="eastAsia"/>
                <w:b/>
                <w:bCs/>
                <w:color w:val="auto"/>
                <w:kern w:val="0"/>
              </w:rPr>
              <w:t>工艺流程及产污环节</w:t>
            </w:r>
            <w:r>
              <w:rPr>
                <w:b/>
                <w:bCs/>
                <w:color w:val="auto"/>
                <w:kern w:val="0"/>
              </w:rPr>
              <w:t>图</w:t>
            </w:r>
          </w:p>
          <w:p w14:paraId="07F0D914">
            <w:pPr>
              <w:pStyle w:val="101"/>
              <w:widowControl/>
              <w:spacing w:line="360" w:lineRule="auto"/>
              <w:ind w:firstLineChars="0"/>
              <w:rPr>
                <w:rFonts w:ascii="Times New Roman" w:hAnsi="Times New Roman"/>
                <w:color w:val="auto"/>
                <w:kern w:val="0"/>
                <w:sz w:val="24"/>
                <w:szCs w:val="24"/>
              </w:rPr>
            </w:pPr>
          </w:p>
          <w:p w14:paraId="054C156D">
            <w:pPr>
              <w:pStyle w:val="101"/>
              <w:widowControl/>
              <w:spacing w:line="360" w:lineRule="auto"/>
              <w:ind w:firstLineChars="0"/>
              <w:rPr>
                <w:rFonts w:ascii="Times New Roman" w:hAnsi="Times New Roman"/>
                <w:color w:val="auto"/>
                <w:kern w:val="0"/>
                <w:sz w:val="24"/>
                <w:szCs w:val="24"/>
              </w:rPr>
            </w:pPr>
            <w:r>
              <w:rPr>
                <w:rFonts w:hint="eastAsia" w:ascii="Times New Roman" w:hAnsi="Times New Roman"/>
                <w:color w:val="auto"/>
                <w:kern w:val="0"/>
                <w:sz w:val="24"/>
                <w:szCs w:val="24"/>
              </w:rPr>
              <w:t>光伏管桩端板头</w:t>
            </w:r>
            <w:r>
              <w:rPr>
                <w:rFonts w:ascii="Times New Roman" w:hAnsi="Times New Roman"/>
                <w:color w:val="auto"/>
                <w:kern w:val="0"/>
                <w:sz w:val="24"/>
                <w:szCs w:val="24"/>
              </w:rPr>
              <w:t>工艺流程及产污环节简述：</w:t>
            </w:r>
          </w:p>
          <w:p w14:paraId="6019D8F0">
            <w:pPr>
              <w:pStyle w:val="101"/>
              <w:widowControl/>
              <w:spacing w:line="360" w:lineRule="auto"/>
              <w:ind w:firstLineChars="0"/>
              <w:rPr>
                <w:rFonts w:ascii="Times New Roman" w:hAnsi="Times New Roman"/>
                <w:color w:val="auto"/>
                <w:kern w:val="0"/>
                <w:sz w:val="24"/>
                <w:szCs w:val="24"/>
              </w:rPr>
            </w:pPr>
            <w:r>
              <w:rPr>
                <w:rFonts w:ascii="Times New Roman" w:hAnsi="Times New Roman"/>
                <w:color w:val="auto"/>
                <w:kern w:val="0"/>
                <w:sz w:val="24"/>
                <w:szCs w:val="24"/>
              </w:rPr>
              <w:t>（1）原材料储存及处理</w:t>
            </w:r>
          </w:p>
          <w:p w14:paraId="3BB40215">
            <w:pPr>
              <w:pStyle w:val="101"/>
              <w:widowControl/>
              <w:spacing w:line="360" w:lineRule="auto"/>
              <w:ind w:firstLineChars="0"/>
              <w:rPr>
                <w:rFonts w:ascii="Times New Roman" w:hAnsi="Times New Roman"/>
                <w:color w:val="auto"/>
                <w:kern w:val="0"/>
                <w:sz w:val="24"/>
                <w:szCs w:val="24"/>
              </w:rPr>
            </w:pPr>
            <w:r>
              <w:rPr>
                <w:rFonts w:ascii="Times New Roman" w:hAnsi="Times New Roman"/>
                <w:color w:val="auto"/>
                <w:kern w:val="0"/>
                <w:sz w:val="24"/>
                <w:szCs w:val="24"/>
              </w:rPr>
              <w:t>①</w:t>
            </w:r>
            <w:r>
              <w:rPr>
                <w:rFonts w:hint="eastAsia" w:ascii="Times New Roman" w:hAnsi="Times New Roman"/>
                <w:color w:val="auto"/>
                <w:kern w:val="0"/>
                <w:sz w:val="24"/>
                <w:szCs w:val="24"/>
              </w:rPr>
              <w:t>废钢铁</w:t>
            </w:r>
          </w:p>
          <w:p w14:paraId="58A9F7C9">
            <w:pPr>
              <w:pStyle w:val="101"/>
              <w:widowControl/>
              <w:spacing w:line="360" w:lineRule="auto"/>
              <w:ind w:firstLineChars="0"/>
              <w:rPr>
                <w:rFonts w:ascii="Times New Roman" w:hAnsi="Times New Roman"/>
                <w:color w:val="auto"/>
                <w:kern w:val="0"/>
                <w:sz w:val="24"/>
                <w:szCs w:val="24"/>
              </w:rPr>
            </w:pPr>
            <w:r>
              <w:rPr>
                <w:rFonts w:hint="eastAsia" w:ascii="Times New Roman" w:hAnsi="Times New Roman"/>
                <w:color w:val="auto"/>
                <w:kern w:val="0"/>
                <w:sz w:val="24"/>
                <w:szCs w:val="24"/>
              </w:rPr>
              <w:t>项目原材料为废钢材，购买的废钢材存储在封闭厂房内，由于是原料商按照进炉尺寸制成，因此生产运行时可直接投入到中频感应电炉内进行铸造</w:t>
            </w:r>
            <w:r>
              <w:rPr>
                <w:rFonts w:ascii="Times New Roman" w:hAnsi="Times New Roman"/>
                <w:color w:val="auto"/>
                <w:kern w:val="0"/>
                <w:sz w:val="24"/>
                <w:szCs w:val="24"/>
              </w:rPr>
              <w:t>。</w:t>
            </w:r>
          </w:p>
          <w:p w14:paraId="71B9A062">
            <w:pPr>
              <w:pStyle w:val="101"/>
              <w:widowControl/>
              <w:spacing w:line="360" w:lineRule="auto"/>
              <w:ind w:firstLineChars="0"/>
              <w:rPr>
                <w:rFonts w:ascii="Times New Roman" w:hAnsi="Times New Roman"/>
                <w:color w:val="auto"/>
                <w:kern w:val="0"/>
                <w:sz w:val="24"/>
                <w:szCs w:val="24"/>
              </w:rPr>
            </w:pPr>
            <w:r>
              <w:rPr>
                <w:rFonts w:ascii="Times New Roman" w:hAnsi="Times New Roman"/>
                <w:color w:val="auto"/>
                <w:kern w:val="0"/>
                <w:sz w:val="24"/>
                <w:szCs w:val="24"/>
              </w:rPr>
              <w:t>（2）</w:t>
            </w:r>
            <w:r>
              <w:rPr>
                <w:rFonts w:hint="eastAsia" w:ascii="Times New Roman" w:hAnsi="Times New Roman"/>
                <w:color w:val="auto"/>
                <w:kern w:val="0"/>
                <w:sz w:val="24"/>
                <w:szCs w:val="24"/>
              </w:rPr>
              <w:t>熔炼</w:t>
            </w:r>
          </w:p>
          <w:p w14:paraId="7DC80322">
            <w:pPr>
              <w:pStyle w:val="101"/>
              <w:widowControl/>
              <w:spacing w:line="360" w:lineRule="auto"/>
              <w:ind w:firstLineChars="0"/>
              <w:rPr>
                <w:rFonts w:ascii="Times New Roman" w:hAnsi="Times New Roman"/>
                <w:color w:val="auto"/>
                <w:kern w:val="0"/>
                <w:sz w:val="24"/>
                <w:szCs w:val="24"/>
              </w:rPr>
            </w:pPr>
            <w:r>
              <w:rPr>
                <w:rFonts w:hint="eastAsia" w:ascii="Times New Roman" w:hAnsi="Times New Roman"/>
                <w:color w:val="auto"/>
                <w:kern w:val="0"/>
                <w:sz w:val="24"/>
                <w:szCs w:val="24"/>
              </w:rPr>
              <w:t>原料在规格为3吨--3000Kw的中频感应电炉中进行煅烧，融化为液体。此过程会产生颗粒物及炉渣。</w:t>
            </w:r>
          </w:p>
          <w:p w14:paraId="087DF18A">
            <w:pPr>
              <w:pStyle w:val="101"/>
              <w:widowControl/>
              <w:numPr>
                <w:ilvl w:val="0"/>
                <w:numId w:val="2"/>
              </w:numPr>
              <w:spacing w:line="360" w:lineRule="auto"/>
              <w:ind w:firstLine="480"/>
              <w:rPr>
                <w:rFonts w:ascii="Times New Roman" w:hAnsi="Times New Roman"/>
                <w:color w:val="auto"/>
                <w:kern w:val="0"/>
                <w:sz w:val="24"/>
                <w:szCs w:val="24"/>
              </w:rPr>
            </w:pPr>
            <w:r>
              <w:rPr>
                <w:rFonts w:hint="eastAsia" w:ascii="Times New Roman" w:hAnsi="Times New Roman"/>
                <w:color w:val="auto"/>
                <w:kern w:val="0"/>
                <w:sz w:val="24"/>
                <w:szCs w:val="24"/>
              </w:rPr>
              <w:t>浇筑</w:t>
            </w:r>
          </w:p>
          <w:p w14:paraId="2D93A80E">
            <w:pPr>
              <w:pStyle w:val="101"/>
              <w:widowControl/>
              <w:spacing w:line="360" w:lineRule="auto"/>
              <w:ind w:firstLineChars="0"/>
              <w:rPr>
                <w:rFonts w:ascii="Times New Roman" w:hAnsi="Times New Roman"/>
                <w:color w:val="auto"/>
                <w:kern w:val="0"/>
                <w:sz w:val="24"/>
                <w:szCs w:val="24"/>
              </w:rPr>
            </w:pPr>
            <w:r>
              <w:rPr>
                <w:rFonts w:hint="eastAsia" w:ascii="Times New Roman" w:hAnsi="Times New Roman"/>
                <w:color w:val="auto"/>
                <w:kern w:val="0"/>
                <w:sz w:val="24"/>
                <w:szCs w:val="24"/>
              </w:rPr>
              <w:t>将电炉内熔炼好的钢材浇筑到金属模具中，在脱模剂的辅助下脱模。此过程会产生废模具及脱模剂外包装等一般固体废物、颗粒物及噪声。</w:t>
            </w:r>
          </w:p>
          <w:p w14:paraId="392E4999">
            <w:pPr>
              <w:pStyle w:val="101"/>
              <w:widowControl/>
              <w:spacing w:line="360" w:lineRule="auto"/>
              <w:ind w:firstLineChars="0"/>
              <w:rPr>
                <w:rFonts w:ascii="Times New Roman" w:hAnsi="Times New Roman"/>
                <w:color w:val="auto"/>
                <w:kern w:val="0"/>
                <w:sz w:val="24"/>
                <w:szCs w:val="24"/>
              </w:rPr>
            </w:pPr>
            <w:r>
              <w:rPr>
                <w:rFonts w:ascii="Times New Roman" w:hAnsi="Times New Roman"/>
                <w:color w:val="auto"/>
                <w:kern w:val="0"/>
                <w:sz w:val="24"/>
                <w:szCs w:val="24"/>
              </w:rPr>
              <w:t>（4）</w:t>
            </w:r>
            <w:r>
              <w:rPr>
                <w:rFonts w:hint="eastAsia" w:ascii="Times New Roman" w:hAnsi="Times New Roman"/>
                <w:color w:val="auto"/>
                <w:kern w:val="0"/>
                <w:sz w:val="24"/>
                <w:szCs w:val="24"/>
              </w:rPr>
              <w:t>连续塑形</w:t>
            </w:r>
          </w:p>
          <w:p w14:paraId="031824AD">
            <w:pPr>
              <w:pStyle w:val="101"/>
              <w:widowControl/>
              <w:spacing w:line="360" w:lineRule="auto"/>
              <w:ind w:firstLineChars="0"/>
              <w:rPr>
                <w:rFonts w:ascii="Times New Roman" w:hAnsi="Times New Roman"/>
                <w:color w:val="auto"/>
                <w:kern w:val="0"/>
                <w:sz w:val="24"/>
                <w:szCs w:val="24"/>
              </w:rPr>
            </w:pPr>
            <w:r>
              <w:rPr>
                <w:rFonts w:hint="eastAsia" w:ascii="Times New Roman" w:hAnsi="Times New Roman"/>
                <w:color w:val="auto"/>
                <w:kern w:val="0"/>
                <w:sz w:val="24"/>
                <w:szCs w:val="24"/>
              </w:rPr>
              <w:t>脱模后的半成品在电炉内一定温度的加持下，能够更好的被加工成需要的形状。此过程没有污染物的产生。</w:t>
            </w:r>
          </w:p>
          <w:p w14:paraId="30F81169">
            <w:pPr>
              <w:pStyle w:val="101"/>
              <w:widowControl/>
              <w:numPr>
                <w:ilvl w:val="0"/>
                <w:numId w:val="3"/>
              </w:numPr>
              <w:spacing w:line="360" w:lineRule="auto"/>
              <w:ind w:firstLineChars="0"/>
              <w:rPr>
                <w:rFonts w:ascii="Times New Roman" w:hAnsi="Times New Roman"/>
                <w:color w:val="auto"/>
                <w:kern w:val="0"/>
                <w:sz w:val="24"/>
                <w:szCs w:val="24"/>
              </w:rPr>
            </w:pPr>
            <w:r>
              <w:rPr>
                <w:rFonts w:hint="eastAsia" w:ascii="Times New Roman" w:hAnsi="Times New Roman"/>
                <w:color w:val="auto"/>
                <w:kern w:val="0"/>
                <w:sz w:val="24"/>
                <w:szCs w:val="24"/>
              </w:rPr>
              <w:t>裁剪、焊接及冲孔</w:t>
            </w:r>
          </w:p>
          <w:p w14:paraId="656AD786">
            <w:pPr>
              <w:spacing w:line="360" w:lineRule="auto"/>
              <w:ind w:firstLine="480" w:firstLineChars="200"/>
              <w:textAlignment w:val="baseline"/>
              <w:rPr>
                <w:color w:val="auto"/>
                <w:kern w:val="0"/>
                <w:sz w:val="24"/>
              </w:rPr>
            </w:pPr>
            <w:r>
              <w:rPr>
                <w:rFonts w:hint="eastAsia"/>
                <w:color w:val="auto"/>
                <w:kern w:val="0"/>
                <w:sz w:val="24"/>
              </w:rPr>
              <w:t>塑形后的半成品需要进行裁剪、焊接以及冲孔。裁剪过程会产生一定量的切割废料以及噪声，焊接过程会产生</w:t>
            </w:r>
            <w:r>
              <w:rPr>
                <w:rFonts w:hint="eastAsia"/>
                <w:color w:val="auto"/>
                <w:kern w:val="0"/>
                <w:sz w:val="24"/>
                <w:lang w:val="en-US" w:eastAsia="zh-CN"/>
              </w:rPr>
              <w:t>焊接烟尘</w:t>
            </w:r>
            <w:r>
              <w:rPr>
                <w:rFonts w:hint="eastAsia"/>
                <w:color w:val="auto"/>
                <w:kern w:val="0"/>
                <w:sz w:val="24"/>
              </w:rPr>
              <w:t>和噪声，冲孔过程会有产生残次品和噪声。</w:t>
            </w:r>
          </w:p>
          <w:p w14:paraId="51266CA2">
            <w:pPr>
              <w:spacing w:line="360" w:lineRule="auto"/>
              <w:ind w:firstLine="482" w:firstLineChars="200"/>
              <w:textAlignment w:val="baseline"/>
              <w:rPr>
                <w:rFonts w:ascii="宋体" w:hAnsi="宋体"/>
                <w:color w:val="auto"/>
                <w:kern w:val="0"/>
                <w:sz w:val="24"/>
              </w:rPr>
            </w:pPr>
            <w:r>
              <w:rPr>
                <w:rFonts w:hint="eastAsia" w:ascii="宋体" w:hAnsi="宋体"/>
                <w:b/>
                <w:bCs/>
                <w:color w:val="auto"/>
                <w:kern w:val="0"/>
                <w:sz w:val="24"/>
              </w:rPr>
              <w:t>产污分析说明：</w:t>
            </w:r>
          </w:p>
          <w:p w14:paraId="589EEBAA">
            <w:pPr>
              <w:pStyle w:val="101"/>
              <w:widowControl/>
              <w:spacing w:line="360" w:lineRule="auto"/>
              <w:ind w:firstLineChars="0"/>
              <w:rPr>
                <w:rFonts w:ascii="宋体" w:hAnsi="宋体"/>
                <w:color w:val="auto"/>
                <w:kern w:val="0"/>
                <w:sz w:val="24"/>
                <w:szCs w:val="24"/>
              </w:rPr>
            </w:pPr>
            <w:r>
              <w:rPr>
                <w:rFonts w:hint="eastAsia" w:ascii="宋体" w:hAnsi="宋体"/>
                <w:color w:val="auto"/>
                <w:kern w:val="0"/>
                <w:sz w:val="24"/>
                <w:szCs w:val="24"/>
              </w:rPr>
              <w:t>（1）废气：本项目废气主要为颗粒物。</w:t>
            </w:r>
          </w:p>
          <w:p w14:paraId="4FB676B3">
            <w:pPr>
              <w:pStyle w:val="101"/>
              <w:widowControl/>
              <w:spacing w:line="360" w:lineRule="auto"/>
              <w:ind w:firstLineChars="0"/>
              <w:rPr>
                <w:rFonts w:ascii="宋体" w:hAnsi="宋体"/>
                <w:color w:val="auto"/>
                <w:kern w:val="0"/>
                <w:sz w:val="24"/>
                <w:szCs w:val="24"/>
              </w:rPr>
            </w:pPr>
            <w:r>
              <w:rPr>
                <w:rFonts w:hint="eastAsia" w:ascii="宋体" w:hAnsi="宋体"/>
                <w:color w:val="auto"/>
                <w:kern w:val="0"/>
                <w:sz w:val="24"/>
                <w:szCs w:val="24"/>
              </w:rPr>
              <w:t xml:space="preserve">（2）废水：本项目废水主要为生产废水，包括锅炉冷却废水，和员工生活污水； </w:t>
            </w:r>
          </w:p>
          <w:p w14:paraId="05AF155A">
            <w:pPr>
              <w:pStyle w:val="101"/>
              <w:widowControl/>
              <w:spacing w:line="360" w:lineRule="auto"/>
              <w:ind w:firstLineChars="0"/>
              <w:rPr>
                <w:rFonts w:ascii="宋体" w:hAnsi="宋体"/>
                <w:color w:val="auto"/>
                <w:kern w:val="0"/>
                <w:sz w:val="24"/>
                <w:szCs w:val="24"/>
              </w:rPr>
            </w:pPr>
            <w:r>
              <w:rPr>
                <w:rFonts w:hint="eastAsia" w:ascii="宋体" w:hAnsi="宋体"/>
                <w:color w:val="auto"/>
                <w:kern w:val="0"/>
                <w:sz w:val="24"/>
                <w:szCs w:val="24"/>
              </w:rPr>
              <w:t>（</w:t>
            </w:r>
            <w:r>
              <w:rPr>
                <w:rFonts w:hint="eastAsia" w:ascii="宋体" w:hAnsi="宋体"/>
                <w:color w:val="auto"/>
                <w:kern w:val="0"/>
                <w:sz w:val="24"/>
                <w:szCs w:val="24"/>
                <w:lang w:val="en-US" w:eastAsia="zh-CN"/>
              </w:rPr>
              <w:t>3</w:t>
            </w:r>
            <w:r>
              <w:rPr>
                <w:rFonts w:hint="eastAsia" w:ascii="宋体" w:hAnsi="宋体"/>
                <w:color w:val="auto"/>
                <w:kern w:val="0"/>
                <w:sz w:val="24"/>
                <w:szCs w:val="24"/>
              </w:rPr>
              <w:t>）噪声：本项目噪声主要为生产设备所产生的噪声；</w:t>
            </w:r>
          </w:p>
          <w:p w14:paraId="0B0B7478">
            <w:pPr>
              <w:pStyle w:val="101"/>
              <w:widowControl/>
              <w:spacing w:line="360" w:lineRule="auto"/>
              <w:ind w:firstLineChars="0"/>
              <w:rPr>
                <w:color w:val="auto"/>
              </w:rPr>
            </w:pPr>
            <w:r>
              <w:rPr>
                <w:rFonts w:hint="eastAsia" w:ascii="宋体" w:hAnsi="宋体"/>
                <w:color w:val="auto"/>
                <w:kern w:val="0"/>
                <w:sz w:val="24"/>
              </w:rPr>
              <w:t>（</w:t>
            </w:r>
            <w:r>
              <w:rPr>
                <w:rFonts w:hint="eastAsia" w:ascii="宋体" w:hAnsi="宋体"/>
                <w:color w:val="auto"/>
                <w:kern w:val="0"/>
                <w:sz w:val="24"/>
                <w:lang w:val="en-US" w:eastAsia="zh-CN"/>
              </w:rPr>
              <w:t>4</w:t>
            </w:r>
            <w:r>
              <w:rPr>
                <w:rFonts w:hint="eastAsia" w:ascii="宋体" w:hAnsi="宋体"/>
                <w:color w:val="auto"/>
                <w:kern w:val="0"/>
                <w:sz w:val="24"/>
              </w:rPr>
              <w:t>）固体废物：本项目</w:t>
            </w:r>
            <w:r>
              <w:rPr>
                <w:rFonts w:hint="eastAsia" w:ascii="宋体" w:hAnsi="宋体"/>
                <w:color w:val="auto"/>
                <w:kern w:val="0"/>
                <w:sz w:val="24"/>
                <w:lang w:val="en-US" w:eastAsia="zh-CN"/>
              </w:rPr>
              <w:t>一般</w:t>
            </w:r>
            <w:r>
              <w:rPr>
                <w:rFonts w:hint="eastAsia" w:ascii="宋体" w:hAnsi="宋体"/>
                <w:color w:val="auto"/>
                <w:kern w:val="0"/>
                <w:sz w:val="24"/>
              </w:rPr>
              <w:t>固废主要为炉渣、废边角料、废模具、残次品、除尘灰</w:t>
            </w:r>
            <w:r>
              <w:rPr>
                <w:rFonts w:hint="eastAsia" w:ascii="宋体" w:hAnsi="宋体"/>
                <w:color w:val="auto"/>
                <w:kern w:val="0"/>
                <w:sz w:val="24"/>
                <w:lang w:eastAsia="zh-CN"/>
              </w:rPr>
              <w:t>、</w:t>
            </w:r>
            <w:r>
              <w:rPr>
                <w:rFonts w:hint="eastAsia" w:ascii="宋体" w:hAnsi="宋体"/>
                <w:color w:val="auto"/>
                <w:kern w:val="0"/>
                <w:sz w:val="24"/>
              </w:rPr>
              <w:t>脱模剂外包装</w:t>
            </w:r>
            <w:r>
              <w:rPr>
                <w:rFonts w:hint="eastAsia" w:ascii="宋体" w:hAnsi="宋体"/>
                <w:color w:val="auto"/>
                <w:sz w:val="24"/>
              </w:rPr>
              <w:t>和生活垃圾</w:t>
            </w:r>
            <w:r>
              <w:rPr>
                <w:rFonts w:hint="eastAsia" w:ascii="宋体" w:hAnsi="宋体"/>
                <w:color w:val="auto"/>
                <w:sz w:val="24"/>
                <w:lang w:eastAsia="zh-CN"/>
              </w:rPr>
              <w:t>，</w:t>
            </w:r>
            <w:r>
              <w:rPr>
                <w:rFonts w:hint="eastAsia" w:ascii="宋体" w:hAnsi="宋体"/>
                <w:color w:val="auto"/>
                <w:sz w:val="24"/>
                <w:lang w:val="en-US" w:eastAsia="zh-CN"/>
              </w:rPr>
              <w:t>危险废物主要为</w:t>
            </w:r>
            <w:r>
              <w:rPr>
                <w:rFonts w:hint="eastAsia" w:ascii="宋体" w:hAnsi="宋体"/>
                <w:color w:val="auto"/>
                <w:kern w:val="0"/>
                <w:sz w:val="24"/>
              </w:rPr>
              <w:t>废机油、废乳化液、废液压油</w:t>
            </w:r>
            <w:r>
              <w:rPr>
                <w:rFonts w:hint="eastAsia" w:ascii="宋体" w:hAnsi="宋体"/>
                <w:color w:val="auto"/>
                <w:sz w:val="24"/>
              </w:rPr>
              <w:t>。</w:t>
            </w:r>
          </w:p>
        </w:tc>
      </w:tr>
      <w:tr w14:paraId="36DEC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54" w:type="dxa"/>
            <w:vAlign w:val="center"/>
          </w:tcPr>
          <w:p w14:paraId="7C3FC6C8">
            <w:pPr>
              <w:pStyle w:val="19"/>
              <w:adjustRightInd w:val="0"/>
              <w:snapToGrid w:val="0"/>
              <w:spacing w:before="0" w:beforeAutospacing="0" w:after="0" w:afterAutospacing="0"/>
              <w:jc w:val="center"/>
              <w:rPr>
                <w:rFonts w:ascii="Times New Roman" w:hAnsi="Times New Roman" w:cs="宋体"/>
                <w:color w:val="auto"/>
                <w:sz w:val="21"/>
                <w:szCs w:val="21"/>
              </w:rPr>
            </w:pPr>
            <w:r>
              <w:rPr>
                <w:rFonts w:hint="eastAsia" w:ascii="Times New Roman" w:hAnsi="Times New Roman" w:cs="宋体"/>
                <w:bCs/>
                <w:color w:val="auto"/>
                <w:kern w:val="2"/>
                <w:szCs w:val="21"/>
              </w:rPr>
              <w:t>与项目有关的原有环境污染问题</w:t>
            </w:r>
          </w:p>
        </w:tc>
        <w:tc>
          <w:tcPr>
            <w:tcW w:w="8606" w:type="dxa"/>
          </w:tcPr>
          <w:p w14:paraId="3E875A33">
            <w:pPr>
              <w:spacing w:line="560" w:lineRule="exact"/>
              <w:ind w:firstLine="480" w:firstLineChars="200"/>
              <w:textAlignment w:val="baseline"/>
              <w:rPr>
                <w:color w:val="auto"/>
              </w:rPr>
            </w:pPr>
            <w:r>
              <w:rPr>
                <w:rFonts w:hint="eastAsia"/>
                <w:color w:val="auto"/>
                <w:sz w:val="24"/>
              </w:rPr>
              <w:t>本项目为新建项目，项目区用地、厂房为租赁新疆亿德新材料科技有限公司，新疆亿德新材料科技有限公司在项目区内建设了厂房、宿舍楼等，新疆德瑞机械有限公司租赁土地、厂房后，将对原有厂房改建，租赁合同见附件。新疆亿德新材料科技有限公司交付给新疆德瑞机械有限公司的租赁物已通过了环保、消防验收，项目区无原有环境污染问题。</w:t>
            </w:r>
          </w:p>
          <w:p w14:paraId="5AA917D1">
            <w:pPr>
              <w:pStyle w:val="88"/>
              <w:rPr>
                <w:color w:val="auto"/>
              </w:rPr>
            </w:pPr>
          </w:p>
        </w:tc>
      </w:tr>
    </w:tbl>
    <w:p w14:paraId="1EFB771E">
      <w:pPr>
        <w:pStyle w:val="19"/>
        <w:jc w:val="both"/>
        <w:rPr>
          <w:rFonts w:ascii="黑体" w:hAnsi="黑体"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1F1093A0">
      <w:pPr>
        <w:pStyle w:val="19"/>
        <w:adjustRightInd w:val="0"/>
        <w:snapToGrid w:val="0"/>
        <w:spacing w:before="0" w:beforeAutospacing="0" w:after="0" w:afterAutospacing="0" w:line="14" w:lineRule="auto"/>
        <w:jc w:val="center"/>
        <w:rPr>
          <w:rFonts w:ascii="黑体" w:hAnsi="黑体" w:eastAsia="黑体"/>
          <w:snapToGrid w:val="0"/>
          <w:color w:val="auto"/>
          <w:sz w:val="30"/>
          <w:szCs w:val="30"/>
        </w:rPr>
      </w:pPr>
    </w:p>
    <w:p w14:paraId="7DD59DCC">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60B43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00" w:type="dxa"/>
            <w:vAlign w:val="center"/>
          </w:tcPr>
          <w:p w14:paraId="2BA249E3">
            <w:pPr>
              <w:adjustRightInd w:val="0"/>
              <w:snapToGrid w:val="0"/>
              <w:jc w:val="center"/>
              <w:rPr>
                <w:rFonts w:cs="宋体"/>
                <w:color w:val="auto"/>
                <w:kern w:val="0"/>
                <w:sz w:val="24"/>
                <w:szCs w:val="21"/>
              </w:rPr>
            </w:pPr>
            <w:r>
              <w:rPr>
                <w:rFonts w:hint="eastAsia" w:cs="宋体"/>
                <w:color w:val="auto"/>
                <w:kern w:val="0"/>
                <w:sz w:val="24"/>
                <w:szCs w:val="21"/>
              </w:rPr>
              <w:t>区域</w:t>
            </w:r>
          </w:p>
          <w:p w14:paraId="2EC62382">
            <w:pPr>
              <w:adjustRightInd w:val="0"/>
              <w:snapToGrid w:val="0"/>
              <w:jc w:val="center"/>
              <w:rPr>
                <w:rFonts w:cs="宋体"/>
                <w:color w:val="auto"/>
                <w:kern w:val="0"/>
                <w:sz w:val="24"/>
                <w:szCs w:val="21"/>
              </w:rPr>
            </w:pPr>
            <w:r>
              <w:rPr>
                <w:rFonts w:hint="eastAsia" w:cs="宋体"/>
                <w:color w:val="auto"/>
                <w:kern w:val="0"/>
                <w:sz w:val="24"/>
                <w:szCs w:val="21"/>
              </w:rPr>
              <w:t>环境</w:t>
            </w:r>
          </w:p>
          <w:p w14:paraId="13CF6DEC">
            <w:pPr>
              <w:adjustRightInd w:val="0"/>
              <w:snapToGrid w:val="0"/>
              <w:jc w:val="center"/>
              <w:rPr>
                <w:rFonts w:cs="宋体"/>
                <w:color w:val="auto"/>
                <w:kern w:val="0"/>
                <w:sz w:val="24"/>
                <w:szCs w:val="21"/>
              </w:rPr>
            </w:pPr>
            <w:r>
              <w:rPr>
                <w:rFonts w:hint="eastAsia" w:cs="宋体"/>
                <w:color w:val="auto"/>
                <w:kern w:val="0"/>
                <w:sz w:val="24"/>
                <w:szCs w:val="21"/>
              </w:rPr>
              <w:t>质量</w:t>
            </w:r>
          </w:p>
          <w:p w14:paraId="7770F2D3">
            <w:pPr>
              <w:adjustRightInd w:val="0"/>
              <w:snapToGrid w:val="0"/>
              <w:jc w:val="center"/>
              <w:rPr>
                <w:rFonts w:cs="宋体"/>
                <w:color w:val="auto"/>
                <w:kern w:val="0"/>
                <w:szCs w:val="21"/>
              </w:rPr>
            </w:pPr>
            <w:r>
              <w:rPr>
                <w:rFonts w:hint="eastAsia" w:cs="宋体"/>
                <w:color w:val="auto"/>
                <w:kern w:val="0"/>
                <w:sz w:val="24"/>
                <w:szCs w:val="21"/>
              </w:rPr>
              <w:t>现状</w:t>
            </w:r>
          </w:p>
        </w:tc>
        <w:tc>
          <w:tcPr>
            <w:tcW w:w="8190" w:type="dxa"/>
            <w:vAlign w:val="center"/>
          </w:tcPr>
          <w:p w14:paraId="50B39C41">
            <w:pPr>
              <w:keepNext/>
              <w:keepLines/>
              <w:adjustRightInd w:val="0"/>
              <w:snapToGrid w:val="0"/>
              <w:spacing w:line="360" w:lineRule="auto"/>
              <w:ind w:firstLine="482" w:firstLineChars="200"/>
              <w:rPr>
                <w:b/>
                <w:bCs/>
                <w:color w:val="auto"/>
                <w:kern w:val="0"/>
                <w:sz w:val="24"/>
              </w:rPr>
            </w:pPr>
            <w:r>
              <w:rPr>
                <w:b/>
                <w:color w:val="auto"/>
                <w:kern w:val="0"/>
                <w:sz w:val="24"/>
              </w:rPr>
              <w:t>1、</w:t>
            </w:r>
            <w:r>
              <w:rPr>
                <w:b/>
                <w:bCs/>
                <w:color w:val="auto"/>
                <w:kern w:val="0"/>
                <w:sz w:val="24"/>
              </w:rPr>
              <w:t>环境空气</w:t>
            </w:r>
          </w:p>
          <w:p w14:paraId="4A45A6E0">
            <w:pPr>
              <w:pStyle w:val="52"/>
              <w:adjustRightInd w:val="0"/>
              <w:snapToGrid w:val="0"/>
              <w:ind w:firstLine="482" w:firstLineChars="200"/>
              <w:rPr>
                <w:b/>
                <w:color w:val="auto"/>
              </w:rPr>
            </w:pPr>
            <w:bookmarkStart w:id="6" w:name="_Hlk17886472"/>
            <w:r>
              <w:rPr>
                <w:rFonts w:hint="eastAsia"/>
                <w:b/>
                <w:color w:val="auto"/>
              </w:rPr>
              <w:t>1.1达标区判定</w:t>
            </w:r>
          </w:p>
          <w:p w14:paraId="7467820C">
            <w:pPr>
              <w:pStyle w:val="52"/>
              <w:adjustRightInd w:val="0"/>
              <w:snapToGrid w:val="0"/>
              <w:ind w:firstLine="480" w:firstLineChars="200"/>
              <w:rPr>
                <w:color w:val="auto"/>
              </w:rPr>
            </w:pPr>
            <w:r>
              <w:rPr>
                <w:color w:val="auto"/>
              </w:rPr>
              <w:t>《环境影响评价技术导则 大气环境》（HJ2.2-2018）规定：</w:t>
            </w:r>
            <w:r>
              <w:rPr>
                <w:rFonts w:hint="eastAsia"/>
                <w:color w:val="auto"/>
              </w:rPr>
              <w:t>“</w:t>
            </w:r>
            <w:r>
              <w:rPr>
                <w:color w:val="auto"/>
              </w:rPr>
              <w:t>城市环境空气质量达标情况评价指标为SO</w:t>
            </w:r>
            <w:r>
              <w:rPr>
                <w:color w:val="auto"/>
                <w:vertAlign w:val="subscript"/>
              </w:rPr>
              <w:t>2</w:t>
            </w:r>
            <w:r>
              <w:rPr>
                <w:color w:val="auto"/>
              </w:rPr>
              <w:t>、NO</w:t>
            </w:r>
            <w:r>
              <w:rPr>
                <w:color w:val="auto"/>
                <w:vertAlign w:val="subscript"/>
              </w:rPr>
              <w:t>2</w:t>
            </w:r>
            <w:r>
              <w:rPr>
                <w:color w:val="auto"/>
              </w:rPr>
              <w:t>、PM</w:t>
            </w:r>
            <w:r>
              <w:rPr>
                <w:color w:val="auto"/>
                <w:vertAlign w:val="subscript"/>
              </w:rPr>
              <w:t>10</w:t>
            </w:r>
            <w:r>
              <w:rPr>
                <w:color w:val="auto"/>
              </w:rPr>
              <w:t>、PM</w:t>
            </w:r>
            <w:r>
              <w:rPr>
                <w:color w:val="auto"/>
                <w:vertAlign w:val="subscript"/>
              </w:rPr>
              <w:t>2.5</w:t>
            </w:r>
            <w:r>
              <w:rPr>
                <w:color w:val="auto"/>
              </w:rPr>
              <w:t>、CO和O</w:t>
            </w:r>
            <w:r>
              <w:rPr>
                <w:color w:val="auto"/>
                <w:vertAlign w:val="subscript"/>
              </w:rPr>
              <w:t>3</w:t>
            </w:r>
            <w:r>
              <w:rPr>
                <w:color w:val="auto"/>
              </w:rPr>
              <w:t>，六项污染物全部达标即为城市环境空气质量达标</w:t>
            </w:r>
            <w:r>
              <w:rPr>
                <w:rFonts w:hint="eastAsia"/>
                <w:color w:val="auto"/>
              </w:rPr>
              <w:t>”</w:t>
            </w:r>
            <w:r>
              <w:rPr>
                <w:color w:val="auto"/>
              </w:rPr>
              <w:t>。</w:t>
            </w:r>
          </w:p>
          <w:p w14:paraId="5C0EF243">
            <w:pPr>
              <w:adjustRightInd w:val="0"/>
              <w:snapToGrid w:val="0"/>
              <w:spacing w:line="360" w:lineRule="auto"/>
              <w:ind w:firstLine="480" w:firstLineChars="200"/>
              <w:rPr>
                <w:color w:val="auto"/>
                <w:sz w:val="24"/>
              </w:rPr>
            </w:pPr>
            <w:r>
              <w:rPr>
                <w:rFonts w:hint="eastAsia"/>
                <w:color w:val="auto"/>
                <w:sz w:val="24"/>
              </w:rPr>
              <w:t>根据《建设项目环境影响报告表编制技术指南 （污染影响类）（试行）》</w:t>
            </w:r>
            <w:r>
              <w:rPr>
                <w:color w:val="auto"/>
                <w:sz w:val="24"/>
              </w:rPr>
              <w:t>，大气常规因子可直接采用国家或地方生态环保主管部门公开发布的评价基准年环境质量公告或环境质量报告中的数据或结论。本次</w:t>
            </w:r>
            <w:r>
              <w:rPr>
                <w:rFonts w:hint="eastAsia"/>
                <w:color w:val="auto"/>
                <w:sz w:val="24"/>
              </w:rPr>
              <w:t>引</w:t>
            </w:r>
            <w:r>
              <w:rPr>
                <w:color w:val="auto"/>
                <w:sz w:val="24"/>
              </w:rPr>
              <w:t>用</w:t>
            </w:r>
            <w:r>
              <w:rPr>
                <w:rFonts w:hint="eastAsia"/>
                <w:color w:val="auto"/>
                <w:sz w:val="24"/>
              </w:rPr>
              <w:t>较近的吐鲁番地区监测点2022年</w:t>
            </w:r>
            <w:r>
              <w:rPr>
                <w:color w:val="auto"/>
                <w:sz w:val="24"/>
              </w:rPr>
              <w:t>环境空气质量数据。</w:t>
            </w:r>
            <w:bookmarkEnd w:id="6"/>
          </w:p>
          <w:p w14:paraId="0B1AC924">
            <w:pPr>
              <w:pStyle w:val="19"/>
              <w:spacing w:before="0" w:beforeAutospacing="0" w:after="0" w:afterAutospacing="0" w:line="360" w:lineRule="auto"/>
              <w:ind w:firstLine="480" w:firstLineChars="200"/>
              <w:jc w:val="both"/>
              <w:rPr>
                <w:rFonts w:ascii="Times New Roman" w:hAnsi="Times New Roman"/>
                <w:color w:val="auto"/>
              </w:rPr>
            </w:pPr>
            <w:r>
              <w:rPr>
                <w:rFonts w:hint="eastAsia" w:ascii="Times New Roman" w:hAnsi="Times New Roman"/>
                <w:color w:val="auto"/>
              </w:rPr>
              <w:t>（1）评价标准</w:t>
            </w:r>
          </w:p>
          <w:p w14:paraId="6D3F3106">
            <w:pPr>
              <w:spacing w:line="360" w:lineRule="auto"/>
              <w:ind w:firstLine="480"/>
              <w:rPr>
                <w:bCs/>
                <w:color w:val="auto"/>
                <w:sz w:val="24"/>
                <w:szCs w:val="21"/>
              </w:rPr>
            </w:pPr>
            <w:r>
              <w:rPr>
                <w:rFonts w:hint="eastAsia"/>
                <w:color w:val="auto"/>
                <w:sz w:val="24"/>
                <w:szCs w:val="21"/>
              </w:rPr>
              <w:t>本次环境空气质量现状评价常规因子执行《环境空气质量标准》（</w:t>
            </w:r>
            <w:r>
              <w:rPr>
                <w:color w:val="auto"/>
                <w:sz w:val="24"/>
                <w:szCs w:val="21"/>
              </w:rPr>
              <w:t>GB3095-2012</w:t>
            </w:r>
            <w:r>
              <w:rPr>
                <w:rFonts w:hint="eastAsia"/>
                <w:color w:val="auto"/>
                <w:sz w:val="24"/>
                <w:szCs w:val="21"/>
              </w:rPr>
              <w:t>）中的二级标准</w:t>
            </w:r>
            <w:r>
              <w:rPr>
                <w:rFonts w:hint="eastAsia"/>
                <w:bCs/>
                <w:color w:val="auto"/>
                <w:sz w:val="24"/>
                <w:szCs w:val="21"/>
              </w:rPr>
              <w:t>。</w:t>
            </w:r>
          </w:p>
          <w:p w14:paraId="2AA3EFD3">
            <w:pPr>
              <w:adjustRightInd w:val="0"/>
              <w:snapToGrid w:val="0"/>
              <w:spacing w:line="360" w:lineRule="auto"/>
              <w:ind w:firstLine="480" w:firstLineChars="200"/>
              <w:rPr>
                <w:snapToGrid w:val="0"/>
                <w:color w:val="auto"/>
                <w:sz w:val="24"/>
                <w:szCs w:val="22"/>
              </w:rPr>
            </w:pPr>
            <w:r>
              <w:rPr>
                <w:rFonts w:hint="eastAsia"/>
                <w:snapToGrid w:val="0"/>
                <w:color w:val="auto"/>
                <w:sz w:val="24"/>
                <w:szCs w:val="22"/>
              </w:rPr>
              <w:t>（2）评价方法</w:t>
            </w:r>
          </w:p>
          <w:p w14:paraId="3FD38116">
            <w:pPr>
              <w:overflowPunct w:val="0"/>
              <w:adjustRightInd w:val="0"/>
              <w:snapToGrid w:val="0"/>
              <w:spacing w:line="360" w:lineRule="auto"/>
              <w:ind w:firstLine="480" w:firstLineChars="200"/>
              <w:rPr>
                <w:snapToGrid w:val="0"/>
                <w:color w:val="auto"/>
                <w:sz w:val="24"/>
                <w:szCs w:val="22"/>
              </w:rPr>
            </w:pPr>
            <w:r>
              <w:rPr>
                <w:rFonts w:hint="eastAsia"/>
                <w:snapToGrid w:val="0"/>
                <w:color w:val="auto"/>
                <w:sz w:val="24"/>
                <w:szCs w:val="22"/>
              </w:rPr>
              <w:t>评价方法采用最大质量浓度占相应标准质量浓度限值的百分比。计算公式如下：</w:t>
            </w:r>
          </w:p>
          <w:p w14:paraId="52B04713">
            <w:pPr>
              <w:spacing w:line="360" w:lineRule="auto"/>
              <w:ind w:firstLine="3120" w:firstLineChars="1300"/>
              <w:rPr>
                <w:color w:val="auto"/>
                <w:sz w:val="24"/>
              </w:rPr>
            </w:pPr>
            <w:r>
              <w:rPr>
                <w:color w:val="auto"/>
                <w:sz w:val="24"/>
              </w:rPr>
              <w:t>P</w:t>
            </w:r>
            <w:r>
              <w:rPr>
                <w:color w:val="auto"/>
                <w:sz w:val="24"/>
                <w:vertAlign w:val="subscript"/>
              </w:rPr>
              <w:t>i</w:t>
            </w:r>
            <w:r>
              <w:rPr>
                <w:color w:val="auto"/>
                <w:sz w:val="24"/>
              </w:rPr>
              <w:t>=C</w:t>
            </w:r>
            <w:r>
              <w:rPr>
                <w:color w:val="auto"/>
                <w:sz w:val="24"/>
                <w:vertAlign w:val="subscript"/>
              </w:rPr>
              <w:t>i</w:t>
            </w:r>
            <w:r>
              <w:rPr>
                <w:color w:val="auto"/>
                <w:sz w:val="24"/>
              </w:rPr>
              <w:t>/C</w:t>
            </w:r>
            <w:r>
              <w:rPr>
                <w:color w:val="auto"/>
                <w:sz w:val="24"/>
                <w:vertAlign w:val="subscript"/>
              </w:rPr>
              <w:t>oi</w:t>
            </w:r>
            <w:r>
              <w:rPr>
                <w:color w:val="auto"/>
                <w:sz w:val="24"/>
              </w:rPr>
              <w:t>×100%</w:t>
            </w:r>
          </w:p>
          <w:p w14:paraId="1BDCAF65">
            <w:pPr>
              <w:spacing w:line="360" w:lineRule="auto"/>
              <w:ind w:firstLine="480" w:firstLineChars="200"/>
              <w:rPr>
                <w:color w:val="auto"/>
                <w:sz w:val="24"/>
              </w:rPr>
            </w:pPr>
            <w:r>
              <w:rPr>
                <w:rFonts w:hint="eastAsia"/>
                <w:color w:val="auto"/>
                <w:sz w:val="24"/>
              </w:rPr>
              <w:t>式中：</w:t>
            </w:r>
            <w:r>
              <w:rPr>
                <w:color w:val="auto"/>
                <w:sz w:val="24"/>
              </w:rPr>
              <w:t>P</w:t>
            </w:r>
            <w:r>
              <w:rPr>
                <w:color w:val="auto"/>
                <w:sz w:val="24"/>
                <w:vertAlign w:val="subscript"/>
              </w:rPr>
              <w:t>i</w:t>
            </w:r>
            <w:r>
              <w:rPr>
                <w:color w:val="auto"/>
                <w:sz w:val="24"/>
              </w:rPr>
              <w:t>—</w:t>
            </w:r>
            <w:r>
              <w:rPr>
                <w:rFonts w:hint="eastAsia"/>
                <w:color w:val="auto"/>
                <w:sz w:val="24"/>
              </w:rPr>
              <w:t>某种污染物的最大地面质量浓度占标率，</w:t>
            </w:r>
            <w:r>
              <w:rPr>
                <w:color w:val="auto"/>
                <w:sz w:val="24"/>
              </w:rPr>
              <w:t>%</w:t>
            </w:r>
            <w:r>
              <w:rPr>
                <w:rFonts w:hint="eastAsia"/>
                <w:color w:val="auto"/>
                <w:sz w:val="24"/>
              </w:rPr>
              <w:t>；</w:t>
            </w:r>
          </w:p>
          <w:p w14:paraId="38C91299">
            <w:pPr>
              <w:spacing w:line="360" w:lineRule="auto"/>
              <w:ind w:firstLine="1200" w:firstLineChars="500"/>
              <w:rPr>
                <w:color w:val="auto"/>
                <w:sz w:val="24"/>
              </w:rPr>
            </w:pPr>
            <w:r>
              <w:rPr>
                <w:color w:val="auto"/>
                <w:sz w:val="24"/>
              </w:rPr>
              <w:t>C</w:t>
            </w:r>
            <w:r>
              <w:rPr>
                <w:color w:val="auto"/>
                <w:sz w:val="24"/>
                <w:vertAlign w:val="subscript"/>
              </w:rPr>
              <w:t>i</w:t>
            </w:r>
            <w:r>
              <w:rPr>
                <w:color w:val="auto"/>
                <w:sz w:val="24"/>
              </w:rPr>
              <w:t>—</w:t>
            </w:r>
            <w:r>
              <w:rPr>
                <w:rFonts w:hint="eastAsia"/>
                <w:color w:val="auto"/>
                <w:sz w:val="24"/>
              </w:rPr>
              <w:t>某种污染物的实际监测浓度，</w:t>
            </w:r>
            <w:r>
              <w:rPr>
                <w:color w:val="auto"/>
                <w:sz w:val="24"/>
              </w:rPr>
              <w:t>mg/m</w:t>
            </w:r>
            <w:r>
              <w:rPr>
                <w:color w:val="auto"/>
                <w:sz w:val="24"/>
                <w:vertAlign w:val="superscript"/>
              </w:rPr>
              <w:t>3</w:t>
            </w:r>
            <w:r>
              <w:rPr>
                <w:rFonts w:hint="eastAsia"/>
                <w:color w:val="auto"/>
                <w:sz w:val="24"/>
              </w:rPr>
              <w:t>；</w:t>
            </w:r>
          </w:p>
          <w:p w14:paraId="453A4A1A">
            <w:pPr>
              <w:spacing w:line="360" w:lineRule="auto"/>
              <w:ind w:firstLine="1200" w:firstLineChars="500"/>
              <w:rPr>
                <w:color w:val="auto"/>
                <w:sz w:val="24"/>
              </w:rPr>
            </w:pPr>
            <w:r>
              <w:rPr>
                <w:color w:val="auto"/>
                <w:sz w:val="24"/>
              </w:rPr>
              <w:t>C</w:t>
            </w:r>
            <w:r>
              <w:rPr>
                <w:color w:val="auto"/>
                <w:sz w:val="24"/>
                <w:vertAlign w:val="subscript"/>
              </w:rPr>
              <w:t>oi</w:t>
            </w:r>
            <w:r>
              <w:rPr>
                <w:color w:val="auto"/>
                <w:sz w:val="24"/>
              </w:rPr>
              <w:t>—</w:t>
            </w:r>
            <w:r>
              <w:rPr>
                <w:rFonts w:hint="eastAsia"/>
                <w:color w:val="auto"/>
                <w:sz w:val="24"/>
              </w:rPr>
              <w:t>某种污染物的环境空气标准浓度，</w:t>
            </w:r>
            <w:r>
              <w:rPr>
                <w:color w:val="auto"/>
                <w:sz w:val="24"/>
              </w:rPr>
              <w:t>mg/m</w:t>
            </w:r>
            <w:r>
              <w:rPr>
                <w:color w:val="auto"/>
                <w:sz w:val="24"/>
                <w:vertAlign w:val="superscript"/>
              </w:rPr>
              <w:t>3</w:t>
            </w:r>
            <w:r>
              <w:rPr>
                <w:rFonts w:hint="eastAsia"/>
                <w:color w:val="auto"/>
                <w:sz w:val="24"/>
              </w:rPr>
              <w:t>。</w:t>
            </w:r>
          </w:p>
          <w:p w14:paraId="57D2CBB6">
            <w:pPr>
              <w:numPr>
                <w:ilvl w:val="0"/>
                <w:numId w:val="4"/>
              </w:numPr>
              <w:overflowPunct w:val="0"/>
              <w:adjustRightInd w:val="0"/>
              <w:snapToGrid w:val="0"/>
              <w:spacing w:line="360" w:lineRule="auto"/>
              <w:ind w:firstLine="480" w:firstLineChars="200"/>
              <w:rPr>
                <w:snapToGrid w:val="0"/>
                <w:color w:val="auto"/>
                <w:sz w:val="24"/>
                <w:szCs w:val="22"/>
              </w:rPr>
            </w:pPr>
            <w:r>
              <w:rPr>
                <w:rFonts w:hint="eastAsia"/>
                <w:snapToGrid w:val="0"/>
                <w:color w:val="auto"/>
                <w:sz w:val="24"/>
                <w:szCs w:val="22"/>
              </w:rPr>
              <w:t>监测结果及评价</w:t>
            </w:r>
          </w:p>
          <w:p w14:paraId="5022E120">
            <w:pPr>
              <w:spacing w:line="360" w:lineRule="auto"/>
              <w:ind w:firstLine="422" w:firstLineChars="200"/>
              <w:jc w:val="center"/>
              <w:rPr>
                <w:b/>
                <w:color w:val="auto"/>
                <w:szCs w:val="21"/>
              </w:rPr>
            </w:pPr>
            <w:r>
              <w:rPr>
                <w:b/>
                <w:bCs/>
                <w:color w:val="auto"/>
                <w:szCs w:val="21"/>
              </w:rPr>
              <w:t xml:space="preserve">表3-1  </w:t>
            </w:r>
            <w:r>
              <w:rPr>
                <w:b/>
                <w:color w:val="auto"/>
                <w:szCs w:val="21"/>
              </w:rPr>
              <w:t>区域空气质量现状评价表</w:t>
            </w:r>
            <w:r>
              <w:rPr>
                <w:rFonts w:hint="eastAsia"/>
                <w:b/>
                <w:color w:val="auto"/>
                <w:szCs w:val="21"/>
              </w:rPr>
              <w:t xml:space="preserve">   </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156"/>
              <w:gridCol w:w="1051"/>
              <w:gridCol w:w="994"/>
              <w:gridCol w:w="939"/>
              <w:gridCol w:w="809"/>
            </w:tblGrid>
            <w:tr w14:paraId="227F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pct"/>
                  <w:vAlign w:val="center"/>
                </w:tcPr>
                <w:p w14:paraId="084608A9">
                  <w:pPr>
                    <w:pStyle w:val="19"/>
                    <w:widowControl w:val="0"/>
                    <w:autoSpaceDE w:val="0"/>
                    <w:spacing w:before="0" w:beforeAutospacing="0" w:after="0" w:afterAutospacing="0"/>
                    <w:jc w:val="center"/>
                    <w:rPr>
                      <w:rFonts w:ascii="Times New Roman" w:hAnsi="Times New Roman"/>
                      <w:b/>
                      <w:bCs/>
                      <w:color w:val="auto"/>
                      <w:spacing w:val="-4"/>
                      <w:kern w:val="2"/>
                      <w:sz w:val="21"/>
                      <w:szCs w:val="21"/>
                    </w:rPr>
                  </w:pPr>
                  <w:r>
                    <w:rPr>
                      <w:rFonts w:ascii="Times New Roman" w:hAnsi="Times New Roman"/>
                      <w:b/>
                      <w:bCs/>
                      <w:color w:val="auto"/>
                      <w:spacing w:val="-4"/>
                      <w:kern w:val="2"/>
                      <w:sz w:val="21"/>
                      <w:szCs w:val="21"/>
                      <w:lang w:bidi="ar"/>
                    </w:rPr>
                    <w:t>污染物</w:t>
                  </w:r>
                </w:p>
              </w:tc>
              <w:tc>
                <w:tcPr>
                  <w:tcW w:w="1980" w:type="pct"/>
                  <w:vAlign w:val="center"/>
                </w:tcPr>
                <w:p w14:paraId="6E8B5D0F">
                  <w:pPr>
                    <w:pStyle w:val="19"/>
                    <w:widowControl w:val="0"/>
                    <w:autoSpaceDE w:val="0"/>
                    <w:spacing w:before="0" w:beforeAutospacing="0" w:after="0" w:afterAutospacing="0"/>
                    <w:jc w:val="center"/>
                    <w:rPr>
                      <w:rFonts w:ascii="Times New Roman" w:hAnsi="Times New Roman"/>
                      <w:b/>
                      <w:bCs/>
                      <w:color w:val="auto"/>
                      <w:spacing w:val="-4"/>
                      <w:kern w:val="2"/>
                      <w:sz w:val="21"/>
                      <w:szCs w:val="21"/>
                    </w:rPr>
                  </w:pPr>
                  <w:r>
                    <w:rPr>
                      <w:rFonts w:ascii="Times New Roman" w:hAnsi="Times New Roman"/>
                      <w:b/>
                      <w:bCs/>
                      <w:color w:val="auto"/>
                      <w:spacing w:val="-4"/>
                      <w:kern w:val="2"/>
                      <w:sz w:val="21"/>
                      <w:szCs w:val="21"/>
                      <w:lang w:bidi="ar"/>
                    </w:rPr>
                    <w:t>年评价指标</w:t>
                  </w:r>
                </w:p>
              </w:tc>
              <w:tc>
                <w:tcPr>
                  <w:tcW w:w="659" w:type="pct"/>
                  <w:vAlign w:val="center"/>
                </w:tcPr>
                <w:p w14:paraId="537419CC">
                  <w:pPr>
                    <w:pStyle w:val="19"/>
                    <w:widowControl w:val="0"/>
                    <w:autoSpaceDE w:val="0"/>
                    <w:spacing w:before="0" w:beforeAutospacing="0" w:after="0" w:afterAutospacing="0"/>
                    <w:jc w:val="center"/>
                    <w:rPr>
                      <w:rFonts w:ascii="Times New Roman" w:hAnsi="Times New Roman"/>
                      <w:b/>
                      <w:bCs/>
                      <w:color w:val="auto"/>
                      <w:spacing w:val="-4"/>
                      <w:kern w:val="2"/>
                      <w:sz w:val="21"/>
                      <w:szCs w:val="21"/>
                    </w:rPr>
                  </w:pPr>
                  <w:r>
                    <w:rPr>
                      <w:rFonts w:ascii="Times New Roman" w:hAnsi="Times New Roman"/>
                      <w:b/>
                      <w:bCs/>
                      <w:color w:val="auto"/>
                      <w:spacing w:val="-4"/>
                      <w:kern w:val="2"/>
                      <w:sz w:val="21"/>
                      <w:szCs w:val="21"/>
                      <w:lang w:bidi="ar"/>
                    </w:rPr>
                    <w:t>现状浓度</w:t>
                  </w:r>
                  <w:r>
                    <w:rPr>
                      <w:rFonts w:ascii="Times New Roman" w:hAnsi="Times New Roman"/>
                      <w:b/>
                      <w:bCs/>
                      <w:color w:val="auto"/>
                      <w:kern w:val="2"/>
                      <w:sz w:val="21"/>
                      <w:szCs w:val="21"/>
                      <w:lang w:bidi="ar"/>
                    </w:rPr>
                    <w:t>µg/m</w:t>
                  </w:r>
                  <w:r>
                    <w:rPr>
                      <w:rFonts w:ascii="Times New Roman" w:hAnsi="Times New Roman"/>
                      <w:b/>
                      <w:bCs/>
                      <w:color w:val="auto"/>
                      <w:kern w:val="2"/>
                      <w:sz w:val="21"/>
                      <w:szCs w:val="21"/>
                      <w:vertAlign w:val="superscript"/>
                      <w:lang w:bidi="ar"/>
                    </w:rPr>
                    <w:t>3</w:t>
                  </w:r>
                </w:p>
              </w:tc>
              <w:tc>
                <w:tcPr>
                  <w:tcW w:w="624" w:type="pct"/>
                  <w:vAlign w:val="center"/>
                </w:tcPr>
                <w:p w14:paraId="72F18AB9">
                  <w:pPr>
                    <w:pStyle w:val="19"/>
                    <w:widowControl w:val="0"/>
                    <w:autoSpaceDE w:val="0"/>
                    <w:spacing w:before="0" w:beforeAutospacing="0" w:after="0" w:afterAutospacing="0"/>
                    <w:jc w:val="center"/>
                    <w:rPr>
                      <w:rFonts w:ascii="Times New Roman" w:hAnsi="Times New Roman"/>
                      <w:b/>
                      <w:bCs/>
                      <w:color w:val="auto"/>
                      <w:spacing w:val="-4"/>
                      <w:kern w:val="2"/>
                      <w:sz w:val="21"/>
                      <w:szCs w:val="21"/>
                    </w:rPr>
                  </w:pPr>
                  <w:r>
                    <w:rPr>
                      <w:rFonts w:ascii="Times New Roman" w:hAnsi="Times New Roman"/>
                      <w:b/>
                      <w:bCs/>
                      <w:color w:val="auto"/>
                      <w:kern w:val="2"/>
                      <w:sz w:val="21"/>
                      <w:szCs w:val="21"/>
                      <w:lang w:bidi="ar"/>
                    </w:rPr>
                    <w:t>标准值µg/m</w:t>
                  </w:r>
                  <w:r>
                    <w:rPr>
                      <w:rFonts w:ascii="Times New Roman" w:hAnsi="Times New Roman"/>
                      <w:b/>
                      <w:bCs/>
                      <w:color w:val="auto"/>
                      <w:kern w:val="2"/>
                      <w:sz w:val="21"/>
                      <w:szCs w:val="21"/>
                      <w:vertAlign w:val="superscript"/>
                      <w:lang w:bidi="ar"/>
                    </w:rPr>
                    <w:t>3</w:t>
                  </w:r>
                </w:p>
              </w:tc>
              <w:tc>
                <w:tcPr>
                  <w:tcW w:w="590" w:type="pct"/>
                  <w:vAlign w:val="center"/>
                </w:tcPr>
                <w:p w14:paraId="0E0F0692">
                  <w:pPr>
                    <w:pStyle w:val="19"/>
                    <w:widowControl w:val="0"/>
                    <w:autoSpaceDE w:val="0"/>
                    <w:spacing w:before="0" w:beforeAutospacing="0" w:after="0" w:afterAutospacing="0"/>
                    <w:jc w:val="center"/>
                    <w:rPr>
                      <w:rFonts w:ascii="Times New Roman" w:hAnsi="Times New Roman"/>
                      <w:b/>
                      <w:bCs/>
                      <w:color w:val="auto"/>
                      <w:spacing w:val="-4"/>
                      <w:kern w:val="2"/>
                      <w:sz w:val="21"/>
                      <w:szCs w:val="21"/>
                    </w:rPr>
                  </w:pPr>
                  <w:r>
                    <w:rPr>
                      <w:rFonts w:ascii="Times New Roman" w:hAnsi="Times New Roman"/>
                      <w:b/>
                      <w:bCs/>
                      <w:color w:val="auto"/>
                      <w:kern w:val="2"/>
                      <w:sz w:val="21"/>
                      <w:szCs w:val="21"/>
                      <w:lang w:bidi="ar"/>
                    </w:rPr>
                    <w:t>占标率%</w:t>
                  </w:r>
                </w:p>
              </w:tc>
              <w:tc>
                <w:tcPr>
                  <w:tcW w:w="508" w:type="pct"/>
                  <w:vAlign w:val="center"/>
                </w:tcPr>
                <w:p w14:paraId="0526A20E">
                  <w:pPr>
                    <w:pStyle w:val="19"/>
                    <w:widowControl w:val="0"/>
                    <w:autoSpaceDE w:val="0"/>
                    <w:spacing w:before="0" w:beforeAutospacing="0" w:after="0" w:afterAutospacing="0"/>
                    <w:jc w:val="center"/>
                    <w:rPr>
                      <w:rFonts w:ascii="Times New Roman" w:hAnsi="Times New Roman"/>
                      <w:b/>
                      <w:bCs/>
                      <w:color w:val="auto"/>
                      <w:spacing w:val="-4"/>
                      <w:kern w:val="2"/>
                      <w:sz w:val="21"/>
                      <w:szCs w:val="21"/>
                    </w:rPr>
                  </w:pPr>
                  <w:r>
                    <w:rPr>
                      <w:rFonts w:ascii="Times New Roman" w:hAnsi="Times New Roman"/>
                      <w:b/>
                      <w:bCs/>
                      <w:color w:val="auto"/>
                      <w:kern w:val="2"/>
                      <w:sz w:val="21"/>
                      <w:szCs w:val="21"/>
                      <w:lang w:bidi="ar"/>
                    </w:rPr>
                    <w:t>达标情况</w:t>
                  </w:r>
                </w:p>
              </w:tc>
            </w:tr>
            <w:tr w14:paraId="7ED1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635" w:type="pct"/>
                  <w:vAlign w:val="center"/>
                </w:tcPr>
                <w:p w14:paraId="547A256D">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SO</w:t>
                  </w:r>
                  <w:r>
                    <w:rPr>
                      <w:rFonts w:ascii="Times New Roman" w:hAnsi="Times New Roman"/>
                      <w:color w:val="auto"/>
                      <w:spacing w:val="-4"/>
                      <w:kern w:val="2"/>
                      <w:sz w:val="21"/>
                      <w:szCs w:val="21"/>
                      <w:vertAlign w:val="subscript"/>
                      <w:lang w:bidi="ar"/>
                    </w:rPr>
                    <w:t>2</w:t>
                  </w:r>
                </w:p>
              </w:tc>
              <w:tc>
                <w:tcPr>
                  <w:tcW w:w="1980" w:type="pct"/>
                  <w:vAlign w:val="center"/>
                </w:tcPr>
                <w:p w14:paraId="2874E26D">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kern w:val="2"/>
                      <w:sz w:val="21"/>
                      <w:szCs w:val="21"/>
                      <w:lang w:bidi="ar"/>
                    </w:rPr>
                    <w:t>年平均质量浓度</w:t>
                  </w:r>
                </w:p>
              </w:tc>
              <w:tc>
                <w:tcPr>
                  <w:tcW w:w="659" w:type="pct"/>
                  <w:vAlign w:val="center"/>
                </w:tcPr>
                <w:p w14:paraId="310BA7B8">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rPr>
                    <w:t>7</w:t>
                  </w:r>
                </w:p>
              </w:tc>
              <w:tc>
                <w:tcPr>
                  <w:tcW w:w="624" w:type="pct"/>
                  <w:vAlign w:val="center"/>
                </w:tcPr>
                <w:p w14:paraId="158475A1">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60</w:t>
                  </w:r>
                </w:p>
              </w:tc>
              <w:tc>
                <w:tcPr>
                  <w:tcW w:w="590" w:type="pct"/>
                  <w:vAlign w:val="center"/>
                </w:tcPr>
                <w:p w14:paraId="374A3614">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rPr>
                    <w:t>12.67</w:t>
                  </w:r>
                </w:p>
              </w:tc>
              <w:tc>
                <w:tcPr>
                  <w:tcW w:w="508" w:type="pct"/>
                  <w:vAlign w:val="center"/>
                </w:tcPr>
                <w:p w14:paraId="633993DB">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达标</w:t>
                  </w:r>
                </w:p>
              </w:tc>
            </w:tr>
            <w:tr w14:paraId="4E07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pct"/>
                  <w:vAlign w:val="center"/>
                </w:tcPr>
                <w:p w14:paraId="58879074">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NO</w:t>
                  </w:r>
                  <w:r>
                    <w:rPr>
                      <w:rFonts w:ascii="Times New Roman" w:hAnsi="Times New Roman"/>
                      <w:color w:val="auto"/>
                      <w:spacing w:val="-4"/>
                      <w:kern w:val="2"/>
                      <w:sz w:val="21"/>
                      <w:szCs w:val="21"/>
                      <w:vertAlign w:val="subscript"/>
                      <w:lang w:bidi="ar"/>
                    </w:rPr>
                    <w:t>2</w:t>
                  </w:r>
                </w:p>
              </w:tc>
              <w:tc>
                <w:tcPr>
                  <w:tcW w:w="1980" w:type="pct"/>
                  <w:vAlign w:val="center"/>
                </w:tcPr>
                <w:p w14:paraId="5A9359B5">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kern w:val="2"/>
                      <w:sz w:val="21"/>
                      <w:szCs w:val="21"/>
                      <w:lang w:bidi="ar"/>
                    </w:rPr>
                    <w:t>年平均质量浓度</w:t>
                  </w:r>
                </w:p>
              </w:tc>
              <w:tc>
                <w:tcPr>
                  <w:tcW w:w="659" w:type="pct"/>
                  <w:vAlign w:val="center"/>
                </w:tcPr>
                <w:p w14:paraId="534122E8">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rPr>
                    <w:t>29</w:t>
                  </w:r>
                </w:p>
              </w:tc>
              <w:tc>
                <w:tcPr>
                  <w:tcW w:w="624" w:type="pct"/>
                  <w:vAlign w:val="center"/>
                </w:tcPr>
                <w:p w14:paraId="56EFEE50">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40</w:t>
                  </w:r>
                </w:p>
              </w:tc>
              <w:tc>
                <w:tcPr>
                  <w:tcW w:w="590" w:type="pct"/>
                  <w:vAlign w:val="center"/>
                </w:tcPr>
                <w:p w14:paraId="3E9AA53C">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rPr>
                    <w:t>72.5</w:t>
                  </w:r>
                </w:p>
              </w:tc>
              <w:tc>
                <w:tcPr>
                  <w:tcW w:w="508" w:type="pct"/>
                  <w:vAlign w:val="center"/>
                </w:tcPr>
                <w:p w14:paraId="64FBE27C">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达标</w:t>
                  </w:r>
                </w:p>
              </w:tc>
            </w:tr>
            <w:tr w14:paraId="304F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pct"/>
                  <w:vAlign w:val="center"/>
                </w:tcPr>
                <w:p w14:paraId="51DF4D55">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PM</w:t>
                  </w:r>
                  <w:r>
                    <w:rPr>
                      <w:rFonts w:ascii="Times New Roman" w:hAnsi="Times New Roman"/>
                      <w:color w:val="auto"/>
                      <w:spacing w:val="-4"/>
                      <w:kern w:val="2"/>
                      <w:sz w:val="21"/>
                      <w:szCs w:val="21"/>
                      <w:vertAlign w:val="subscript"/>
                      <w:lang w:bidi="ar"/>
                    </w:rPr>
                    <w:t>10</w:t>
                  </w:r>
                </w:p>
              </w:tc>
              <w:tc>
                <w:tcPr>
                  <w:tcW w:w="1980" w:type="pct"/>
                  <w:vAlign w:val="center"/>
                </w:tcPr>
                <w:p w14:paraId="3F91DCA6">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kern w:val="2"/>
                      <w:sz w:val="21"/>
                      <w:szCs w:val="21"/>
                      <w:lang w:bidi="ar"/>
                    </w:rPr>
                    <w:t>年平均质量浓度</w:t>
                  </w:r>
                </w:p>
              </w:tc>
              <w:tc>
                <w:tcPr>
                  <w:tcW w:w="659" w:type="pct"/>
                  <w:vAlign w:val="center"/>
                </w:tcPr>
                <w:p w14:paraId="0E8187DE">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rPr>
                    <w:t>101</w:t>
                  </w:r>
                </w:p>
              </w:tc>
              <w:tc>
                <w:tcPr>
                  <w:tcW w:w="624" w:type="pct"/>
                  <w:vAlign w:val="center"/>
                </w:tcPr>
                <w:p w14:paraId="6B8FFD7F">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70</w:t>
                  </w:r>
                </w:p>
              </w:tc>
              <w:tc>
                <w:tcPr>
                  <w:tcW w:w="590" w:type="pct"/>
                  <w:vAlign w:val="center"/>
                </w:tcPr>
                <w:p w14:paraId="3057C23D">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rPr>
                    <w:t>144.29</w:t>
                  </w:r>
                </w:p>
              </w:tc>
              <w:tc>
                <w:tcPr>
                  <w:tcW w:w="508" w:type="pct"/>
                  <w:vAlign w:val="center"/>
                </w:tcPr>
                <w:p w14:paraId="167CFD80">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超标</w:t>
                  </w:r>
                </w:p>
              </w:tc>
            </w:tr>
            <w:tr w14:paraId="3336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pct"/>
                  <w:vAlign w:val="center"/>
                </w:tcPr>
                <w:p w14:paraId="631A6A56">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PM</w:t>
                  </w:r>
                  <w:r>
                    <w:rPr>
                      <w:rFonts w:ascii="Times New Roman" w:hAnsi="Times New Roman"/>
                      <w:color w:val="auto"/>
                      <w:spacing w:val="-4"/>
                      <w:kern w:val="2"/>
                      <w:sz w:val="21"/>
                      <w:szCs w:val="21"/>
                      <w:vertAlign w:val="subscript"/>
                      <w:lang w:bidi="ar"/>
                    </w:rPr>
                    <w:t>2.5</w:t>
                  </w:r>
                </w:p>
              </w:tc>
              <w:tc>
                <w:tcPr>
                  <w:tcW w:w="1980" w:type="pct"/>
                  <w:vAlign w:val="center"/>
                </w:tcPr>
                <w:p w14:paraId="39E3E5BB">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kern w:val="2"/>
                      <w:sz w:val="21"/>
                      <w:szCs w:val="21"/>
                      <w:lang w:bidi="ar"/>
                    </w:rPr>
                    <w:t>年平均质量浓度</w:t>
                  </w:r>
                </w:p>
              </w:tc>
              <w:tc>
                <w:tcPr>
                  <w:tcW w:w="659" w:type="pct"/>
                  <w:vAlign w:val="center"/>
                </w:tcPr>
                <w:p w14:paraId="5ED49C41">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rPr>
                    <w:t>41</w:t>
                  </w:r>
                </w:p>
              </w:tc>
              <w:tc>
                <w:tcPr>
                  <w:tcW w:w="624" w:type="pct"/>
                  <w:vAlign w:val="center"/>
                </w:tcPr>
                <w:p w14:paraId="17A1703A">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35</w:t>
                  </w:r>
                </w:p>
              </w:tc>
              <w:tc>
                <w:tcPr>
                  <w:tcW w:w="590" w:type="pct"/>
                  <w:vAlign w:val="center"/>
                </w:tcPr>
                <w:p w14:paraId="008E7449">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rPr>
                    <w:t>117.14</w:t>
                  </w:r>
                </w:p>
              </w:tc>
              <w:tc>
                <w:tcPr>
                  <w:tcW w:w="508" w:type="pct"/>
                  <w:vAlign w:val="center"/>
                </w:tcPr>
                <w:p w14:paraId="43536A58">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超标</w:t>
                  </w:r>
                </w:p>
              </w:tc>
            </w:tr>
            <w:tr w14:paraId="43F3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pct"/>
                  <w:vAlign w:val="center"/>
                </w:tcPr>
                <w:p w14:paraId="43B86D01">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CO</w:t>
                  </w:r>
                </w:p>
              </w:tc>
              <w:tc>
                <w:tcPr>
                  <w:tcW w:w="1980" w:type="pct"/>
                  <w:vAlign w:val="center"/>
                </w:tcPr>
                <w:p w14:paraId="273D6D0B">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24小时平均第95百分位数</w:t>
                  </w:r>
                </w:p>
              </w:tc>
              <w:tc>
                <w:tcPr>
                  <w:tcW w:w="659" w:type="pct"/>
                  <w:vAlign w:val="center"/>
                </w:tcPr>
                <w:p w14:paraId="16ECA544">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rPr>
                    <w:t>2700</w:t>
                  </w:r>
                </w:p>
              </w:tc>
              <w:tc>
                <w:tcPr>
                  <w:tcW w:w="624" w:type="pct"/>
                  <w:vAlign w:val="center"/>
                </w:tcPr>
                <w:p w14:paraId="50E9E86D">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4000</w:t>
                  </w:r>
                </w:p>
              </w:tc>
              <w:tc>
                <w:tcPr>
                  <w:tcW w:w="590" w:type="pct"/>
                  <w:vAlign w:val="center"/>
                </w:tcPr>
                <w:p w14:paraId="5BAF4059">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rPr>
                    <w:t>67.5</w:t>
                  </w:r>
                </w:p>
              </w:tc>
              <w:tc>
                <w:tcPr>
                  <w:tcW w:w="508" w:type="pct"/>
                  <w:vAlign w:val="center"/>
                </w:tcPr>
                <w:p w14:paraId="06208515">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达标</w:t>
                  </w:r>
                </w:p>
              </w:tc>
            </w:tr>
            <w:tr w14:paraId="4CDE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pct"/>
                  <w:vAlign w:val="center"/>
                </w:tcPr>
                <w:p w14:paraId="187C20D8">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O3</w:t>
                  </w:r>
                </w:p>
              </w:tc>
              <w:tc>
                <w:tcPr>
                  <w:tcW w:w="1980" w:type="pct"/>
                  <w:vAlign w:val="center"/>
                </w:tcPr>
                <w:p w14:paraId="0708AF9C">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日最大8小时平均第90百分位数</w:t>
                  </w:r>
                </w:p>
              </w:tc>
              <w:tc>
                <w:tcPr>
                  <w:tcW w:w="659" w:type="pct"/>
                  <w:vAlign w:val="center"/>
                </w:tcPr>
                <w:p w14:paraId="6D8E37A8">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rPr>
                    <w:t>134</w:t>
                  </w:r>
                </w:p>
              </w:tc>
              <w:tc>
                <w:tcPr>
                  <w:tcW w:w="624" w:type="pct"/>
                  <w:vAlign w:val="center"/>
                </w:tcPr>
                <w:p w14:paraId="5B8AB468">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160</w:t>
                  </w:r>
                </w:p>
              </w:tc>
              <w:tc>
                <w:tcPr>
                  <w:tcW w:w="590" w:type="pct"/>
                  <w:vAlign w:val="center"/>
                </w:tcPr>
                <w:p w14:paraId="194ADBDD">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rPr>
                    <w:t>83.75</w:t>
                  </w:r>
                </w:p>
              </w:tc>
              <w:tc>
                <w:tcPr>
                  <w:tcW w:w="508" w:type="pct"/>
                  <w:vAlign w:val="center"/>
                </w:tcPr>
                <w:p w14:paraId="03CD21FD">
                  <w:pPr>
                    <w:pStyle w:val="19"/>
                    <w:widowControl w:val="0"/>
                    <w:autoSpaceDE w:val="0"/>
                    <w:spacing w:before="0" w:beforeAutospacing="0" w:after="0" w:afterAutospacing="0" w:line="360" w:lineRule="exact"/>
                    <w:jc w:val="center"/>
                    <w:rPr>
                      <w:rFonts w:ascii="Times New Roman" w:hAnsi="Times New Roman"/>
                      <w:color w:val="auto"/>
                      <w:spacing w:val="-4"/>
                      <w:kern w:val="2"/>
                      <w:sz w:val="21"/>
                      <w:szCs w:val="21"/>
                    </w:rPr>
                  </w:pPr>
                  <w:r>
                    <w:rPr>
                      <w:rFonts w:ascii="Times New Roman" w:hAnsi="Times New Roman"/>
                      <w:color w:val="auto"/>
                      <w:spacing w:val="-4"/>
                      <w:kern w:val="2"/>
                      <w:sz w:val="21"/>
                      <w:szCs w:val="21"/>
                      <w:lang w:bidi="ar"/>
                    </w:rPr>
                    <w:t>达标</w:t>
                  </w:r>
                </w:p>
              </w:tc>
            </w:tr>
          </w:tbl>
          <w:p w14:paraId="1DF1F8D0">
            <w:pPr>
              <w:spacing w:line="360" w:lineRule="auto"/>
              <w:ind w:firstLine="480" w:firstLineChars="200"/>
              <w:rPr>
                <w:color w:val="auto"/>
                <w:sz w:val="24"/>
              </w:rPr>
            </w:pPr>
            <w:r>
              <w:rPr>
                <w:color w:val="auto"/>
                <w:kern w:val="0"/>
                <w:sz w:val="24"/>
              </w:rPr>
              <w:t>由上表可知，</w:t>
            </w:r>
            <w:r>
              <w:rPr>
                <w:snapToGrid w:val="0"/>
                <w:color w:val="auto"/>
                <w:kern w:val="0"/>
                <w:sz w:val="24"/>
              </w:rPr>
              <w:t>吐鲁番地区2022年SO</w:t>
            </w:r>
            <w:r>
              <w:rPr>
                <w:snapToGrid w:val="0"/>
                <w:color w:val="auto"/>
                <w:kern w:val="0"/>
                <w:sz w:val="24"/>
                <w:vertAlign w:val="subscript"/>
              </w:rPr>
              <w:t>2</w:t>
            </w:r>
            <w:r>
              <w:rPr>
                <w:snapToGrid w:val="0"/>
                <w:color w:val="auto"/>
                <w:kern w:val="0"/>
                <w:sz w:val="24"/>
              </w:rPr>
              <w:t>、NO</w:t>
            </w:r>
            <w:r>
              <w:rPr>
                <w:snapToGrid w:val="0"/>
                <w:color w:val="auto"/>
                <w:kern w:val="0"/>
                <w:sz w:val="24"/>
                <w:vertAlign w:val="subscript"/>
              </w:rPr>
              <w:t>2</w:t>
            </w:r>
            <w:r>
              <w:rPr>
                <w:snapToGrid w:val="0"/>
                <w:color w:val="auto"/>
                <w:kern w:val="0"/>
                <w:sz w:val="24"/>
              </w:rPr>
              <w:t>年平均，CO的95百分位24小时平均、O</w:t>
            </w:r>
            <w:r>
              <w:rPr>
                <w:snapToGrid w:val="0"/>
                <w:color w:val="auto"/>
                <w:kern w:val="0"/>
                <w:sz w:val="24"/>
                <w:vertAlign w:val="subscript"/>
              </w:rPr>
              <w:t>3</w:t>
            </w:r>
            <w:r>
              <w:rPr>
                <w:snapToGrid w:val="0"/>
                <w:color w:val="auto"/>
                <w:kern w:val="0"/>
                <w:sz w:val="24"/>
              </w:rPr>
              <w:t>的90百分位8小时平均浓度值均满足《环境空气质量标准》（GB3095-2012）的二级标准，PM</w:t>
            </w:r>
            <w:r>
              <w:rPr>
                <w:snapToGrid w:val="0"/>
                <w:color w:val="auto"/>
                <w:kern w:val="0"/>
                <w:sz w:val="24"/>
                <w:vertAlign w:val="subscript"/>
              </w:rPr>
              <w:t>10</w:t>
            </w:r>
            <w:r>
              <w:rPr>
                <w:snapToGrid w:val="0"/>
                <w:color w:val="auto"/>
                <w:kern w:val="0"/>
                <w:sz w:val="24"/>
              </w:rPr>
              <w:t>、PM</w:t>
            </w:r>
            <w:r>
              <w:rPr>
                <w:snapToGrid w:val="0"/>
                <w:color w:val="auto"/>
                <w:kern w:val="0"/>
                <w:sz w:val="24"/>
                <w:vertAlign w:val="subscript"/>
              </w:rPr>
              <w:t>2.5</w:t>
            </w:r>
            <w:r>
              <w:rPr>
                <w:snapToGrid w:val="0"/>
                <w:color w:val="auto"/>
                <w:kern w:val="0"/>
                <w:sz w:val="24"/>
              </w:rPr>
              <w:t>年平均浓度超过《环境空气质量标准》（GB3095-2012）及修改单中二级标准限值，属于不达标区。超标的主要原因为项目所在区域气候干燥，沙尘天气影响导致PM</w:t>
            </w:r>
            <w:r>
              <w:rPr>
                <w:snapToGrid w:val="0"/>
                <w:color w:val="auto"/>
                <w:kern w:val="0"/>
                <w:sz w:val="24"/>
                <w:vertAlign w:val="subscript"/>
              </w:rPr>
              <w:t>2.5</w:t>
            </w:r>
            <w:r>
              <w:rPr>
                <w:snapToGrid w:val="0"/>
                <w:color w:val="auto"/>
                <w:kern w:val="0"/>
                <w:sz w:val="24"/>
              </w:rPr>
              <w:t>、PM</w:t>
            </w:r>
            <w:r>
              <w:rPr>
                <w:snapToGrid w:val="0"/>
                <w:color w:val="auto"/>
                <w:kern w:val="0"/>
                <w:sz w:val="24"/>
                <w:vertAlign w:val="subscript"/>
              </w:rPr>
              <w:t>10</w:t>
            </w:r>
            <w:r>
              <w:rPr>
                <w:snapToGrid w:val="0"/>
                <w:color w:val="auto"/>
                <w:kern w:val="0"/>
                <w:sz w:val="24"/>
              </w:rPr>
              <w:t>年平均浓度超标</w:t>
            </w:r>
            <w:r>
              <w:rPr>
                <w:color w:val="auto"/>
                <w:sz w:val="24"/>
              </w:rPr>
              <w:t>。</w:t>
            </w:r>
          </w:p>
          <w:p w14:paraId="55E2A41B">
            <w:pPr>
              <w:adjustRightInd w:val="0"/>
              <w:snapToGrid w:val="0"/>
              <w:spacing w:line="360" w:lineRule="auto"/>
              <w:ind w:firstLine="482" w:firstLineChars="200"/>
              <w:rPr>
                <w:b/>
                <w:color w:val="auto"/>
                <w:sz w:val="24"/>
                <w:szCs w:val="21"/>
              </w:rPr>
            </w:pPr>
            <w:r>
              <w:rPr>
                <w:b/>
                <w:color w:val="auto"/>
                <w:sz w:val="24"/>
                <w:szCs w:val="21"/>
              </w:rPr>
              <w:t>1.2补充监测评价</w:t>
            </w:r>
          </w:p>
          <w:p w14:paraId="03ACC128">
            <w:pPr>
              <w:overflowPunct w:val="0"/>
              <w:adjustRightInd w:val="0"/>
              <w:snapToGrid w:val="0"/>
              <w:spacing w:line="360" w:lineRule="auto"/>
              <w:ind w:firstLine="480" w:firstLineChars="200"/>
              <w:rPr>
                <w:rFonts w:hint="eastAsia" w:eastAsia="宋体"/>
                <w:color w:val="auto"/>
                <w:sz w:val="24"/>
                <w:szCs w:val="21"/>
                <w:lang w:eastAsia="zh-CN"/>
              </w:rPr>
            </w:pPr>
            <w:r>
              <w:rPr>
                <w:color w:val="auto"/>
                <w:sz w:val="24"/>
                <w:szCs w:val="21"/>
              </w:rPr>
              <w:t>为了解项目区环境空气质量现状（特征因子：TSP），本次引用新疆锡水金山环境科技有限公司对《新疆亿德新材料科技有限公司年产30000 吨锂离子电池负极材料项目》环</w:t>
            </w:r>
            <w:r>
              <w:rPr>
                <w:rFonts w:hint="eastAsia"/>
                <w:color w:val="auto"/>
                <w:sz w:val="24"/>
                <w:szCs w:val="21"/>
              </w:rPr>
              <w:t>境空气质量的监测数据，监测点位于项目区东侧0.24km</w:t>
            </w:r>
            <w:r>
              <w:rPr>
                <w:rFonts w:hint="eastAsia"/>
                <w:color w:val="auto"/>
                <w:sz w:val="24"/>
                <w:szCs w:val="21"/>
                <w:lang w:eastAsia="zh-CN"/>
              </w:rPr>
              <w:t>。</w:t>
            </w:r>
          </w:p>
          <w:p w14:paraId="6C056167">
            <w:pPr>
              <w:overflowPunct w:val="0"/>
              <w:adjustRightInd w:val="0"/>
              <w:snapToGrid w:val="0"/>
              <w:spacing w:line="360" w:lineRule="auto"/>
              <w:ind w:firstLine="480" w:firstLineChars="200"/>
              <w:rPr>
                <w:snapToGrid w:val="0"/>
                <w:color w:val="auto"/>
                <w:sz w:val="24"/>
                <w:szCs w:val="22"/>
              </w:rPr>
            </w:pPr>
            <w:r>
              <w:rPr>
                <w:rFonts w:hint="eastAsia"/>
                <w:snapToGrid w:val="0"/>
                <w:color w:val="auto"/>
                <w:sz w:val="24"/>
                <w:szCs w:val="22"/>
              </w:rPr>
              <w:t>（1）监测项目</w:t>
            </w:r>
          </w:p>
          <w:p w14:paraId="5C4A1CF8">
            <w:pPr>
              <w:overflowPunct w:val="0"/>
              <w:adjustRightInd w:val="0"/>
              <w:snapToGrid w:val="0"/>
              <w:spacing w:line="360" w:lineRule="auto"/>
              <w:ind w:firstLine="480" w:firstLineChars="200"/>
              <w:rPr>
                <w:snapToGrid w:val="0"/>
                <w:color w:val="auto"/>
                <w:sz w:val="24"/>
                <w:szCs w:val="22"/>
              </w:rPr>
            </w:pPr>
            <w:r>
              <w:rPr>
                <w:rFonts w:hint="eastAsia"/>
                <w:bCs/>
                <w:color w:val="auto"/>
                <w:sz w:val="24"/>
                <w:szCs w:val="21"/>
              </w:rPr>
              <w:t>TSP。</w:t>
            </w:r>
          </w:p>
          <w:p w14:paraId="223AC4A2">
            <w:pPr>
              <w:pStyle w:val="19"/>
              <w:spacing w:before="0" w:beforeAutospacing="0" w:after="0" w:afterAutospacing="0" w:line="360" w:lineRule="auto"/>
              <w:ind w:firstLine="480" w:firstLineChars="200"/>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）时间和监测频率</w:t>
            </w:r>
          </w:p>
          <w:p w14:paraId="47F60C3B">
            <w:pPr>
              <w:spacing w:line="360" w:lineRule="auto"/>
              <w:ind w:firstLine="480"/>
              <w:rPr>
                <w:color w:val="auto"/>
                <w:sz w:val="24"/>
                <w:szCs w:val="21"/>
              </w:rPr>
            </w:pPr>
            <w:r>
              <w:rPr>
                <w:rFonts w:hint="eastAsia"/>
                <w:color w:val="auto"/>
                <w:sz w:val="24"/>
                <w:szCs w:val="21"/>
              </w:rPr>
              <w:t>2022年3月11日-17日，连续监测5天。</w:t>
            </w:r>
          </w:p>
          <w:p w14:paraId="5F5B77CB">
            <w:pPr>
              <w:pStyle w:val="19"/>
              <w:spacing w:before="0" w:beforeAutospacing="0" w:after="0" w:afterAutospacing="0" w:line="360" w:lineRule="auto"/>
              <w:ind w:firstLine="480" w:firstLineChars="200"/>
              <w:jc w:val="both"/>
              <w:rPr>
                <w:rFonts w:ascii="Times New Roman" w:hAnsi="Times New Roman"/>
                <w:color w:val="auto"/>
                <w:szCs w:val="24"/>
              </w:rPr>
            </w:pPr>
            <w:r>
              <w:rPr>
                <w:rFonts w:hint="eastAsia" w:ascii="Times New Roman" w:hAnsi="Times New Roman"/>
                <w:color w:val="auto"/>
                <w:szCs w:val="24"/>
              </w:rPr>
              <w:t>（</w:t>
            </w:r>
            <w:r>
              <w:rPr>
                <w:rFonts w:ascii="Times New Roman" w:hAnsi="Times New Roman"/>
                <w:color w:val="auto"/>
                <w:szCs w:val="24"/>
              </w:rPr>
              <w:t>3</w:t>
            </w:r>
            <w:r>
              <w:rPr>
                <w:rFonts w:hint="eastAsia" w:ascii="Times New Roman" w:hAnsi="Times New Roman"/>
                <w:color w:val="auto"/>
                <w:szCs w:val="24"/>
              </w:rPr>
              <w:t>）评价标准</w:t>
            </w:r>
          </w:p>
          <w:p w14:paraId="4675C765">
            <w:pPr>
              <w:spacing w:line="360" w:lineRule="auto"/>
              <w:ind w:firstLine="480"/>
              <w:rPr>
                <w:bCs/>
                <w:color w:val="auto"/>
                <w:sz w:val="24"/>
              </w:rPr>
            </w:pPr>
            <w:r>
              <w:rPr>
                <w:color w:val="auto"/>
                <w:sz w:val="24"/>
              </w:rPr>
              <w:t>特征污染物TSP执行</w:t>
            </w:r>
            <w:r>
              <w:rPr>
                <w:color w:val="auto"/>
                <w:kern w:val="0"/>
                <w:sz w:val="24"/>
              </w:rPr>
              <w:t>《环境空气质量标准》(GB3095-2012)中二级限值要求</w:t>
            </w:r>
            <w:r>
              <w:rPr>
                <w:rFonts w:hint="eastAsia"/>
                <w:bCs/>
                <w:color w:val="auto"/>
                <w:sz w:val="24"/>
              </w:rPr>
              <w:t>。</w:t>
            </w:r>
          </w:p>
          <w:p w14:paraId="08C920EF">
            <w:pPr>
              <w:overflowPunct w:val="0"/>
              <w:adjustRightInd w:val="0"/>
              <w:snapToGrid w:val="0"/>
              <w:spacing w:line="360" w:lineRule="auto"/>
              <w:ind w:firstLine="480" w:firstLineChars="200"/>
              <w:rPr>
                <w:snapToGrid w:val="0"/>
                <w:color w:val="auto"/>
                <w:sz w:val="24"/>
                <w:szCs w:val="22"/>
              </w:rPr>
            </w:pPr>
            <w:r>
              <w:rPr>
                <w:rFonts w:hint="eastAsia"/>
                <w:snapToGrid w:val="0"/>
                <w:color w:val="auto"/>
                <w:sz w:val="24"/>
                <w:szCs w:val="22"/>
              </w:rPr>
              <w:t>（4）监测结果及评价</w:t>
            </w:r>
          </w:p>
          <w:p w14:paraId="41AF1498">
            <w:pPr>
              <w:spacing w:line="360" w:lineRule="auto"/>
              <w:jc w:val="center"/>
              <w:rPr>
                <w:b/>
                <w:bCs/>
                <w:color w:val="auto"/>
                <w:szCs w:val="21"/>
              </w:rPr>
            </w:pPr>
            <w:r>
              <w:rPr>
                <w:b/>
                <w:bCs/>
                <w:color w:val="auto"/>
                <w:szCs w:val="21"/>
              </w:rPr>
              <w:t xml:space="preserve">表3-2  </w:t>
            </w:r>
            <w:r>
              <w:rPr>
                <w:rFonts w:hint="eastAsia"/>
                <w:b/>
                <w:bCs/>
                <w:color w:val="auto"/>
                <w:szCs w:val="21"/>
              </w:rPr>
              <w:t>特征评价因子监测结果评价表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25"/>
              <w:gridCol w:w="1328"/>
              <w:gridCol w:w="1609"/>
              <w:gridCol w:w="1398"/>
              <w:gridCol w:w="1530"/>
            </w:tblGrid>
            <w:tr w14:paraId="5244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27" w:type="dxa"/>
                  <w:vAlign w:val="center"/>
                </w:tcPr>
                <w:p w14:paraId="2FF02E4D">
                  <w:pPr>
                    <w:adjustRightInd w:val="0"/>
                    <w:snapToGrid w:val="0"/>
                    <w:rPr>
                      <w:b/>
                      <w:bCs/>
                      <w:color w:val="auto"/>
                      <w:szCs w:val="21"/>
                    </w:rPr>
                  </w:pPr>
                  <w:r>
                    <w:rPr>
                      <w:b/>
                      <w:bCs/>
                      <w:color w:val="auto"/>
                      <w:szCs w:val="21"/>
                    </w:rPr>
                    <w:t>序号</w:t>
                  </w:r>
                </w:p>
              </w:tc>
              <w:tc>
                <w:tcPr>
                  <w:tcW w:w="1325" w:type="dxa"/>
                  <w:vAlign w:val="center"/>
                </w:tcPr>
                <w:p w14:paraId="0BCA927C">
                  <w:pPr>
                    <w:adjustRightInd w:val="0"/>
                    <w:snapToGrid w:val="0"/>
                    <w:jc w:val="center"/>
                    <w:rPr>
                      <w:b/>
                      <w:bCs/>
                      <w:color w:val="auto"/>
                      <w:szCs w:val="21"/>
                    </w:rPr>
                  </w:pPr>
                  <w:r>
                    <w:rPr>
                      <w:b/>
                      <w:bCs/>
                      <w:color w:val="auto"/>
                      <w:szCs w:val="21"/>
                    </w:rPr>
                    <w:t>项目</w:t>
                  </w:r>
                </w:p>
              </w:tc>
              <w:tc>
                <w:tcPr>
                  <w:tcW w:w="1328" w:type="dxa"/>
                  <w:vAlign w:val="center"/>
                </w:tcPr>
                <w:p w14:paraId="4B8F8E60">
                  <w:pPr>
                    <w:adjustRightInd w:val="0"/>
                    <w:snapToGrid w:val="0"/>
                    <w:jc w:val="center"/>
                    <w:rPr>
                      <w:b/>
                      <w:bCs/>
                      <w:color w:val="auto"/>
                      <w:szCs w:val="21"/>
                    </w:rPr>
                  </w:pPr>
                  <w:r>
                    <w:rPr>
                      <w:b/>
                      <w:bCs/>
                      <w:color w:val="auto"/>
                      <w:szCs w:val="21"/>
                    </w:rPr>
                    <w:t>标准值</w:t>
                  </w:r>
                </w:p>
                <w:p w14:paraId="346A7CA4">
                  <w:pPr>
                    <w:pStyle w:val="31"/>
                    <w:ind w:left="0" w:leftChars="0"/>
                    <w:rPr>
                      <w:b/>
                      <w:bCs/>
                      <w:color w:val="auto"/>
                      <w:sz w:val="21"/>
                      <w:szCs w:val="21"/>
                    </w:rPr>
                  </w:pPr>
                  <w:r>
                    <w:rPr>
                      <w:b/>
                      <w:bCs/>
                      <w:color w:val="auto"/>
                      <w:sz w:val="21"/>
                      <w:szCs w:val="21"/>
                    </w:rPr>
                    <w:t>(</w:t>
                  </w:r>
                  <w:r>
                    <w:rPr>
                      <w:b/>
                      <w:bCs/>
                      <w:color w:val="auto"/>
                      <w:sz w:val="21"/>
                      <w:szCs w:val="21"/>
                      <w:lang w:bidi="ar"/>
                    </w:rPr>
                    <w:t>µg/m</w:t>
                  </w:r>
                  <w:r>
                    <w:rPr>
                      <w:b/>
                      <w:bCs/>
                      <w:color w:val="auto"/>
                      <w:sz w:val="21"/>
                      <w:szCs w:val="21"/>
                      <w:vertAlign w:val="superscript"/>
                      <w:lang w:bidi="ar"/>
                    </w:rPr>
                    <w:t>3</w:t>
                  </w:r>
                  <w:r>
                    <w:rPr>
                      <w:b/>
                      <w:bCs/>
                      <w:color w:val="auto"/>
                      <w:sz w:val="21"/>
                      <w:szCs w:val="21"/>
                    </w:rPr>
                    <w:t>)</w:t>
                  </w:r>
                </w:p>
              </w:tc>
              <w:tc>
                <w:tcPr>
                  <w:tcW w:w="1609" w:type="dxa"/>
                  <w:vAlign w:val="center"/>
                </w:tcPr>
                <w:p w14:paraId="6ADFA9C1">
                  <w:pPr>
                    <w:adjustRightInd w:val="0"/>
                    <w:snapToGrid w:val="0"/>
                    <w:jc w:val="center"/>
                    <w:rPr>
                      <w:b/>
                      <w:bCs/>
                      <w:color w:val="auto"/>
                      <w:szCs w:val="21"/>
                    </w:rPr>
                  </w:pPr>
                  <w:r>
                    <w:rPr>
                      <w:b/>
                      <w:bCs/>
                      <w:color w:val="auto"/>
                      <w:szCs w:val="21"/>
                    </w:rPr>
                    <w:t>监测值</w:t>
                  </w:r>
                </w:p>
                <w:p w14:paraId="5225A926">
                  <w:pPr>
                    <w:pStyle w:val="31"/>
                    <w:ind w:left="0" w:leftChars="0"/>
                    <w:rPr>
                      <w:b/>
                      <w:bCs/>
                      <w:color w:val="auto"/>
                      <w:sz w:val="21"/>
                      <w:szCs w:val="21"/>
                    </w:rPr>
                  </w:pPr>
                  <w:r>
                    <w:rPr>
                      <w:b/>
                      <w:bCs/>
                      <w:color w:val="auto"/>
                      <w:sz w:val="21"/>
                      <w:szCs w:val="21"/>
                    </w:rPr>
                    <w:t>(</w:t>
                  </w:r>
                  <w:r>
                    <w:rPr>
                      <w:b/>
                      <w:bCs/>
                      <w:color w:val="auto"/>
                      <w:sz w:val="21"/>
                      <w:szCs w:val="21"/>
                      <w:lang w:bidi="ar"/>
                    </w:rPr>
                    <w:t>µg/m</w:t>
                  </w:r>
                  <w:r>
                    <w:rPr>
                      <w:b/>
                      <w:bCs/>
                      <w:color w:val="auto"/>
                      <w:sz w:val="21"/>
                      <w:szCs w:val="21"/>
                      <w:vertAlign w:val="superscript"/>
                      <w:lang w:bidi="ar"/>
                    </w:rPr>
                    <w:t>3</w:t>
                  </w:r>
                  <w:r>
                    <w:rPr>
                      <w:b/>
                      <w:bCs/>
                      <w:color w:val="auto"/>
                      <w:sz w:val="21"/>
                      <w:szCs w:val="21"/>
                    </w:rPr>
                    <w:t>)</w:t>
                  </w:r>
                </w:p>
              </w:tc>
              <w:tc>
                <w:tcPr>
                  <w:tcW w:w="1398" w:type="dxa"/>
                  <w:vAlign w:val="center"/>
                </w:tcPr>
                <w:p w14:paraId="64F9CDDD">
                  <w:pPr>
                    <w:adjustRightInd w:val="0"/>
                    <w:snapToGrid w:val="0"/>
                    <w:jc w:val="center"/>
                    <w:rPr>
                      <w:b/>
                      <w:bCs/>
                      <w:color w:val="auto"/>
                      <w:szCs w:val="21"/>
                    </w:rPr>
                  </w:pPr>
                  <w:r>
                    <w:rPr>
                      <w:b/>
                      <w:bCs/>
                      <w:color w:val="auto"/>
                      <w:szCs w:val="21"/>
                    </w:rPr>
                    <w:t>最大浓度占标率</w:t>
                  </w:r>
                </w:p>
              </w:tc>
              <w:tc>
                <w:tcPr>
                  <w:tcW w:w="1530" w:type="dxa"/>
                  <w:vAlign w:val="center"/>
                </w:tcPr>
                <w:p w14:paraId="519C3A03">
                  <w:pPr>
                    <w:adjustRightInd w:val="0"/>
                    <w:snapToGrid w:val="0"/>
                    <w:jc w:val="center"/>
                    <w:rPr>
                      <w:b/>
                      <w:bCs/>
                      <w:color w:val="auto"/>
                      <w:szCs w:val="21"/>
                    </w:rPr>
                  </w:pPr>
                  <w:r>
                    <w:rPr>
                      <w:b/>
                      <w:bCs/>
                      <w:color w:val="auto"/>
                      <w:szCs w:val="21"/>
                    </w:rPr>
                    <w:t>达标情况</w:t>
                  </w:r>
                </w:p>
              </w:tc>
            </w:tr>
            <w:tr w14:paraId="152B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727" w:type="dxa"/>
                  <w:vAlign w:val="center"/>
                </w:tcPr>
                <w:p w14:paraId="4A122FA5">
                  <w:pPr>
                    <w:adjustRightInd w:val="0"/>
                    <w:snapToGrid w:val="0"/>
                    <w:jc w:val="center"/>
                    <w:rPr>
                      <w:color w:val="auto"/>
                      <w:szCs w:val="21"/>
                    </w:rPr>
                  </w:pPr>
                  <w:r>
                    <w:rPr>
                      <w:color w:val="auto"/>
                      <w:szCs w:val="21"/>
                    </w:rPr>
                    <w:t>1</w:t>
                  </w:r>
                </w:p>
              </w:tc>
              <w:tc>
                <w:tcPr>
                  <w:tcW w:w="1325" w:type="dxa"/>
                  <w:vAlign w:val="center"/>
                </w:tcPr>
                <w:p w14:paraId="25546420">
                  <w:pPr>
                    <w:adjustRightInd w:val="0"/>
                    <w:snapToGrid w:val="0"/>
                    <w:jc w:val="center"/>
                    <w:rPr>
                      <w:color w:val="auto"/>
                      <w:kern w:val="0"/>
                      <w:szCs w:val="21"/>
                    </w:rPr>
                  </w:pPr>
                  <w:r>
                    <w:rPr>
                      <w:color w:val="auto"/>
                      <w:kern w:val="0"/>
                      <w:szCs w:val="21"/>
                    </w:rPr>
                    <w:t>TSP</w:t>
                  </w:r>
                </w:p>
              </w:tc>
              <w:tc>
                <w:tcPr>
                  <w:tcW w:w="1328" w:type="dxa"/>
                  <w:vAlign w:val="center"/>
                </w:tcPr>
                <w:p w14:paraId="46BF1147">
                  <w:pPr>
                    <w:adjustRightInd w:val="0"/>
                    <w:snapToGrid w:val="0"/>
                    <w:jc w:val="center"/>
                    <w:rPr>
                      <w:color w:val="auto"/>
                      <w:szCs w:val="21"/>
                    </w:rPr>
                  </w:pPr>
                  <w:r>
                    <w:rPr>
                      <w:color w:val="auto"/>
                      <w:szCs w:val="21"/>
                    </w:rPr>
                    <w:t>300</w:t>
                  </w:r>
                </w:p>
              </w:tc>
              <w:tc>
                <w:tcPr>
                  <w:tcW w:w="1609" w:type="dxa"/>
                  <w:vAlign w:val="center"/>
                </w:tcPr>
                <w:p w14:paraId="4EC0CC74">
                  <w:pPr>
                    <w:adjustRightInd w:val="0"/>
                    <w:snapToGrid w:val="0"/>
                    <w:jc w:val="center"/>
                    <w:rPr>
                      <w:color w:val="auto"/>
                      <w:szCs w:val="21"/>
                    </w:rPr>
                  </w:pPr>
                  <w:r>
                    <w:rPr>
                      <w:color w:val="auto"/>
                      <w:szCs w:val="21"/>
                    </w:rPr>
                    <w:t>194-206</w:t>
                  </w:r>
                </w:p>
              </w:tc>
              <w:tc>
                <w:tcPr>
                  <w:tcW w:w="1398" w:type="dxa"/>
                  <w:vAlign w:val="center"/>
                </w:tcPr>
                <w:p w14:paraId="312EBEEB">
                  <w:pPr>
                    <w:jc w:val="center"/>
                    <w:rPr>
                      <w:color w:val="auto"/>
                      <w:szCs w:val="21"/>
                    </w:rPr>
                  </w:pPr>
                  <w:r>
                    <w:rPr>
                      <w:color w:val="auto"/>
                      <w:szCs w:val="21"/>
                    </w:rPr>
                    <w:t>68.7%</w:t>
                  </w:r>
                </w:p>
              </w:tc>
              <w:tc>
                <w:tcPr>
                  <w:tcW w:w="1530" w:type="dxa"/>
                  <w:vAlign w:val="center"/>
                </w:tcPr>
                <w:p w14:paraId="6C4864E8">
                  <w:pPr>
                    <w:jc w:val="center"/>
                    <w:rPr>
                      <w:color w:val="auto"/>
                      <w:szCs w:val="21"/>
                    </w:rPr>
                  </w:pPr>
                  <w:r>
                    <w:rPr>
                      <w:color w:val="auto"/>
                      <w:szCs w:val="21"/>
                    </w:rPr>
                    <w:t>达标</w:t>
                  </w:r>
                </w:p>
              </w:tc>
            </w:tr>
          </w:tbl>
          <w:p w14:paraId="72C7F18C">
            <w:pPr>
              <w:spacing w:line="360" w:lineRule="auto"/>
              <w:ind w:firstLine="480"/>
              <w:rPr>
                <w:bCs/>
                <w:color w:val="auto"/>
                <w:sz w:val="24"/>
                <w:szCs w:val="21"/>
              </w:rPr>
            </w:pPr>
            <w:r>
              <w:rPr>
                <w:rFonts w:hint="eastAsia"/>
                <w:color w:val="auto"/>
                <w:kern w:val="0"/>
                <w:sz w:val="24"/>
              </w:rPr>
              <w:t>由上表可知，</w:t>
            </w:r>
            <w:r>
              <w:rPr>
                <w:color w:val="auto"/>
                <w:sz w:val="24"/>
              </w:rPr>
              <w:t>TSP、满足《环境空气质量标准》(GB3095-2012)中二级限值要求</w:t>
            </w:r>
            <w:r>
              <w:rPr>
                <w:bCs/>
                <w:color w:val="auto"/>
                <w:sz w:val="24"/>
              </w:rPr>
              <w:t>。</w:t>
            </w:r>
          </w:p>
          <w:p w14:paraId="079D6363">
            <w:pPr>
              <w:spacing w:line="360" w:lineRule="auto"/>
              <w:ind w:firstLine="482"/>
              <w:rPr>
                <w:b/>
                <w:bCs/>
                <w:snapToGrid w:val="0"/>
                <w:color w:val="auto"/>
                <w:sz w:val="24"/>
              </w:rPr>
            </w:pPr>
            <w:r>
              <w:rPr>
                <w:b/>
                <w:snapToGrid w:val="0"/>
                <w:color w:val="auto"/>
                <w:sz w:val="24"/>
              </w:rPr>
              <w:t>2、</w:t>
            </w:r>
            <w:r>
              <w:rPr>
                <w:b/>
                <w:bCs/>
                <w:snapToGrid w:val="0"/>
                <w:color w:val="auto"/>
                <w:sz w:val="24"/>
              </w:rPr>
              <w:t>地表水</w:t>
            </w:r>
          </w:p>
          <w:p w14:paraId="0480053B">
            <w:pPr>
              <w:pStyle w:val="100"/>
              <w:spacing w:line="360" w:lineRule="auto"/>
              <w:ind w:left="107" w:right="100" w:firstLine="469"/>
              <w:jc w:val="both"/>
              <w:rPr>
                <w:rFonts w:ascii="Times New Roman" w:hAnsi="Times New Roman" w:cs="Times New Roman"/>
                <w:snapToGrid w:val="0"/>
                <w:color w:val="auto"/>
                <w:kern w:val="2"/>
                <w:sz w:val="24"/>
                <w:szCs w:val="24"/>
              </w:rPr>
            </w:pPr>
            <w:r>
              <w:rPr>
                <w:rFonts w:hint="eastAsia" w:ascii="Times New Roman" w:hAnsi="Times New Roman" w:cs="Times New Roman"/>
                <w:snapToGrid w:val="0"/>
                <w:color w:val="auto"/>
                <w:kern w:val="2"/>
                <w:sz w:val="24"/>
                <w:szCs w:val="24"/>
              </w:rPr>
              <w:t>本项目营运期产生的废水包括生活污水和冷却水，冷却水循环使用，不外排，生活污水排入园区污水管网，属于间接排放建设项目，不会对地表水产生影响。因此本项目与地表水没有直接的水力联系，故不对地表水质量现状进行评价。</w:t>
            </w:r>
          </w:p>
          <w:p w14:paraId="358DC8E9">
            <w:pPr>
              <w:spacing w:line="360" w:lineRule="auto"/>
              <w:ind w:firstLine="480"/>
              <w:rPr>
                <w:b/>
                <w:bCs/>
                <w:color w:val="auto"/>
                <w:kern w:val="0"/>
                <w:sz w:val="24"/>
              </w:rPr>
            </w:pPr>
            <w:r>
              <w:rPr>
                <w:rFonts w:hint="eastAsia"/>
                <w:b/>
                <w:bCs/>
                <w:color w:val="auto"/>
                <w:kern w:val="0"/>
                <w:sz w:val="24"/>
              </w:rPr>
              <w:t>3、地下水</w:t>
            </w:r>
          </w:p>
          <w:p w14:paraId="245F523B">
            <w:pPr>
              <w:spacing w:line="360" w:lineRule="auto"/>
              <w:ind w:firstLine="480" w:firstLineChars="200"/>
              <w:rPr>
                <w:color w:val="auto"/>
                <w:sz w:val="24"/>
              </w:rPr>
            </w:pPr>
            <w:r>
              <w:rPr>
                <w:rFonts w:hint="eastAsia"/>
                <w:snapToGrid w:val="0"/>
                <w:color w:val="auto"/>
                <w:sz w:val="24"/>
              </w:rPr>
              <w:t>根据《建设项目环境影响报告表编制技术指南（污染影响类）（试行）》现状监测要求，“地下水环境原则上不开展环境质量现状调查。建设项目存在地下水环境污染途径的，应结合污染源、保护目标分布情况开展现状调查以留作背景值”要求，本项目在分区防渗后，运行过程中不存在地下水环境污染途径，故不开展地下水质量现状调查</w:t>
            </w:r>
            <w:r>
              <w:rPr>
                <w:rStyle w:val="105"/>
                <w:rFonts w:hint="eastAsia"/>
                <w:color w:val="auto"/>
                <w:sz w:val="24"/>
                <w:szCs w:val="24"/>
              </w:rPr>
              <w:t>。</w:t>
            </w:r>
          </w:p>
          <w:p w14:paraId="79A6434F">
            <w:pPr>
              <w:spacing w:line="360" w:lineRule="auto"/>
              <w:ind w:firstLine="482"/>
              <w:rPr>
                <w:bCs/>
                <w:snapToGrid w:val="0"/>
                <w:color w:val="auto"/>
                <w:sz w:val="24"/>
              </w:rPr>
            </w:pPr>
            <w:r>
              <w:rPr>
                <w:b/>
                <w:color w:val="auto"/>
                <w:kern w:val="0"/>
                <w:sz w:val="24"/>
              </w:rPr>
              <w:t>4、声环境</w:t>
            </w:r>
          </w:p>
          <w:p w14:paraId="7B7C0DF7">
            <w:pPr>
              <w:pStyle w:val="17"/>
              <w:spacing w:line="360" w:lineRule="auto"/>
              <w:ind w:left="0" w:leftChars="0" w:firstLine="480" w:firstLineChars="200"/>
              <w:rPr>
                <w:bCs/>
                <w:color w:val="auto"/>
                <w:sz w:val="24"/>
              </w:rPr>
            </w:pPr>
            <w:r>
              <w:rPr>
                <w:rFonts w:hint="eastAsia"/>
                <w:bCs/>
                <w:color w:val="auto"/>
                <w:sz w:val="24"/>
              </w:rPr>
              <w:t>依照</w:t>
            </w:r>
            <w:r>
              <w:rPr>
                <w:rFonts w:hint="eastAsia"/>
                <w:snapToGrid w:val="0"/>
                <w:color w:val="auto"/>
                <w:sz w:val="24"/>
              </w:rPr>
              <w:t>《建设项目环境影响报告表编制技术指南 （污染影响类）（试行）》现状监测</w:t>
            </w:r>
            <w:r>
              <w:rPr>
                <w:rFonts w:hint="eastAsia"/>
                <w:bCs/>
                <w:color w:val="auto"/>
                <w:sz w:val="24"/>
              </w:rPr>
              <w:t>要求：“厂界外周边 50 米范围内存在声环境保护目标的建设项目，应监测保护目标声环境质量现状并评价达标情况。各点位应监测昼夜间噪声，监测时间不少于 1 天，项目夜间不生产则仅监测昼间噪声。”</w:t>
            </w:r>
          </w:p>
          <w:p w14:paraId="7B46BAF5">
            <w:pPr>
              <w:pStyle w:val="17"/>
              <w:spacing w:line="360" w:lineRule="auto"/>
              <w:ind w:left="0" w:leftChars="0" w:firstLine="480" w:firstLineChars="200"/>
              <w:rPr>
                <w:snapToGrid w:val="0"/>
                <w:color w:val="auto"/>
                <w:sz w:val="24"/>
              </w:rPr>
            </w:pPr>
            <w:r>
              <w:rPr>
                <w:rFonts w:hint="eastAsia"/>
                <w:bCs/>
                <w:color w:val="auto"/>
                <w:sz w:val="24"/>
              </w:rPr>
              <w:t>本项目周围50m范围内均不存在声环境保护目标，因此不对本项目厂界四周噪声进行监测。</w:t>
            </w:r>
          </w:p>
          <w:p w14:paraId="0456D72E">
            <w:pPr>
              <w:spacing w:line="360" w:lineRule="auto"/>
              <w:ind w:firstLine="482"/>
              <w:rPr>
                <w:bCs/>
                <w:snapToGrid w:val="0"/>
                <w:color w:val="auto"/>
                <w:sz w:val="24"/>
              </w:rPr>
            </w:pPr>
            <w:r>
              <w:rPr>
                <w:b/>
                <w:color w:val="auto"/>
                <w:kern w:val="0"/>
                <w:sz w:val="24"/>
              </w:rPr>
              <w:t>5、</w:t>
            </w:r>
            <w:r>
              <w:rPr>
                <w:rFonts w:hint="eastAsia"/>
                <w:b/>
                <w:color w:val="auto"/>
                <w:kern w:val="0"/>
                <w:sz w:val="24"/>
              </w:rPr>
              <w:t>土壤</w:t>
            </w:r>
            <w:r>
              <w:rPr>
                <w:b/>
                <w:color w:val="auto"/>
                <w:kern w:val="0"/>
                <w:sz w:val="24"/>
              </w:rPr>
              <w:t>环境</w:t>
            </w:r>
          </w:p>
          <w:p w14:paraId="0EADD05A">
            <w:pPr>
              <w:spacing w:line="360" w:lineRule="auto"/>
              <w:ind w:firstLine="482"/>
              <w:rPr>
                <w:color w:val="auto"/>
                <w:sz w:val="24"/>
              </w:rPr>
            </w:pPr>
            <w:r>
              <w:rPr>
                <w:rFonts w:hint="eastAsia"/>
                <w:snapToGrid w:val="0"/>
                <w:color w:val="auto"/>
                <w:sz w:val="24"/>
              </w:rPr>
              <w:t>根据《建设项目环境影响报告表编制技术指南 （污染影响类）（试行）》现状监测要求，“土壤环境原则上不开展环境质量现状调查。建设项目存在土壤环境污染途径的，应结合污染源、保护目标分布情况开展现状调查以留作背景值”要求，本项目在分区防渗后，运行过程中不存在土壤环境污染途径，故不开展土壤质量现状调查</w:t>
            </w:r>
            <w:r>
              <w:rPr>
                <w:rFonts w:hint="eastAsia"/>
                <w:color w:val="auto"/>
                <w:sz w:val="24"/>
              </w:rPr>
              <w:t>。</w:t>
            </w:r>
          </w:p>
          <w:p w14:paraId="2B4DB543">
            <w:pPr>
              <w:spacing w:line="360" w:lineRule="auto"/>
              <w:ind w:firstLine="482" w:firstLineChars="200"/>
              <w:rPr>
                <w:bCs/>
                <w:snapToGrid w:val="0"/>
                <w:color w:val="auto"/>
                <w:sz w:val="24"/>
              </w:rPr>
            </w:pPr>
            <w:r>
              <w:rPr>
                <w:rFonts w:hint="eastAsia"/>
                <w:b/>
                <w:color w:val="auto"/>
                <w:kern w:val="0"/>
                <w:sz w:val="24"/>
              </w:rPr>
              <w:t>6</w:t>
            </w:r>
            <w:r>
              <w:rPr>
                <w:b/>
                <w:color w:val="auto"/>
                <w:kern w:val="0"/>
                <w:sz w:val="24"/>
              </w:rPr>
              <w:t>、</w:t>
            </w:r>
            <w:r>
              <w:rPr>
                <w:rFonts w:hint="eastAsia"/>
                <w:b/>
                <w:color w:val="auto"/>
                <w:kern w:val="0"/>
                <w:sz w:val="24"/>
              </w:rPr>
              <w:t>生态</w:t>
            </w:r>
            <w:r>
              <w:rPr>
                <w:b/>
                <w:color w:val="auto"/>
                <w:kern w:val="0"/>
                <w:sz w:val="24"/>
              </w:rPr>
              <w:t>环境</w:t>
            </w:r>
          </w:p>
          <w:p w14:paraId="334208B9">
            <w:pPr>
              <w:pStyle w:val="2"/>
              <w:spacing w:before="0" w:after="0" w:line="360" w:lineRule="auto"/>
              <w:ind w:right="0" w:firstLine="480" w:firstLineChars="200"/>
              <w:rPr>
                <w:color w:val="auto"/>
              </w:rPr>
            </w:pPr>
            <w:r>
              <w:rPr>
                <w:rFonts w:hint="eastAsia"/>
                <w:snapToGrid w:val="0"/>
                <w:color w:val="auto"/>
                <w:sz w:val="24"/>
              </w:rPr>
              <w:t>根据《建设项目环境影响报告表编制技术指南 （污染影响类）（试行）》 “</w:t>
            </w:r>
            <w:r>
              <w:rPr>
                <w:rFonts w:hint="eastAsia"/>
                <w:color w:val="auto"/>
                <w:sz w:val="24"/>
                <w:szCs w:val="24"/>
              </w:rPr>
              <w:t>产业园区外建设项目新增用地且用地范围内含有生态环境保护目标时，应进行生态现状调查”</w:t>
            </w:r>
            <w:r>
              <w:rPr>
                <w:rFonts w:hint="eastAsia"/>
                <w:snapToGrid w:val="0"/>
                <w:color w:val="auto"/>
                <w:sz w:val="24"/>
              </w:rPr>
              <w:t>要求</w:t>
            </w:r>
            <w:r>
              <w:rPr>
                <w:rFonts w:hint="eastAsia"/>
                <w:color w:val="auto"/>
                <w:sz w:val="24"/>
                <w:szCs w:val="24"/>
              </w:rPr>
              <w:t>。经核实，本项目在产业园区内，新增占地范围内无生态环境保护目标，故不开展生态现状调查。</w:t>
            </w:r>
          </w:p>
        </w:tc>
      </w:tr>
      <w:tr w14:paraId="533E8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14:paraId="5F9FDC9A">
            <w:pPr>
              <w:adjustRightInd w:val="0"/>
              <w:snapToGrid w:val="0"/>
              <w:jc w:val="center"/>
              <w:rPr>
                <w:rFonts w:cs="宋体"/>
                <w:color w:val="auto"/>
                <w:kern w:val="0"/>
                <w:sz w:val="24"/>
                <w:szCs w:val="21"/>
              </w:rPr>
            </w:pPr>
            <w:r>
              <w:rPr>
                <w:rFonts w:hint="eastAsia" w:cs="宋体"/>
                <w:color w:val="auto"/>
                <w:kern w:val="0"/>
                <w:sz w:val="24"/>
                <w:szCs w:val="21"/>
              </w:rPr>
              <w:t>环境</w:t>
            </w:r>
          </w:p>
          <w:p w14:paraId="6AF44A16">
            <w:pPr>
              <w:adjustRightInd w:val="0"/>
              <w:snapToGrid w:val="0"/>
              <w:jc w:val="center"/>
              <w:rPr>
                <w:rFonts w:cs="宋体"/>
                <w:color w:val="auto"/>
                <w:kern w:val="0"/>
                <w:sz w:val="24"/>
                <w:szCs w:val="21"/>
              </w:rPr>
            </w:pPr>
            <w:r>
              <w:rPr>
                <w:rFonts w:hint="eastAsia" w:cs="宋体"/>
                <w:color w:val="auto"/>
                <w:kern w:val="0"/>
                <w:sz w:val="24"/>
                <w:szCs w:val="21"/>
              </w:rPr>
              <w:t>保护</w:t>
            </w:r>
          </w:p>
          <w:p w14:paraId="1D1B018D">
            <w:pPr>
              <w:adjustRightInd w:val="0"/>
              <w:snapToGrid w:val="0"/>
              <w:jc w:val="center"/>
              <w:rPr>
                <w:rFonts w:cs="宋体"/>
                <w:color w:val="auto"/>
                <w:kern w:val="0"/>
                <w:szCs w:val="21"/>
              </w:rPr>
            </w:pPr>
            <w:r>
              <w:rPr>
                <w:rFonts w:hint="eastAsia" w:cs="宋体"/>
                <w:color w:val="auto"/>
                <w:kern w:val="0"/>
                <w:sz w:val="24"/>
                <w:szCs w:val="21"/>
              </w:rPr>
              <w:t>目标</w:t>
            </w:r>
          </w:p>
        </w:tc>
        <w:tc>
          <w:tcPr>
            <w:tcW w:w="8190" w:type="dxa"/>
            <w:vAlign w:val="center"/>
          </w:tcPr>
          <w:p w14:paraId="3D0FE7B3">
            <w:pPr>
              <w:pStyle w:val="53"/>
              <w:spacing w:line="360" w:lineRule="auto"/>
              <w:ind w:firstLine="482" w:firstLineChars="200"/>
              <w:jc w:val="both"/>
              <w:rPr>
                <w:rFonts w:ascii="Times New Roman" w:hAnsi="Times New Roman" w:cs="Times New Roman"/>
                <w:b/>
                <w:color w:val="auto"/>
              </w:rPr>
            </w:pPr>
            <w:r>
              <w:rPr>
                <w:rFonts w:ascii="Times New Roman" w:hAnsi="Times New Roman" w:cs="Times New Roman"/>
                <w:b/>
                <w:color w:val="auto"/>
              </w:rPr>
              <w:t>1、大气环境</w:t>
            </w:r>
          </w:p>
          <w:p w14:paraId="74618DEE">
            <w:pPr>
              <w:pStyle w:val="53"/>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本项目厂界外500米范围内无自然保护区、风景名胜区</w:t>
            </w:r>
            <w:r>
              <w:rPr>
                <w:rFonts w:hint="eastAsia" w:ascii="Times New Roman" w:hAnsi="Times New Roman" w:cs="Times New Roman"/>
                <w:color w:val="auto"/>
              </w:rPr>
              <w:t>、居民区</w:t>
            </w:r>
            <w:r>
              <w:rPr>
                <w:rFonts w:ascii="Times New Roman" w:hAnsi="Times New Roman" w:cs="Times New Roman"/>
                <w:color w:val="auto"/>
              </w:rPr>
              <w:t>、</w:t>
            </w:r>
            <w:r>
              <w:rPr>
                <w:rFonts w:hint="eastAsia" w:ascii="Times New Roman" w:hAnsi="Times New Roman" w:cs="Times New Roman"/>
                <w:color w:val="auto"/>
              </w:rPr>
              <w:t>学校和农村地区</w:t>
            </w:r>
            <w:r>
              <w:rPr>
                <w:rFonts w:ascii="Times New Roman" w:hAnsi="Times New Roman" w:cs="Times New Roman"/>
                <w:color w:val="auto"/>
              </w:rPr>
              <w:t>人群较集中的区域</w:t>
            </w:r>
            <w:r>
              <w:rPr>
                <w:rFonts w:hint="eastAsia" w:ascii="Times New Roman" w:hAnsi="Times New Roman" w:cs="Times New Roman"/>
                <w:color w:val="auto"/>
              </w:rPr>
              <w:t>，</w:t>
            </w:r>
            <w:r>
              <w:rPr>
                <w:rFonts w:ascii="Times New Roman" w:hAnsi="Times New Roman" w:cs="Times New Roman"/>
                <w:color w:val="auto"/>
              </w:rPr>
              <w:t>无</w:t>
            </w:r>
            <w:r>
              <w:rPr>
                <w:rFonts w:hint="eastAsia" w:ascii="Times New Roman" w:hAnsi="Times New Roman"/>
                <w:color w:val="auto"/>
              </w:rPr>
              <w:t>大气环境保护目标。</w:t>
            </w:r>
          </w:p>
          <w:p w14:paraId="2142DD0B">
            <w:pPr>
              <w:pStyle w:val="53"/>
              <w:spacing w:line="360" w:lineRule="auto"/>
              <w:ind w:firstLine="482" w:firstLineChars="200"/>
              <w:jc w:val="both"/>
              <w:rPr>
                <w:rFonts w:ascii="Times New Roman" w:hAnsi="Times New Roman" w:cs="Times New Roman"/>
                <w:b/>
                <w:color w:val="auto"/>
              </w:rPr>
            </w:pPr>
            <w:r>
              <w:rPr>
                <w:rFonts w:hint="eastAsia" w:ascii="Times New Roman" w:hAnsi="Times New Roman" w:cs="Times New Roman"/>
                <w:b/>
                <w:color w:val="auto"/>
              </w:rPr>
              <w:t>2</w:t>
            </w:r>
            <w:r>
              <w:rPr>
                <w:rFonts w:ascii="Times New Roman" w:hAnsi="Times New Roman" w:cs="Times New Roman"/>
                <w:b/>
                <w:color w:val="auto"/>
              </w:rPr>
              <w:t>、声环境</w:t>
            </w:r>
          </w:p>
          <w:p w14:paraId="0A9E5C22">
            <w:pPr>
              <w:pStyle w:val="53"/>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本项目厂界外50米范围内</w:t>
            </w:r>
            <w:r>
              <w:rPr>
                <w:rFonts w:hint="eastAsia" w:ascii="Times New Roman" w:hAnsi="Times New Roman" w:cs="Times New Roman"/>
                <w:color w:val="auto"/>
              </w:rPr>
              <w:t>无居民区和学校等</w:t>
            </w:r>
            <w:r>
              <w:rPr>
                <w:rFonts w:ascii="Times New Roman" w:hAnsi="Times New Roman" w:cs="Times New Roman"/>
                <w:color w:val="auto"/>
              </w:rPr>
              <w:t>声环境保护目标</w:t>
            </w:r>
            <w:r>
              <w:rPr>
                <w:rFonts w:hint="eastAsia" w:ascii="Times New Roman" w:hAnsi="Times New Roman" w:cs="Times New Roman"/>
                <w:color w:val="auto"/>
              </w:rPr>
              <w:t>，</w:t>
            </w:r>
            <w:r>
              <w:rPr>
                <w:rFonts w:hint="eastAsia" w:ascii="Times New Roman" w:hAnsi="Times New Roman"/>
                <w:color w:val="auto"/>
              </w:rPr>
              <w:t>无声环境保护目标。</w:t>
            </w:r>
          </w:p>
          <w:p w14:paraId="7720F391">
            <w:pPr>
              <w:pStyle w:val="53"/>
              <w:spacing w:line="360" w:lineRule="auto"/>
              <w:ind w:firstLine="482" w:firstLineChars="200"/>
              <w:jc w:val="both"/>
              <w:rPr>
                <w:rFonts w:ascii="Times New Roman" w:hAnsi="Times New Roman" w:cs="Times New Roman"/>
                <w:b/>
                <w:color w:val="auto"/>
              </w:rPr>
            </w:pPr>
            <w:r>
              <w:rPr>
                <w:rFonts w:hint="eastAsia" w:ascii="Times New Roman" w:hAnsi="Times New Roman" w:cs="Times New Roman"/>
                <w:b/>
                <w:color w:val="auto"/>
              </w:rPr>
              <w:t>3</w:t>
            </w:r>
            <w:r>
              <w:rPr>
                <w:rFonts w:ascii="Times New Roman" w:hAnsi="Times New Roman" w:cs="Times New Roman"/>
                <w:b/>
                <w:color w:val="auto"/>
              </w:rPr>
              <w:t>、地下水环境</w:t>
            </w:r>
          </w:p>
          <w:p w14:paraId="706784BC">
            <w:pPr>
              <w:adjustRightInd w:val="0"/>
              <w:snapToGrid w:val="0"/>
              <w:spacing w:line="360" w:lineRule="auto"/>
              <w:ind w:firstLine="480" w:firstLineChars="200"/>
              <w:rPr>
                <w:color w:val="auto"/>
                <w:sz w:val="24"/>
              </w:rPr>
            </w:pPr>
            <w:r>
              <w:rPr>
                <w:color w:val="auto"/>
                <w:sz w:val="24"/>
              </w:rPr>
              <w:t>本项目</w:t>
            </w:r>
            <w:r>
              <w:rPr>
                <w:rFonts w:hint="eastAsia"/>
                <w:color w:val="auto"/>
                <w:sz w:val="24"/>
              </w:rPr>
              <w:t>场</w:t>
            </w:r>
            <w:r>
              <w:rPr>
                <w:color w:val="auto"/>
                <w:sz w:val="24"/>
              </w:rPr>
              <w:t>界外500米范围内无地下水集中式饮用水水源和热水、矿泉水、温泉等特殊地下水资源。</w:t>
            </w:r>
          </w:p>
          <w:p w14:paraId="4A43ABE9">
            <w:pPr>
              <w:adjustRightInd w:val="0"/>
              <w:snapToGrid w:val="0"/>
              <w:spacing w:line="360" w:lineRule="auto"/>
              <w:ind w:firstLine="482" w:firstLineChars="200"/>
              <w:rPr>
                <w:b/>
                <w:color w:val="auto"/>
                <w:sz w:val="24"/>
              </w:rPr>
            </w:pPr>
            <w:r>
              <w:rPr>
                <w:rFonts w:hint="eastAsia"/>
                <w:b/>
                <w:color w:val="auto"/>
                <w:sz w:val="24"/>
              </w:rPr>
              <w:t>4、生态环境</w:t>
            </w:r>
          </w:p>
          <w:p w14:paraId="4346E333">
            <w:pPr>
              <w:adjustRightInd w:val="0"/>
              <w:snapToGrid w:val="0"/>
              <w:spacing w:line="360" w:lineRule="auto"/>
              <w:ind w:firstLine="480" w:firstLineChars="200"/>
              <w:rPr>
                <w:color w:val="auto"/>
                <w:sz w:val="24"/>
              </w:rPr>
            </w:pPr>
            <w:r>
              <w:rPr>
                <w:rFonts w:hint="eastAsia"/>
                <w:color w:val="auto"/>
                <w:sz w:val="24"/>
              </w:rPr>
              <w:t>本项目周边无生态环境敏感目标。</w:t>
            </w:r>
          </w:p>
          <w:p w14:paraId="02A04C89">
            <w:pPr>
              <w:adjustRightInd w:val="0"/>
              <w:snapToGrid w:val="0"/>
              <w:spacing w:line="360" w:lineRule="auto"/>
              <w:ind w:firstLine="480" w:firstLineChars="200"/>
              <w:rPr>
                <w:color w:val="auto"/>
                <w:sz w:val="24"/>
              </w:rPr>
            </w:pPr>
            <w:r>
              <w:rPr>
                <w:rFonts w:hint="eastAsia"/>
                <w:color w:val="auto"/>
                <w:sz w:val="24"/>
              </w:rPr>
              <w:t>各要素厂界外500m和50m范围及敏感目标分布情况见附图5。</w:t>
            </w:r>
          </w:p>
        </w:tc>
      </w:tr>
      <w:tr w14:paraId="652B1C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14:paraId="194246DC">
            <w:pPr>
              <w:adjustRightInd w:val="0"/>
              <w:snapToGrid w:val="0"/>
              <w:jc w:val="center"/>
              <w:rPr>
                <w:rFonts w:cs="宋体"/>
                <w:color w:val="auto"/>
                <w:kern w:val="0"/>
                <w:szCs w:val="21"/>
              </w:rPr>
            </w:pPr>
            <w:r>
              <w:rPr>
                <w:rFonts w:hint="eastAsia" w:cs="宋体"/>
                <w:color w:val="auto"/>
                <w:kern w:val="0"/>
                <w:szCs w:val="21"/>
              </w:rPr>
              <w:t>污染</w:t>
            </w:r>
          </w:p>
          <w:p w14:paraId="415876F9">
            <w:pPr>
              <w:adjustRightInd w:val="0"/>
              <w:snapToGrid w:val="0"/>
              <w:jc w:val="center"/>
              <w:rPr>
                <w:rFonts w:cs="宋体"/>
                <w:color w:val="auto"/>
                <w:kern w:val="0"/>
                <w:szCs w:val="21"/>
              </w:rPr>
            </w:pPr>
            <w:r>
              <w:rPr>
                <w:rFonts w:hint="eastAsia" w:cs="宋体"/>
                <w:color w:val="auto"/>
                <w:kern w:val="0"/>
                <w:szCs w:val="21"/>
              </w:rPr>
              <w:t>物排</w:t>
            </w:r>
          </w:p>
          <w:p w14:paraId="582C0667">
            <w:pPr>
              <w:adjustRightInd w:val="0"/>
              <w:snapToGrid w:val="0"/>
              <w:jc w:val="center"/>
              <w:rPr>
                <w:rFonts w:cs="宋体"/>
                <w:color w:val="auto"/>
                <w:kern w:val="0"/>
                <w:szCs w:val="21"/>
              </w:rPr>
            </w:pPr>
            <w:r>
              <w:rPr>
                <w:rFonts w:hint="eastAsia" w:cs="宋体"/>
                <w:color w:val="auto"/>
                <w:kern w:val="0"/>
                <w:szCs w:val="21"/>
              </w:rPr>
              <w:t>放控</w:t>
            </w:r>
          </w:p>
          <w:p w14:paraId="68F2BC3D">
            <w:pPr>
              <w:adjustRightInd w:val="0"/>
              <w:snapToGrid w:val="0"/>
              <w:jc w:val="center"/>
              <w:rPr>
                <w:rFonts w:cs="宋体"/>
                <w:color w:val="auto"/>
                <w:kern w:val="0"/>
                <w:szCs w:val="21"/>
              </w:rPr>
            </w:pPr>
            <w:r>
              <w:rPr>
                <w:rFonts w:hint="eastAsia" w:cs="宋体"/>
                <w:color w:val="auto"/>
                <w:kern w:val="0"/>
                <w:szCs w:val="21"/>
              </w:rPr>
              <w:t>制标</w:t>
            </w:r>
          </w:p>
          <w:p w14:paraId="4C122039">
            <w:pPr>
              <w:adjustRightInd w:val="0"/>
              <w:snapToGrid w:val="0"/>
              <w:jc w:val="center"/>
              <w:rPr>
                <w:rFonts w:cs="宋体"/>
                <w:color w:val="auto"/>
                <w:kern w:val="0"/>
                <w:szCs w:val="21"/>
              </w:rPr>
            </w:pPr>
            <w:r>
              <w:rPr>
                <w:rFonts w:hint="eastAsia" w:cs="宋体"/>
                <w:color w:val="auto"/>
                <w:kern w:val="0"/>
                <w:szCs w:val="21"/>
              </w:rPr>
              <w:t>准</w:t>
            </w:r>
          </w:p>
        </w:tc>
        <w:tc>
          <w:tcPr>
            <w:tcW w:w="8190" w:type="dxa"/>
            <w:vAlign w:val="center"/>
          </w:tcPr>
          <w:p w14:paraId="0296C9F7">
            <w:pPr>
              <w:spacing w:line="360" w:lineRule="auto"/>
              <w:ind w:firstLine="482"/>
              <w:rPr>
                <w:b/>
                <w:color w:val="auto"/>
                <w:sz w:val="24"/>
              </w:rPr>
            </w:pPr>
            <w:r>
              <w:rPr>
                <w:rFonts w:hint="eastAsia"/>
                <w:b/>
                <w:color w:val="auto"/>
                <w:sz w:val="24"/>
              </w:rPr>
              <w:t>1</w:t>
            </w:r>
            <w:r>
              <w:rPr>
                <w:b/>
                <w:color w:val="auto"/>
                <w:sz w:val="24"/>
              </w:rPr>
              <w:t>、</w:t>
            </w:r>
            <w:r>
              <w:rPr>
                <w:rFonts w:hint="eastAsia"/>
                <w:b/>
                <w:color w:val="auto"/>
                <w:sz w:val="24"/>
              </w:rPr>
              <w:t>废气</w:t>
            </w:r>
          </w:p>
          <w:p w14:paraId="34DF8D30">
            <w:pPr>
              <w:adjustRightInd w:val="0"/>
              <w:snapToGrid w:val="0"/>
              <w:spacing w:line="360" w:lineRule="auto"/>
              <w:ind w:firstLine="480" w:firstLineChars="200"/>
              <w:rPr>
                <w:color w:val="auto"/>
                <w:sz w:val="24"/>
              </w:rPr>
            </w:pPr>
            <w:r>
              <w:rPr>
                <w:rFonts w:hint="eastAsia"/>
                <w:color w:val="auto"/>
                <w:sz w:val="24"/>
              </w:rPr>
              <w:t>（1）施工期扬尘执行《大气污染物综合排放标准》（GB16297-1996）表2颗粒物无组织排放限值（1.0mg/m</w:t>
            </w:r>
            <w:r>
              <w:rPr>
                <w:rFonts w:hint="eastAsia"/>
                <w:color w:val="auto"/>
                <w:sz w:val="24"/>
                <w:vertAlign w:val="superscript"/>
              </w:rPr>
              <w:t xml:space="preserve"> </w:t>
            </w:r>
            <w:r>
              <w:rPr>
                <w:rFonts w:hint="eastAsia"/>
                <w:color w:val="auto"/>
                <w:sz w:val="24"/>
              </w:rPr>
              <w:t>）；</w:t>
            </w:r>
          </w:p>
          <w:p w14:paraId="225E68AD">
            <w:pPr>
              <w:adjustRightInd w:val="0"/>
              <w:snapToGrid w:val="0"/>
              <w:spacing w:line="360" w:lineRule="auto"/>
              <w:ind w:firstLine="480" w:firstLineChars="200"/>
              <w:rPr>
                <w:color w:val="auto"/>
                <w:sz w:val="24"/>
              </w:rPr>
            </w:pPr>
            <w:r>
              <w:rPr>
                <w:rFonts w:hint="eastAsia"/>
                <w:color w:val="auto"/>
                <w:sz w:val="24"/>
              </w:rPr>
              <w:t>（2）厂界颗粒物执行《大气污染物综合排放标准》（GB16297-1996）表2颗粒物无组织排放限值（1.0mg/m</w:t>
            </w:r>
            <w:r>
              <w:rPr>
                <w:rFonts w:hint="eastAsia"/>
                <w:color w:val="auto"/>
                <w:sz w:val="24"/>
                <w:vertAlign w:val="superscript"/>
              </w:rPr>
              <w:t xml:space="preserve"> </w:t>
            </w:r>
            <w:r>
              <w:rPr>
                <w:rFonts w:hint="eastAsia"/>
                <w:color w:val="auto"/>
                <w:sz w:val="24"/>
              </w:rPr>
              <w:t>）；</w:t>
            </w:r>
          </w:p>
          <w:p w14:paraId="734D9B32">
            <w:pPr>
              <w:adjustRightInd w:val="0"/>
              <w:snapToGrid w:val="0"/>
              <w:spacing w:line="360" w:lineRule="auto"/>
              <w:ind w:firstLine="480" w:firstLineChars="200"/>
              <w:rPr>
                <w:color w:val="auto"/>
                <w:sz w:val="24"/>
              </w:rPr>
            </w:pPr>
            <w:r>
              <w:rPr>
                <w:rFonts w:hint="eastAsia"/>
                <w:color w:val="auto"/>
                <w:sz w:val="24"/>
              </w:rPr>
              <w:t>（3）熔炼、浇筑及焊接废气颗粒物执行《铸造工业大气污染物排放标准》（GB 39726—2020）表1金属熔炼（化）大气污染物排放浓度限值中电弧炉、感应电炉、精炼炉等其它熔炼（化）炉；保温炉</w:t>
            </w:r>
            <w:r>
              <w:rPr>
                <w:rFonts w:hint="eastAsia"/>
                <w:color w:val="auto"/>
                <w:sz w:val="24"/>
                <w:vertAlign w:val="superscript"/>
              </w:rPr>
              <w:t>d</w:t>
            </w:r>
            <w:r>
              <w:rPr>
                <w:rFonts w:hint="eastAsia"/>
                <w:color w:val="auto"/>
                <w:sz w:val="24"/>
              </w:rPr>
              <w:t>的排放限值。</w:t>
            </w:r>
          </w:p>
          <w:p w14:paraId="09F71D76">
            <w:pPr>
              <w:pStyle w:val="23"/>
              <w:snapToGrid w:val="0"/>
              <w:spacing w:line="360" w:lineRule="auto"/>
              <w:ind w:firstLine="480"/>
              <w:rPr>
                <w:rFonts w:cs="宋体"/>
                <w:bCs/>
                <w:color w:val="auto"/>
                <w:sz w:val="24"/>
              </w:rPr>
            </w:pPr>
            <w:r>
              <w:rPr>
                <w:rFonts w:hint="eastAsia" w:cs="宋体"/>
                <w:bCs/>
                <w:color w:val="auto"/>
                <w:sz w:val="24"/>
              </w:rPr>
              <w:t>主要污染物排放标准详见表 3-3。</w:t>
            </w:r>
          </w:p>
          <w:p w14:paraId="7B6A2C50">
            <w:pPr>
              <w:pStyle w:val="100"/>
              <w:spacing w:before="120" w:line="228" w:lineRule="auto"/>
              <w:jc w:val="center"/>
              <w:rPr>
                <w:rFonts w:ascii="Times New Roman" w:hAnsi="Times New Roman" w:cs="Times New Roman"/>
                <w:b/>
                <w:color w:val="auto"/>
                <w:kern w:val="2"/>
                <w:sz w:val="21"/>
                <w:szCs w:val="20"/>
                <w:vertAlign w:val="superscript"/>
              </w:rPr>
            </w:pPr>
            <w:r>
              <w:rPr>
                <w:rFonts w:ascii="Times New Roman" w:hAnsi="Times New Roman" w:cs="Times New Roman"/>
                <w:b/>
                <w:color w:val="auto"/>
                <w:kern w:val="2"/>
                <w:sz w:val="21"/>
                <w:szCs w:val="20"/>
              </w:rPr>
              <w:t>表 3-</w:t>
            </w:r>
            <w:r>
              <w:rPr>
                <w:rFonts w:hint="eastAsia" w:ascii="Times New Roman" w:hAnsi="Times New Roman" w:cs="Times New Roman"/>
                <w:b/>
                <w:color w:val="auto"/>
                <w:kern w:val="2"/>
                <w:sz w:val="21"/>
                <w:szCs w:val="20"/>
              </w:rPr>
              <w:t>3</w:t>
            </w:r>
            <w:r>
              <w:rPr>
                <w:rFonts w:ascii="Times New Roman" w:hAnsi="Times New Roman" w:cs="Times New Roman"/>
                <w:b/>
                <w:color w:val="auto"/>
                <w:kern w:val="2"/>
                <w:sz w:val="21"/>
                <w:szCs w:val="20"/>
              </w:rPr>
              <w:t xml:space="preserve"> </w:t>
            </w:r>
            <w:r>
              <w:rPr>
                <w:rFonts w:hint="eastAsia" w:ascii="Times New Roman" w:hAnsi="Times New Roman" w:cs="Times New Roman"/>
                <w:b/>
                <w:color w:val="auto"/>
                <w:kern w:val="2"/>
                <w:sz w:val="21"/>
                <w:szCs w:val="20"/>
              </w:rPr>
              <w:t>金属熔炼（化）大气污染物排放浓度限值</w:t>
            </w:r>
            <w:r>
              <w:rPr>
                <w:rFonts w:ascii="Times New Roman" w:hAnsi="Times New Roman" w:cs="Times New Roman"/>
                <w:b/>
                <w:color w:val="auto"/>
                <w:kern w:val="2"/>
                <w:sz w:val="21"/>
                <w:szCs w:val="20"/>
              </w:rPr>
              <w:t>单位：mg/m</w:t>
            </w:r>
            <w:r>
              <w:rPr>
                <w:rFonts w:ascii="Times New Roman" w:hAnsi="Times New Roman" w:cs="Times New Roman"/>
                <w:b/>
                <w:color w:val="auto"/>
                <w:kern w:val="2"/>
                <w:sz w:val="21"/>
                <w:szCs w:val="20"/>
                <w:vertAlign w:val="superscript"/>
              </w:rPr>
              <w:t>3</w:t>
            </w:r>
          </w:p>
          <w:p w14:paraId="406195CA">
            <w:pPr>
              <w:spacing w:line="22" w:lineRule="exact"/>
              <w:rPr>
                <w:color w:val="auto"/>
              </w:rPr>
            </w:pPr>
          </w:p>
          <w:tbl>
            <w:tblPr>
              <w:tblStyle w:val="102"/>
              <w:tblW w:w="797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6"/>
              <w:gridCol w:w="1027"/>
              <w:gridCol w:w="1396"/>
              <w:gridCol w:w="1165"/>
              <w:gridCol w:w="3001"/>
            </w:tblGrid>
            <w:tr w14:paraId="5D7E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386" w:type="dxa"/>
                  <w:vAlign w:val="center"/>
                </w:tcPr>
                <w:p w14:paraId="1A5D4768">
                  <w:pPr>
                    <w:pStyle w:val="100"/>
                    <w:spacing w:before="155" w:line="229" w:lineRule="auto"/>
                    <w:jc w:val="center"/>
                    <w:rPr>
                      <w:rFonts w:ascii="Times New Roman" w:hAnsi="Times New Roman" w:eastAsia="Times New Roman" w:cs="Times New Roman"/>
                      <w:b/>
                      <w:bCs/>
                      <w:color w:val="auto"/>
                      <w:kern w:val="2"/>
                      <w:sz w:val="21"/>
                      <w:szCs w:val="21"/>
                    </w:rPr>
                  </w:pPr>
                  <w:r>
                    <w:rPr>
                      <w:rFonts w:ascii="Times New Roman" w:hAnsi="Times New Roman" w:eastAsia="Times New Roman" w:cs="Times New Roman"/>
                      <w:b/>
                      <w:bCs/>
                      <w:color w:val="auto"/>
                      <w:kern w:val="2"/>
                      <w:sz w:val="21"/>
                      <w:szCs w:val="21"/>
                    </w:rPr>
                    <w:t>污染源</w:t>
                  </w:r>
                </w:p>
              </w:tc>
              <w:tc>
                <w:tcPr>
                  <w:tcW w:w="2423" w:type="dxa"/>
                  <w:gridSpan w:val="2"/>
                  <w:vAlign w:val="center"/>
                </w:tcPr>
                <w:p w14:paraId="2089F9AF">
                  <w:pPr>
                    <w:pStyle w:val="100"/>
                    <w:spacing w:before="155" w:line="229" w:lineRule="auto"/>
                    <w:jc w:val="center"/>
                    <w:rPr>
                      <w:rFonts w:ascii="Times New Roman" w:hAnsi="Times New Roman" w:eastAsia="Times New Roman" w:cs="Times New Roman"/>
                      <w:b/>
                      <w:bCs/>
                      <w:color w:val="auto"/>
                      <w:kern w:val="2"/>
                      <w:sz w:val="21"/>
                      <w:szCs w:val="21"/>
                    </w:rPr>
                  </w:pPr>
                  <w:r>
                    <w:rPr>
                      <w:rFonts w:ascii="Times New Roman" w:hAnsi="Times New Roman" w:eastAsia="Times New Roman" w:cs="Times New Roman"/>
                      <w:b/>
                      <w:bCs/>
                      <w:color w:val="auto"/>
                      <w:kern w:val="2"/>
                      <w:sz w:val="21"/>
                      <w:szCs w:val="21"/>
                    </w:rPr>
                    <w:t>污染物</w:t>
                  </w:r>
                </w:p>
              </w:tc>
              <w:tc>
                <w:tcPr>
                  <w:tcW w:w="1165" w:type="dxa"/>
                  <w:vAlign w:val="center"/>
                </w:tcPr>
                <w:p w14:paraId="42DE2873">
                  <w:pPr>
                    <w:pStyle w:val="100"/>
                    <w:spacing w:before="35" w:line="236" w:lineRule="auto"/>
                    <w:ind w:left="283" w:right="146" w:hanging="129"/>
                    <w:jc w:val="center"/>
                    <w:rPr>
                      <w:rFonts w:ascii="Times New Roman" w:hAnsi="Times New Roman" w:eastAsia="Times New Roman" w:cs="Times New Roman"/>
                      <w:b/>
                      <w:bCs/>
                      <w:color w:val="auto"/>
                      <w:kern w:val="2"/>
                      <w:sz w:val="21"/>
                      <w:szCs w:val="21"/>
                    </w:rPr>
                  </w:pPr>
                  <w:r>
                    <w:rPr>
                      <w:rFonts w:ascii="Times New Roman" w:hAnsi="Times New Roman" w:eastAsia="Times New Roman" w:cs="Times New Roman"/>
                      <w:b/>
                      <w:bCs/>
                      <w:color w:val="auto"/>
                      <w:kern w:val="2"/>
                      <w:sz w:val="21"/>
                      <w:szCs w:val="21"/>
                    </w:rPr>
                    <w:t>排放浓度 mg/m</w:t>
                  </w:r>
                  <w:r>
                    <w:rPr>
                      <w:rFonts w:ascii="Times New Roman" w:hAnsi="Times New Roman" w:eastAsia="Times New Roman" w:cs="Times New Roman"/>
                      <w:b/>
                      <w:bCs/>
                      <w:color w:val="auto"/>
                      <w:kern w:val="2"/>
                      <w:sz w:val="21"/>
                      <w:szCs w:val="21"/>
                      <w:vertAlign w:val="superscript"/>
                    </w:rPr>
                    <w:t>3</w:t>
                  </w:r>
                </w:p>
              </w:tc>
              <w:tc>
                <w:tcPr>
                  <w:tcW w:w="3001" w:type="dxa"/>
                  <w:vAlign w:val="center"/>
                </w:tcPr>
                <w:p w14:paraId="3D5BB2EA">
                  <w:pPr>
                    <w:pStyle w:val="100"/>
                    <w:spacing w:before="156" w:line="228" w:lineRule="auto"/>
                    <w:jc w:val="center"/>
                    <w:rPr>
                      <w:rFonts w:ascii="Times New Roman" w:hAnsi="Times New Roman" w:eastAsia="Times New Roman" w:cs="Times New Roman"/>
                      <w:b/>
                      <w:bCs/>
                      <w:color w:val="auto"/>
                      <w:kern w:val="2"/>
                      <w:sz w:val="21"/>
                      <w:szCs w:val="21"/>
                    </w:rPr>
                  </w:pPr>
                  <w:r>
                    <w:rPr>
                      <w:rFonts w:ascii="Times New Roman" w:hAnsi="Times New Roman" w:eastAsia="Times New Roman" w:cs="Times New Roman"/>
                      <w:b/>
                      <w:bCs/>
                      <w:color w:val="auto"/>
                      <w:kern w:val="2"/>
                      <w:sz w:val="21"/>
                      <w:szCs w:val="21"/>
                    </w:rPr>
                    <w:t>标准来源</w:t>
                  </w:r>
                </w:p>
              </w:tc>
            </w:tr>
            <w:tr w14:paraId="57A4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386" w:type="dxa"/>
                  <w:vAlign w:val="center"/>
                </w:tcPr>
                <w:p w14:paraId="13373124">
                  <w:pPr>
                    <w:pStyle w:val="100"/>
                    <w:spacing w:before="65" w:line="229" w:lineRule="auto"/>
                    <w:jc w:val="center"/>
                    <w:rPr>
                      <w:rFonts w:ascii="Times New Roman" w:hAnsi="Times New Roman" w:eastAsia="Times New Roman" w:cs="Times New Roman"/>
                      <w:color w:val="auto"/>
                      <w:sz w:val="21"/>
                      <w:szCs w:val="21"/>
                    </w:rPr>
                  </w:pPr>
                  <w:r>
                    <w:rPr>
                      <w:rFonts w:hint="eastAsia" w:ascii="Times New Roman" w:hAnsi="Times New Roman" w:eastAsia="Times New Roman" w:cs="Times New Roman"/>
                      <w:color w:val="auto"/>
                      <w:spacing w:val="7"/>
                      <w:sz w:val="21"/>
                      <w:szCs w:val="21"/>
                    </w:rPr>
                    <w:t>熔炼、浇筑及焊接</w:t>
                  </w:r>
                  <w:r>
                    <w:rPr>
                      <w:rFonts w:ascii="Times New Roman" w:hAnsi="Times New Roman" w:eastAsia="Times New Roman" w:cs="Times New Roman"/>
                      <w:color w:val="auto"/>
                      <w:spacing w:val="7"/>
                      <w:sz w:val="21"/>
                      <w:szCs w:val="21"/>
                    </w:rPr>
                    <w:t>废气</w:t>
                  </w:r>
                </w:p>
              </w:tc>
              <w:tc>
                <w:tcPr>
                  <w:tcW w:w="1027" w:type="dxa"/>
                  <w:vAlign w:val="center"/>
                </w:tcPr>
                <w:p w14:paraId="2DF8579C">
                  <w:pPr>
                    <w:pStyle w:val="100"/>
                    <w:spacing w:before="65" w:line="229" w:lineRule="auto"/>
                    <w:jc w:val="center"/>
                    <w:rPr>
                      <w:rFonts w:ascii="Times New Roman" w:hAnsi="Times New Roman" w:eastAsia="Times New Roman" w:cs="Times New Roman"/>
                      <w:color w:val="auto"/>
                      <w:sz w:val="21"/>
                      <w:szCs w:val="21"/>
                    </w:rPr>
                  </w:pPr>
                  <w:r>
                    <w:rPr>
                      <w:rFonts w:hint="eastAsia" w:ascii="Times New Roman" w:hAnsi="Times New Roman" w:eastAsia="Times New Roman" w:cs="Times New Roman"/>
                      <w:color w:val="auto"/>
                      <w:sz w:val="21"/>
                      <w:szCs w:val="21"/>
                    </w:rPr>
                    <w:t>有组织</w:t>
                  </w:r>
                </w:p>
              </w:tc>
              <w:tc>
                <w:tcPr>
                  <w:tcW w:w="1396" w:type="dxa"/>
                  <w:vAlign w:val="center"/>
                </w:tcPr>
                <w:p w14:paraId="5553BA81">
                  <w:pPr>
                    <w:pStyle w:val="100"/>
                    <w:spacing w:before="78" w:line="229" w:lineRule="auto"/>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7"/>
                      <w:sz w:val="21"/>
                      <w:szCs w:val="21"/>
                    </w:rPr>
                    <w:t>颗粒物</w:t>
                  </w:r>
                </w:p>
              </w:tc>
              <w:tc>
                <w:tcPr>
                  <w:tcW w:w="1165" w:type="dxa"/>
                  <w:vAlign w:val="center"/>
                </w:tcPr>
                <w:p w14:paraId="146674F4">
                  <w:pPr>
                    <w:spacing w:before="114" w:line="195" w:lineRule="auto"/>
                    <w:jc w:val="center"/>
                    <w:rPr>
                      <w:rFonts w:eastAsia="Times New Roman"/>
                      <w:color w:val="auto"/>
                      <w:szCs w:val="21"/>
                    </w:rPr>
                  </w:pPr>
                  <w:r>
                    <w:rPr>
                      <w:rFonts w:hint="eastAsia" w:eastAsia="Times New Roman"/>
                      <w:color w:val="auto"/>
                      <w:spacing w:val="2"/>
                      <w:szCs w:val="21"/>
                    </w:rPr>
                    <w:t>30</w:t>
                  </w:r>
                </w:p>
              </w:tc>
              <w:tc>
                <w:tcPr>
                  <w:tcW w:w="3001" w:type="dxa"/>
                  <w:vAlign w:val="center"/>
                </w:tcPr>
                <w:p w14:paraId="7C240D60">
                  <w:pPr>
                    <w:pStyle w:val="100"/>
                    <w:spacing w:before="164" w:line="229" w:lineRule="auto"/>
                    <w:jc w:val="both"/>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8"/>
                      <w:sz w:val="21"/>
                      <w:szCs w:val="21"/>
                    </w:rPr>
                    <w:t>《铸造工业大气污染物排放标准》（GB 39726—2020）表1金属熔炼（化）大气污染物排放浓度限值中电弧炉、感应电炉、精炼炉等其它熔炼（化）炉；保温炉d的排放限值。</w:t>
                  </w:r>
                </w:p>
              </w:tc>
            </w:tr>
          </w:tbl>
          <w:p w14:paraId="48923C6B">
            <w:pPr>
              <w:spacing w:line="360" w:lineRule="auto"/>
              <w:ind w:firstLine="482"/>
              <w:rPr>
                <w:b/>
                <w:color w:val="auto"/>
                <w:sz w:val="24"/>
              </w:rPr>
            </w:pPr>
            <w:r>
              <w:rPr>
                <w:rFonts w:hint="eastAsia"/>
                <w:b/>
                <w:color w:val="auto"/>
                <w:sz w:val="24"/>
              </w:rPr>
              <w:t>2</w:t>
            </w:r>
            <w:r>
              <w:rPr>
                <w:b/>
                <w:color w:val="auto"/>
                <w:sz w:val="24"/>
              </w:rPr>
              <w:t>、</w:t>
            </w:r>
            <w:r>
              <w:rPr>
                <w:b/>
                <w:color w:val="auto"/>
                <w:sz w:val="24"/>
                <w:szCs w:val="20"/>
              </w:rPr>
              <w:t>废水</w:t>
            </w:r>
          </w:p>
          <w:p w14:paraId="7D4F7C24">
            <w:pPr>
              <w:pStyle w:val="23"/>
              <w:snapToGrid w:val="0"/>
              <w:spacing w:line="360" w:lineRule="auto"/>
              <w:ind w:firstLine="480"/>
              <w:rPr>
                <w:rFonts w:cs="宋体"/>
                <w:bCs/>
                <w:color w:val="auto"/>
                <w:sz w:val="24"/>
              </w:rPr>
            </w:pPr>
            <w:r>
              <w:rPr>
                <w:rFonts w:hint="eastAsia"/>
                <w:color w:val="auto"/>
                <w:sz w:val="24"/>
              </w:rPr>
              <w:t>（1）</w:t>
            </w:r>
            <w:r>
              <w:rPr>
                <w:rFonts w:hint="eastAsia" w:cs="宋体"/>
                <w:bCs/>
                <w:color w:val="auto"/>
                <w:sz w:val="24"/>
              </w:rPr>
              <w:t>施工期生活污水执行《污水综合排放标准》（GB8978-1996）表4三级标准。</w:t>
            </w:r>
          </w:p>
          <w:p w14:paraId="0FCAA1A9">
            <w:pPr>
              <w:pStyle w:val="23"/>
              <w:snapToGrid w:val="0"/>
              <w:spacing w:line="360" w:lineRule="auto"/>
              <w:ind w:firstLine="480"/>
              <w:rPr>
                <w:rFonts w:cs="宋体"/>
                <w:bCs/>
                <w:color w:val="auto"/>
                <w:sz w:val="24"/>
              </w:rPr>
            </w:pPr>
            <w:r>
              <w:rPr>
                <w:rFonts w:hint="eastAsia" w:cs="宋体"/>
                <w:bCs/>
                <w:color w:val="auto"/>
                <w:sz w:val="24"/>
              </w:rPr>
              <w:t>（2）运营期生活污水排入排水管道进入园区污水厂处理。生活污水执行《污水综合排放标准》（GB8978- 1996）表 4 三级标准。主要污染物排放标准详见表 3-4。</w:t>
            </w:r>
          </w:p>
          <w:p w14:paraId="1D725BA4">
            <w:pPr>
              <w:pStyle w:val="100"/>
              <w:spacing w:before="120" w:line="228" w:lineRule="auto"/>
              <w:ind w:left="2849"/>
              <w:rPr>
                <w:rFonts w:ascii="Times New Roman" w:hAnsi="Times New Roman" w:cs="Times New Roman"/>
                <w:b/>
                <w:color w:val="auto"/>
                <w:kern w:val="2"/>
                <w:sz w:val="21"/>
                <w:szCs w:val="20"/>
              </w:rPr>
            </w:pPr>
            <w:r>
              <w:rPr>
                <w:rFonts w:ascii="Times New Roman" w:hAnsi="Times New Roman" w:cs="Times New Roman"/>
                <w:b/>
                <w:color w:val="auto"/>
                <w:kern w:val="2"/>
                <w:sz w:val="21"/>
                <w:szCs w:val="20"/>
              </w:rPr>
              <w:t>表 3-</w:t>
            </w:r>
            <w:r>
              <w:rPr>
                <w:rFonts w:hint="eastAsia" w:ascii="Times New Roman" w:hAnsi="Times New Roman" w:cs="Times New Roman"/>
                <w:b/>
                <w:color w:val="auto"/>
                <w:kern w:val="2"/>
                <w:sz w:val="21"/>
                <w:szCs w:val="20"/>
              </w:rPr>
              <w:t xml:space="preserve">4 </w:t>
            </w:r>
            <w:r>
              <w:rPr>
                <w:rFonts w:ascii="Times New Roman" w:hAnsi="Times New Roman" w:cs="Times New Roman"/>
                <w:b/>
                <w:color w:val="auto"/>
                <w:kern w:val="2"/>
                <w:sz w:val="21"/>
                <w:szCs w:val="20"/>
              </w:rPr>
              <w:t xml:space="preserve"> 废水污染物排放标准</w:t>
            </w:r>
          </w:p>
          <w:p w14:paraId="693E4F68">
            <w:pPr>
              <w:spacing w:line="14" w:lineRule="exact"/>
              <w:rPr>
                <w:color w:val="auto"/>
              </w:rPr>
            </w:pPr>
          </w:p>
          <w:tbl>
            <w:tblPr>
              <w:tblStyle w:val="102"/>
              <w:tblW w:w="797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9"/>
              <w:gridCol w:w="1647"/>
              <w:gridCol w:w="1594"/>
              <w:gridCol w:w="1994"/>
            </w:tblGrid>
            <w:tr w14:paraId="71FF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2739" w:type="dxa"/>
                </w:tcPr>
                <w:p w14:paraId="2F7B7697">
                  <w:pPr>
                    <w:adjustRightInd w:val="0"/>
                    <w:snapToGrid w:val="0"/>
                    <w:spacing w:line="320" w:lineRule="exact"/>
                    <w:jc w:val="center"/>
                    <w:rPr>
                      <w:rFonts w:eastAsia="Times New Roman"/>
                      <w:b/>
                      <w:bCs/>
                      <w:color w:val="auto"/>
                      <w:szCs w:val="21"/>
                    </w:rPr>
                  </w:pPr>
                  <w:r>
                    <w:rPr>
                      <w:rFonts w:eastAsia="Times New Roman"/>
                      <w:b/>
                      <w:bCs/>
                      <w:color w:val="auto"/>
                      <w:szCs w:val="21"/>
                    </w:rPr>
                    <w:t>污染物名称</w:t>
                  </w:r>
                </w:p>
              </w:tc>
              <w:tc>
                <w:tcPr>
                  <w:tcW w:w="1647" w:type="dxa"/>
                </w:tcPr>
                <w:p w14:paraId="0EE410DF">
                  <w:pPr>
                    <w:adjustRightInd w:val="0"/>
                    <w:snapToGrid w:val="0"/>
                    <w:spacing w:line="320" w:lineRule="exact"/>
                    <w:jc w:val="center"/>
                    <w:rPr>
                      <w:rFonts w:eastAsia="Times New Roman"/>
                      <w:b/>
                      <w:bCs/>
                      <w:color w:val="auto"/>
                      <w:szCs w:val="21"/>
                    </w:rPr>
                  </w:pPr>
                  <w:r>
                    <w:rPr>
                      <w:rFonts w:eastAsia="Times New Roman"/>
                      <w:b/>
                      <w:bCs/>
                      <w:color w:val="auto"/>
                      <w:szCs w:val="21"/>
                    </w:rPr>
                    <w:t>单位</w:t>
                  </w:r>
                </w:p>
              </w:tc>
              <w:tc>
                <w:tcPr>
                  <w:tcW w:w="1594" w:type="dxa"/>
                </w:tcPr>
                <w:p w14:paraId="72B053FD">
                  <w:pPr>
                    <w:adjustRightInd w:val="0"/>
                    <w:snapToGrid w:val="0"/>
                    <w:spacing w:line="320" w:lineRule="exact"/>
                    <w:jc w:val="center"/>
                    <w:rPr>
                      <w:rFonts w:eastAsia="Times New Roman"/>
                      <w:b/>
                      <w:bCs/>
                      <w:color w:val="auto"/>
                      <w:szCs w:val="21"/>
                    </w:rPr>
                  </w:pPr>
                  <w:r>
                    <w:rPr>
                      <w:rFonts w:eastAsia="Times New Roman"/>
                      <w:b/>
                      <w:bCs/>
                      <w:color w:val="auto"/>
                      <w:szCs w:val="21"/>
                    </w:rPr>
                    <w:t>C 级标准</w:t>
                  </w:r>
                </w:p>
              </w:tc>
              <w:tc>
                <w:tcPr>
                  <w:tcW w:w="1994" w:type="dxa"/>
                </w:tcPr>
                <w:p w14:paraId="37683938">
                  <w:pPr>
                    <w:adjustRightInd w:val="0"/>
                    <w:snapToGrid w:val="0"/>
                    <w:spacing w:line="320" w:lineRule="exact"/>
                    <w:jc w:val="center"/>
                    <w:rPr>
                      <w:rFonts w:eastAsia="Times New Roman"/>
                      <w:b/>
                      <w:bCs/>
                      <w:color w:val="auto"/>
                      <w:szCs w:val="21"/>
                    </w:rPr>
                  </w:pPr>
                  <w:r>
                    <w:rPr>
                      <w:rFonts w:eastAsia="Times New Roman"/>
                      <w:b/>
                      <w:bCs/>
                      <w:color w:val="auto"/>
                      <w:szCs w:val="21"/>
                    </w:rPr>
                    <w:t>标准来源</w:t>
                  </w:r>
                </w:p>
              </w:tc>
            </w:tr>
            <w:tr w14:paraId="645A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2739" w:type="dxa"/>
                </w:tcPr>
                <w:p w14:paraId="57B3B8FF">
                  <w:pPr>
                    <w:pStyle w:val="100"/>
                    <w:spacing w:before="47" w:line="226" w:lineRule="auto"/>
                    <w:ind w:left="181"/>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9"/>
                      <w:sz w:val="21"/>
                      <w:szCs w:val="21"/>
                    </w:rPr>
                    <w:t>五日生化需氧量（</w:t>
                  </w:r>
                  <w:r>
                    <w:rPr>
                      <w:rFonts w:ascii="Times New Roman" w:hAnsi="Times New Roman" w:eastAsia="Times New Roman" w:cs="Times New Roman"/>
                      <w:color w:val="auto"/>
                      <w:sz w:val="21"/>
                      <w:szCs w:val="21"/>
                    </w:rPr>
                    <w:t>BOD</w:t>
                  </w:r>
                  <w:r>
                    <w:rPr>
                      <w:rFonts w:ascii="Times New Roman" w:hAnsi="Times New Roman" w:eastAsia="Times New Roman" w:cs="Times New Roman"/>
                      <w:color w:val="auto"/>
                      <w:spacing w:val="9"/>
                      <w:position w:val="-1"/>
                      <w:sz w:val="21"/>
                      <w:szCs w:val="21"/>
                      <w:vertAlign w:val="subscript"/>
                    </w:rPr>
                    <w:t>5</w:t>
                  </w:r>
                  <w:r>
                    <w:rPr>
                      <w:rFonts w:ascii="Times New Roman" w:hAnsi="Times New Roman" w:eastAsia="Times New Roman" w:cs="Times New Roman"/>
                      <w:color w:val="auto"/>
                      <w:spacing w:val="9"/>
                      <w:sz w:val="21"/>
                      <w:szCs w:val="21"/>
                    </w:rPr>
                    <w:t>）</w:t>
                  </w:r>
                </w:p>
              </w:tc>
              <w:tc>
                <w:tcPr>
                  <w:tcW w:w="1647" w:type="dxa"/>
                </w:tcPr>
                <w:p w14:paraId="7A6861CE">
                  <w:pPr>
                    <w:spacing w:before="16" w:line="274" w:lineRule="exact"/>
                    <w:ind w:left="595"/>
                    <w:rPr>
                      <w:rFonts w:eastAsia="Times New Roman"/>
                      <w:color w:val="auto"/>
                      <w:szCs w:val="21"/>
                    </w:rPr>
                  </w:pPr>
                  <w:r>
                    <w:rPr>
                      <w:rFonts w:eastAsia="Times New Roman"/>
                      <w:color w:val="auto"/>
                      <w:position w:val="3"/>
                      <w:szCs w:val="21"/>
                    </w:rPr>
                    <w:t>mg</w:t>
                  </w:r>
                  <w:r>
                    <w:rPr>
                      <w:rFonts w:eastAsia="Times New Roman"/>
                      <w:color w:val="auto"/>
                      <w:spacing w:val="8"/>
                      <w:position w:val="3"/>
                      <w:szCs w:val="21"/>
                    </w:rPr>
                    <w:t>/L</w:t>
                  </w:r>
                </w:p>
              </w:tc>
              <w:tc>
                <w:tcPr>
                  <w:tcW w:w="1594" w:type="dxa"/>
                </w:tcPr>
                <w:p w14:paraId="6476BBB1">
                  <w:pPr>
                    <w:spacing w:before="82" w:line="195" w:lineRule="auto"/>
                    <w:ind w:left="645"/>
                    <w:rPr>
                      <w:rFonts w:eastAsia="Times New Roman"/>
                      <w:color w:val="auto"/>
                      <w:szCs w:val="21"/>
                    </w:rPr>
                  </w:pPr>
                  <w:r>
                    <w:rPr>
                      <w:rFonts w:eastAsia="Times New Roman"/>
                      <w:color w:val="auto"/>
                      <w:spacing w:val="2"/>
                      <w:szCs w:val="21"/>
                    </w:rPr>
                    <w:t>300</w:t>
                  </w:r>
                </w:p>
              </w:tc>
              <w:tc>
                <w:tcPr>
                  <w:tcW w:w="1994" w:type="dxa"/>
                  <w:vMerge w:val="restart"/>
                </w:tcPr>
                <w:p w14:paraId="54760D22">
                  <w:pPr>
                    <w:pStyle w:val="100"/>
                    <w:spacing w:before="217" w:line="259" w:lineRule="auto"/>
                    <w:ind w:right="22"/>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8"/>
                      <w:sz w:val="21"/>
                      <w:szCs w:val="21"/>
                    </w:rPr>
                    <w:t>《污水综合排放标</w:t>
                  </w:r>
                  <w:r>
                    <w:rPr>
                      <w:rFonts w:ascii="Times New Roman" w:hAnsi="Times New Roman" w:eastAsia="Times New Roman" w:cs="Times New Roman"/>
                      <w:color w:val="auto"/>
                      <w:sz w:val="21"/>
                      <w:szCs w:val="21"/>
                    </w:rPr>
                    <w:t xml:space="preserve">  </w:t>
                  </w:r>
                  <w:r>
                    <w:rPr>
                      <w:rFonts w:ascii="Times New Roman" w:hAnsi="Times New Roman" w:eastAsia="Times New Roman" w:cs="Times New Roman"/>
                      <w:color w:val="auto"/>
                      <w:spacing w:val="-8"/>
                      <w:sz w:val="21"/>
                      <w:szCs w:val="21"/>
                    </w:rPr>
                    <w:t>准》（GB8978-</w:t>
                  </w:r>
                  <w:r>
                    <w:rPr>
                      <w:rFonts w:ascii="Times New Roman" w:hAnsi="Times New Roman" w:eastAsia="Times New Roman" w:cs="Times New Roman"/>
                      <w:color w:val="auto"/>
                      <w:spacing w:val="-22"/>
                      <w:sz w:val="21"/>
                      <w:szCs w:val="21"/>
                    </w:rPr>
                    <w:t xml:space="preserve"> </w:t>
                  </w:r>
                  <w:r>
                    <w:rPr>
                      <w:rFonts w:ascii="Times New Roman" w:hAnsi="Times New Roman" w:eastAsia="Times New Roman" w:cs="Times New Roman"/>
                      <w:color w:val="auto"/>
                      <w:spacing w:val="-8"/>
                      <w:sz w:val="21"/>
                      <w:szCs w:val="21"/>
                    </w:rPr>
                    <w:t>1996）</w:t>
                  </w:r>
                  <w:r>
                    <w:rPr>
                      <w:rFonts w:ascii="Times New Roman" w:hAnsi="Times New Roman" w:eastAsia="Times New Roman" w:cs="Times New Roman"/>
                      <w:color w:val="auto"/>
                      <w:spacing w:val="5"/>
                      <w:position w:val="-2"/>
                      <w:sz w:val="21"/>
                      <w:szCs w:val="21"/>
                    </w:rPr>
                    <w:t>表</w:t>
                  </w:r>
                  <w:r>
                    <w:rPr>
                      <w:rFonts w:ascii="Times New Roman" w:hAnsi="Times New Roman" w:eastAsia="Times New Roman" w:cs="Times New Roman"/>
                      <w:color w:val="auto"/>
                      <w:spacing w:val="-43"/>
                      <w:position w:val="-2"/>
                      <w:sz w:val="21"/>
                      <w:szCs w:val="21"/>
                    </w:rPr>
                    <w:t xml:space="preserve"> </w:t>
                  </w:r>
                  <w:r>
                    <w:rPr>
                      <w:rFonts w:ascii="Times New Roman" w:hAnsi="Times New Roman" w:eastAsia="Times New Roman" w:cs="Times New Roman"/>
                      <w:color w:val="auto"/>
                      <w:spacing w:val="5"/>
                      <w:position w:val="-2"/>
                      <w:sz w:val="21"/>
                      <w:szCs w:val="21"/>
                    </w:rPr>
                    <w:t>4</w:t>
                  </w:r>
                  <w:r>
                    <w:rPr>
                      <w:rFonts w:ascii="Times New Roman" w:hAnsi="Times New Roman" w:eastAsia="Times New Roman" w:cs="Times New Roman"/>
                      <w:color w:val="auto"/>
                      <w:spacing w:val="12"/>
                      <w:position w:val="-2"/>
                      <w:sz w:val="21"/>
                      <w:szCs w:val="21"/>
                    </w:rPr>
                    <w:t xml:space="preserve"> </w:t>
                  </w:r>
                  <w:r>
                    <w:rPr>
                      <w:rFonts w:ascii="Times New Roman" w:hAnsi="Times New Roman" w:eastAsia="Times New Roman" w:cs="Times New Roman"/>
                      <w:color w:val="auto"/>
                      <w:spacing w:val="5"/>
                      <w:position w:val="-2"/>
                      <w:sz w:val="21"/>
                      <w:szCs w:val="21"/>
                    </w:rPr>
                    <w:t>三级标准</w:t>
                  </w:r>
                </w:p>
              </w:tc>
            </w:tr>
            <w:tr w14:paraId="60CE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739" w:type="dxa"/>
                </w:tcPr>
                <w:p w14:paraId="041C7A72">
                  <w:pPr>
                    <w:pStyle w:val="100"/>
                    <w:spacing w:before="61" w:line="222" w:lineRule="auto"/>
                    <w:ind w:left="339"/>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11"/>
                      <w:sz w:val="21"/>
                      <w:szCs w:val="21"/>
                    </w:rPr>
                    <w:t>化学需氧量（</w:t>
                  </w:r>
                  <w:r>
                    <w:rPr>
                      <w:rFonts w:ascii="Times New Roman" w:hAnsi="Times New Roman" w:eastAsia="Times New Roman" w:cs="Times New Roman"/>
                      <w:color w:val="auto"/>
                      <w:sz w:val="21"/>
                      <w:szCs w:val="21"/>
                    </w:rPr>
                    <w:t>COD</w:t>
                  </w:r>
                  <w:r>
                    <w:rPr>
                      <w:rFonts w:ascii="Times New Roman" w:hAnsi="Times New Roman" w:eastAsia="Times New Roman" w:cs="Times New Roman"/>
                      <w:color w:val="auto"/>
                      <w:sz w:val="21"/>
                      <w:szCs w:val="21"/>
                      <w:vertAlign w:val="subscript"/>
                    </w:rPr>
                    <w:t>cr</w:t>
                  </w:r>
                  <w:r>
                    <w:rPr>
                      <w:rFonts w:ascii="Times New Roman" w:hAnsi="Times New Roman" w:eastAsia="Times New Roman" w:cs="Times New Roman"/>
                      <w:color w:val="auto"/>
                      <w:spacing w:val="11"/>
                      <w:sz w:val="21"/>
                      <w:szCs w:val="21"/>
                    </w:rPr>
                    <w:t>）</w:t>
                  </w:r>
                </w:p>
              </w:tc>
              <w:tc>
                <w:tcPr>
                  <w:tcW w:w="1647" w:type="dxa"/>
                </w:tcPr>
                <w:p w14:paraId="56529368">
                  <w:pPr>
                    <w:spacing w:before="30" w:line="272" w:lineRule="exact"/>
                    <w:ind w:left="595"/>
                    <w:rPr>
                      <w:rFonts w:eastAsia="Times New Roman"/>
                      <w:color w:val="auto"/>
                      <w:szCs w:val="21"/>
                    </w:rPr>
                  </w:pPr>
                  <w:r>
                    <w:rPr>
                      <w:rFonts w:eastAsia="Times New Roman"/>
                      <w:color w:val="auto"/>
                      <w:position w:val="3"/>
                      <w:szCs w:val="21"/>
                    </w:rPr>
                    <w:t>mg</w:t>
                  </w:r>
                  <w:r>
                    <w:rPr>
                      <w:rFonts w:eastAsia="Times New Roman"/>
                      <w:color w:val="auto"/>
                      <w:spacing w:val="8"/>
                      <w:position w:val="3"/>
                      <w:szCs w:val="21"/>
                    </w:rPr>
                    <w:t>/L</w:t>
                  </w:r>
                </w:p>
              </w:tc>
              <w:tc>
                <w:tcPr>
                  <w:tcW w:w="1594" w:type="dxa"/>
                </w:tcPr>
                <w:p w14:paraId="2472D296">
                  <w:pPr>
                    <w:spacing w:before="97" w:line="195" w:lineRule="auto"/>
                    <w:ind w:left="646"/>
                    <w:rPr>
                      <w:rFonts w:eastAsia="Times New Roman"/>
                      <w:color w:val="auto"/>
                      <w:szCs w:val="21"/>
                    </w:rPr>
                  </w:pPr>
                  <w:r>
                    <w:rPr>
                      <w:rFonts w:eastAsia="Times New Roman"/>
                      <w:color w:val="auto"/>
                      <w:spacing w:val="1"/>
                      <w:szCs w:val="21"/>
                    </w:rPr>
                    <w:t>500</w:t>
                  </w:r>
                </w:p>
              </w:tc>
              <w:tc>
                <w:tcPr>
                  <w:tcW w:w="1994" w:type="dxa"/>
                  <w:vMerge w:val="continue"/>
                </w:tcPr>
                <w:p w14:paraId="781DA4B1">
                  <w:pPr>
                    <w:rPr>
                      <w:rFonts w:eastAsia="Times New Roman"/>
                      <w:color w:val="auto"/>
                      <w:szCs w:val="21"/>
                    </w:rPr>
                  </w:pPr>
                </w:p>
              </w:tc>
            </w:tr>
            <w:tr w14:paraId="4ED0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739" w:type="dxa"/>
                </w:tcPr>
                <w:p w14:paraId="35672B0F">
                  <w:pPr>
                    <w:pStyle w:val="100"/>
                    <w:spacing w:before="65" w:line="218" w:lineRule="auto"/>
                    <w:ind w:left="737"/>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7"/>
                      <w:sz w:val="21"/>
                      <w:szCs w:val="21"/>
                    </w:rPr>
                    <w:t>悬浮物（</w:t>
                  </w:r>
                  <w:r>
                    <w:rPr>
                      <w:rFonts w:ascii="Times New Roman" w:hAnsi="Times New Roman" w:eastAsia="Times New Roman" w:cs="Times New Roman"/>
                      <w:color w:val="auto"/>
                      <w:sz w:val="21"/>
                      <w:szCs w:val="21"/>
                    </w:rPr>
                    <w:t>SS</w:t>
                  </w:r>
                  <w:r>
                    <w:rPr>
                      <w:rFonts w:ascii="Times New Roman" w:hAnsi="Times New Roman" w:eastAsia="Times New Roman" w:cs="Times New Roman"/>
                      <w:color w:val="auto"/>
                      <w:spacing w:val="7"/>
                      <w:sz w:val="21"/>
                      <w:szCs w:val="21"/>
                    </w:rPr>
                    <w:t>）</w:t>
                  </w:r>
                </w:p>
              </w:tc>
              <w:tc>
                <w:tcPr>
                  <w:tcW w:w="1647" w:type="dxa"/>
                </w:tcPr>
                <w:p w14:paraId="22AA5535">
                  <w:pPr>
                    <w:spacing w:before="35" w:line="267" w:lineRule="exact"/>
                    <w:ind w:left="595"/>
                    <w:rPr>
                      <w:rFonts w:eastAsia="Times New Roman"/>
                      <w:color w:val="auto"/>
                      <w:szCs w:val="21"/>
                    </w:rPr>
                  </w:pPr>
                  <w:r>
                    <w:rPr>
                      <w:rFonts w:eastAsia="Times New Roman"/>
                      <w:color w:val="auto"/>
                      <w:position w:val="3"/>
                      <w:szCs w:val="21"/>
                    </w:rPr>
                    <w:t>mg</w:t>
                  </w:r>
                  <w:r>
                    <w:rPr>
                      <w:rFonts w:eastAsia="Times New Roman"/>
                      <w:color w:val="auto"/>
                      <w:spacing w:val="8"/>
                      <w:position w:val="3"/>
                      <w:szCs w:val="21"/>
                    </w:rPr>
                    <w:t>/L</w:t>
                  </w:r>
                </w:p>
              </w:tc>
              <w:tc>
                <w:tcPr>
                  <w:tcW w:w="1594" w:type="dxa"/>
                </w:tcPr>
                <w:p w14:paraId="4DC5F2A3">
                  <w:pPr>
                    <w:spacing w:before="102" w:line="195" w:lineRule="auto"/>
                    <w:ind w:left="640"/>
                    <w:rPr>
                      <w:rFonts w:eastAsia="Times New Roman"/>
                      <w:color w:val="auto"/>
                      <w:szCs w:val="21"/>
                    </w:rPr>
                  </w:pPr>
                  <w:r>
                    <w:rPr>
                      <w:rFonts w:eastAsia="Times New Roman"/>
                      <w:color w:val="auto"/>
                      <w:spacing w:val="4"/>
                      <w:szCs w:val="21"/>
                    </w:rPr>
                    <w:t>400</w:t>
                  </w:r>
                </w:p>
              </w:tc>
              <w:tc>
                <w:tcPr>
                  <w:tcW w:w="1994" w:type="dxa"/>
                  <w:vMerge w:val="continue"/>
                </w:tcPr>
                <w:p w14:paraId="1F174064">
                  <w:pPr>
                    <w:rPr>
                      <w:rFonts w:eastAsia="Times New Roman"/>
                      <w:color w:val="auto"/>
                      <w:szCs w:val="21"/>
                    </w:rPr>
                  </w:pPr>
                </w:p>
              </w:tc>
            </w:tr>
            <w:tr w14:paraId="72FE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2739" w:type="dxa"/>
                </w:tcPr>
                <w:p w14:paraId="7B6C9D61">
                  <w:pPr>
                    <w:pStyle w:val="100"/>
                    <w:spacing w:before="70" w:line="228" w:lineRule="auto"/>
                    <w:ind w:left="1166"/>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4"/>
                      <w:sz w:val="21"/>
                      <w:szCs w:val="21"/>
                    </w:rPr>
                    <w:t>氨氮</w:t>
                  </w:r>
                </w:p>
              </w:tc>
              <w:tc>
                <w:tcPr>
                  <w:tcW w:w="1647" w:type="dxa"/>
                  <w:vAlign w:val="center"/>
                </w:tcPr>
                <w:p w14:paraId="7364918B">
                  <w:pPr>
                    <w:spacing w:line="234" w:lineRule="exact"/>
                    <w:ind w:left="595"/>
                    <w:rPr>
                      <w:rFonts w:eastAsia="Times New Roman"/>
                      <w:color w:val="auto"/>
                      <w:szCs w:val="21"/>
                    </w:rPr>
                  </w:pPr>
                  <w:r>
                    <w:rPr>
                      <w:rFonts w:eastAsia="Times New Roman"/>
                      <w:color w:val="auto"/>
                      <w:position w:val="2"/>
                      <w:szCs w:val="21"/>
                    </w:rPr>
                    <w:t>mg</w:t>
                  </w:r>
                  <w:r>
                    <w:rPr>
                      <w:rFonts w:eastAsia="Times New Roman"/>
                      <w:color w:val="auto"/>
                      <w:spacing w:val="8"/>
                      <w:position w:val="2"/>
                      <w:szCs w:val="21"/>
                    </w:rPr>
                    <w:t>/L</w:t>
                  </w:r>
                </w:p>
              </w:tc>
              <w:tc>
                <w:tcPr>
                  <w:tcW w:w="1594" w:type="dxa"/>
                </w:tcPr>
                <w:p w14:paraId="2225C649">
                  <w:pPr>
                    <w:spacing w:before="114" w:line="97" w:lineRule="exact"/>
                    <w:ind w:left="767"/>
                    <w:rPr>
                      <w:rFonts w:eastAsia="Times New Roman"/>
                      <w:color w:val="auto"/>
                      <w:szCs w:val="21"/>
                    </w:rPr>
                  </w:pPr>
                  <w:r>
                    <w:rPr>
                      <w:rFonts w:eastAsia="Times New Roman"/>
                      <w:color w:val="auto"/>
                      <w:position w:val="-2"/>
                      <w:szCs w:val="21"/>
                    </w:rPr>
                    <w:t>-</w:t>
                  </w:r>
                </w:p>
              </w:tc>
              <w:tc>
                <w:tcPr>
                  <w:tcW w:w="1994" w:type="dxa"/>
                  <w:vMerge w:val="continue"/>
                </w:tcPr>
                <w:p w14:paraId="62218D0C">
                  <w:pPr>
                    <w:rPr>
                      <w:rFonts w:eastAsia="Times New Roman"/>
                      <w:color w:val="auto"/>
                      <w:szCs w:val="21"/>
                    </w:rPr>
                  </w:pPr>
                </w:p>
              </w:tc>
            </w:tr>
          </w:tbl>
          <w:p w14:paraId="79355474">
            <w:pPr>
              <w:spacing w:line="360" w:lineRule="auto"/>
              <w:ind w:firstLine="482"/>
              <w:rPr>
                <w:b/>
                <w:color w:val="auto"/>
                <w:sz w:val="24"/>
              </w:rPr>
            </w:pPr>
            <w:r>
              <w:rPr>
                <w:rFonts w:hint="eastAsia"/>
                <w:b/>
                <w:color w:val="auto"/>
                <w:sz w:val="24"/>
              </w:rPr>
              <w:t>3</w:t>
            </w:r>
            <w:r>
              <w:rPr>
                <w:b/>
                <w:color w:val="auto"/>
                <w:sz w:val="24"/>
              </w:rPr>
              <w:t>、噪声</w:t>
            </w:r>
          </w:p>
          <w:p w14:paraId="4428E909">
            <w:pPr>
              <w:spacing w:line="360" w:lineRule="auto"/>
              <w:ind w:firstLine="480"/>
              <w:rPr>
                <w:rFonts w:cs="宋体"/>
                <w:color w:val="auto"/>
                <w:sz w:val="24"/>
              </w:rPr>
            </w:pPr>
            <w:r>
              <w:rPr>
                <w:rFonts w:hint="eastAsia"/>
                <w:color w:val="auto"/>
                <w:sz w:val="24"/>
              </w:rPr>
              <w:t>（1）</w:t>
            </w:r>
            <w:r>
              <w:rPr>
                <w:rFonts w:hint="eastAsia" w:cs="宋体"/>
                <w:bCs/>
                <w:color w:val="auto"/>
                <w:sz w:val="24"/>
              </w:rPr>
              <w:t>施工期噪声执行</w:t>
            </w:r>
            <w:r>
              <w:rPr>
                <w:rFonts w:hint="eastAsia" w:cs="宋体"/>
                <w:color w:val="auto"/>
                <w:sz w:val="24"/>
              </w:rPr>
              <w:t>《建筑施工场界环境噪声排放标准》(GB12523-2011)，即昼间70dB(A)、夜间55dB(A)。</w:t>
            </w:r>
          </w:p>
          <w:p w14:paraId="15B5F2B7">
            <w:pPr>
              <w:spacing w:line="360" w:lineRule="auto"/>
              <w:ind w:firstLine="480"/>
              <w:rPr>
                <w:color w:val="auto"/>
                <w:sz w:val="24"/>
              </w:rPr>
            </w:pPr>
            <w:r>
              <w:rPr>
                <w:rFonts w:hint="eastAsia"/>
                <w:color w:val="auto"/>
                <w:sz w:val="24"/>
              </w:rPr>
              <w:t>（2）</w:t>
            </w:r>
            <w:r>
              <w:rPr>
                <w:color w:val="auto"/>
                <w:sz w:val="24"/>
              </w:rPr>
              <w:t>运营期厂界噪声执行《工业企业厂界环境噪声排放标准》（GB12348-2008）中</w:t>
            </w:r>
            <w:r>
              <w:rPr>
                <w:rFonts w:hint="eastAsia"/>
                <w:color w:val="auto"/>
                <w:sz w:val="24"/>
              </w:rPr>
              <w:t>3类标准</w:t>
            </w:r>
            <w:r>
              <w:rPr>
                <w:color w:val="auto"/>
                <w:sz w:val="24"/>
              </w:rPr>
              <w:t>，标准值见表</w:t>
            </w:r>
            <w:r>
              <w:rPr>
                <w:rFonts w:hint="eastAsia"/>
                <w:color w:val="auto"/>
                <w:sz w:val="24"/>
              </w:rPr>
              <w:t>3-5。</w:t>
            </w:r>
          </w:p>
          <w:p w14:paraId="0873AE14">
            <w:pPr>
              <w:spacing w:line="360" w:lineRule="auto"/>
              <w:ind w:firstLine="480"/>
              <w:jc w:val="center"/>
              <w:rPr>
                <w:color w:val="auto"/>
                <w:szCs w:val="20"/>
              </w:rPr>
            </w:pPr>
            <w:r>
              <w:rPr>
                <w:b/>
                <w:color w:val="auto"/>
                <w:szCs w:val="20"/>
              </w:rPr>
              <w:t>表3</w:t>
            </w:r>
            <w:r>
              <w:rPr>
                <w:rFonts w:hint="eastAsia"/>
                <w:b/>
                <w:color w:val="auto"/>
                <w:szCs w:val="20"/>
              </w:rPr>
              <w:t>-5</w:t>
            </w:r>
            <w:r>
              <w:rPr>
                <w:b/>
                <w:color w:val="auto"/>
                <w:szCs w:val="20"/>
              </w:rPr>
              <w:t xml:space="preserve">  《工业企业厂界环境噪声排放标准》  单位</w:t>
            </w:r>
            <w:r>
              <w:rPr>
                <w:b/>
                <w:color w:val="auto"/>
              </w:rPr>
              <w:t>：dB（A）</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78"/>
              <w:gridCol w:w="2574"/>
              <w:gridCol w:w="2793"/>
            </w:tblGrid>
            <w:tr w14:paraId="110CE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trPr>
              <w:tc>
                <w:tcPr>
                  <w:tcW w:w="1622" w:type="pct"/>
                  <w:tcBorders>
                    <w:top w:val="single" w:color="auto" w:sz="4" w:space="0"/>
                    <w:left w:val="single" w:color="auto" w:sz="4" w:space="0"/>
                  </w:tcBorders>
                  <w:vAlign w:val="center"/>
                </w:tcPr>
                <w:p w14:paraId="5B69A8BF">
                  <w:pPr>
                    <w:adjustRightInd w:val="0"/>
                    <w:snapToGrid w:val="0"/>
                    <w:spacing w:line="320" w:lineRule="exact"/>
                    <w:jc w:val="center"/>
                    <w:rPr>
                      <w:b/>
                      <w:bCs/>
                      <w:color w:val="auto"/>
                      <w:szCs w:val="21"/>
                    </w:rPr>
                  </w:pPr>
                  <w:r>
                    <w:rPr>
                      <w:b/>
                      <w:bCs/>
                      <w:color w:val="auto"/>
                      <w:szCs w:val="21"/>
                    </w:rPr>
                    <w:t>时段</w:t>
                  </w:r>
                </w:p>
              </w:tc>
              <w:tc>
                <w:tcPr>
                  <w:tcW w:w="1620" w:type="pct"/>
                  <w:tcBorders>
                    <w:top w:val="single" w:color="auto" w:sz="4" w:space="0"/>
                  </w:tcBorders>
                  <w:vAlign w:val="center"/>
                </w:tcPr>
                <w:p w14:paraId="098E7D96">
                  <w:pPr>
                    <w:adjustRightInd w:val="0"/>
                    <w:snapToGrid w:val="0"/>
                    <w:spacing w:line="320" w:lineRule="exact"/>
                    <w:jc w:val="center"/>
                    <w:rPr>
                      <w:b/>
                      <w:bCs/>
                      <w:color w:val="auto"/>
                      <w:szCs w:val="21"/>
                    </w:rPr>
                  </w:pPr>
                  <w:r>
                    <w:rPr>
                      <w:b/>
                      <w:bCs/>
                      <w:color w:val="auto"/>
                      <w:szCs w:val="21"/>
                    </w:rPr>
                    <w:t>昼间</w:t>
                  </w:r>
                </w:p>
              </w:tc>
              <w:tc>
                <w:tcPr>
                  <w:tcW w:w="1758" w:type="pct"/>
                  <w:tcBorders>
                    <w:top w:val="single" w:color="auto" w:sz="4" w:space="0"/>
                    <w:right w:val="single" w:color="auto" w:sz="4" w:space="0"/>
                  </w:tcBorders>
                  <w:vAlign w:val="center"/>
                </w:tcPr>
                <w:p w14:paraId="3120CBCF">
                  <w:pPr>
                    <w:adjustRightInd w:val="0"/>
                    <w:snapToGrid w:val="0"/>
                    <w:spacing w:line="320" w:lineRule="exact"/>
                    <w:jc w:val="center"/>
                    <w:rPr>
                      <w:b/>
                      <w:bCs/>
                      <w:color w:val="auto"/>
                      <w:szCs w:val="21"/>
                    </w:rPr>
                  </w:pPr>
                  <w:r>
                    <w:rPr>
                      <w:b/>
                      <w:bCs/>
                      <w:color w:val="auto"/>
                      <w:szCs w:val="21"/>
                    </w:rPr>
                    <w:t>夜间</w:t>
                  </w:r>
                </w:p>
              </w:tc>
            </w:tr>
            <w:tr w14:paraId="28091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622" w:type="pct"/>
                  <w:tcBorders>
                    <w:left w:val="single" w:color="auto" w:sz="4" w:space="0"/>
                    <w:bottom w:val="single" w:color="auto" w:sz="4" w:space="0"/>
                  </w:tcBorders>
                  <w:vAlign w:val="center"/>
                </w:tcPr>
                <w:p w14:paraId="6DDB601E">
                  <w:pPr>
                    <w:adjustRightInd w:val="0"/>
                    <w:snapToGrid w:val="0"/>
                    <w:spacing w:line="320" w:lineRule="exact"/>
                    <w:jc w:val="center"/>
                    <w:rPr>
                      <w:color w:val="auto"/>
                      <w:szCs w:val="21"/>
                    </w:rPr>
                  </w:pPr>
                  <w:r>
                    <w:rPr>
                      <w:rFonts w:hint="eastAsia"/>
                      <w:color w:val="auto"/>
                      <w:szCs w:val="21"/>
                    </w:rPr>
                    <w:t>3</w:t>
                  </w:r>
                  <w:r>
                    <w:rPr>
                      <w:color w:val="auto"/>
                      <w:szCs w:val="21"/>
                    </w:rPr>
                    <w:t>类标准限值</w:t>
                  </w:r>
                </w:p>
              </w:tc>
              <w:tc>
                <w:tcPr>
                  <w:tcW w:w="1620" w:type="pct"/>
                  <w:tcBorders>
                    <w:bottom w:val="single" w:color="auto" w:sz="4" w:space="0"/>
                  </w:tcBorders>
                  <w:vAlign w:val="center"/>
                </w:tcPr>
                <w:p w14:paraId="355DF9C7">
                  <w:pPr>
                    <w:adjustRightInd w:val="0"/>
                    <w:snapToGrid w:val="0"/>
                    <w:spacing w:line="320" w:lineRule="exact"/>
                    <w:jc w:val="center"/>
                    <w:rPr>
                      <w:color w:val="auto"/>
                      <w:szCs w:val="21"/>
                    </w:rPr>
                  </w:pPr>
                  <w:r>
                    <w:rPr>
                      <w:color w:val="auto"/>
                      <w:szCs w:val="21"/>
                    </w:rPr>
                    <w:t>6</w:t>
                  </w:r>
                  <w:r>
                    <w:rPr>
                      <w:rFonts w:hint="eastAsia"/>
                      <w:color w:val="auto"/>
                      <w:szCs w:val="21"/>
                    </w:rPr>
                    <w:t>5</w:t>
                  </w:r>
                </w:p>
              </w:tc>
              <w:tc>
                <w:tcPr>
                  <w:tcW w:w="1758" w:type="pct"/>
                  <w:tcBorders>
                    <w:bottom w:val="single" w:color="auto" w:sz="4" w:space="0"/>
                    <w:right w:val="single" w:color="auto" w:sz="4" w:space="0"/>
                  </w:tcBorders>
                  <w:vAlign w:val="center"/>
                </w:tcPr>
                <w:p w14:paraId="1C983449">
                  <w:pPr>
                    <w:adjustRightInd w:val="0"/>
                    <w:snapToGrid w:val="0"/>
                    <w:spacing w:line="320" w:lineRule="exact"/>
                    <w:jc w:val="center"/>
                    <w:rPr>
                      <w:color w:val="auto"/>
                      <w:szCs w:val="21"/>
                    </w:rPr>
                  </w:pPr>
                  <w:r>
                    <w:rPr>
                      <w:color w:val="auto"/>
                      <w:szCs w:val="21"/>
                    </w:rPr>
                    <w:t>5</w:t>
                  </w:r>
                  <w:r>
                    <w:rPr>
                      <w:rFonts w:hint="eastAsia"/>
                      <w:color w:val="auto"/>
                      <w:szCs w:val="21"/>
                    </w:rPr>
                    <w:t>5</w:t>
                  </w:r>
                </w:p>
              </w:tc>
            </w:tr>
          </w:tbl>
          <w:p w14:paraId="6BE2E997">
            <w:pPr>
              <w:spacing w:line="560" w:lineRule="exact"/>
              <w:ind w:firstLine="482"/>
              <w:rPr>
                <w:b/>
                <w:color w:val="auto"/>
                <w:sz w:val="24"/>
              </w:rPr>
            </w:pPr>
            <w:r>
              <w:rPr>
                <w:b/>
                <w:color w:val="auto"/>
                <w:sz w:val="24"/>
              </w:rPr>
              <w:t>4、固体废弃物</w:t>
            </w:r>
          </w:p>
          <w:p w14:paraId="3223541B">
            <w:pPr>
              <w:spacing w:line="560" w:lineRule="exact"/>
              <w:ind w:firstLine="480" w:firstLineChars="200"/>
              <w:rPr>
                <w:b/>
                <w:color w:val="auto"/>
                <w:szCs w:val="20"/>
                <w:lang w:val="zh-CN"/>
              </w:rPr>
            </w:pPr>
            <w:r>
              <w:rPr>
                <w:rFonts w:hint="eastAsia"/>
                <w:color w:val="auto"/>
                <w:sz w:val="24"/>
                <w:lang w:val="zh-CN"/>
              </w:rPr>
              <w:t>项目生产过程中产生的废物主要为</w:t>
            </w:r>
            <w:r>
              <w:rPr>
                <w:rFonts w:hint="eastAsia"/>
                <w:color w:val="auto"/>
                <w:sz w:val="24"/>
              </w:rPr>
              <w:t>炉渣、脱模剂外包装、废</w:t>
            </w:r>
            <w:r>
              <w:rPr>
                <w:rFonts w:hint="eastAsia"/>
                <w:color w:val="auto"/>
                <w:sz w:val="24"/>
                <w:lang w:val="zh-CN"/>
              </w:rPr>
              <w:t>边角料、</w:t>
            </w:r>
            <w:r>
              <w:rPr>
                <w:rFonts w:hint="eastAsia"/>
                <w:color w:val="auto"/>
                <w:sz w:val="24"/>
              </w:rPr>
              <w:t>残次品、废金属模具、废机油、废乳化液、废液压油、除尘灰及</w:t>
            </w:r>
            <w:r>
              <w:rPr>
                <w:rFonts w:hint="eastAsia"/>
                <w:color w:val="auto"/>
                <w:sz w:val="24"/>
                <w:lang w:val="zh-CN"/>
              </w:rPr>
              <w:t>生活垃圾。根据《固体废物鉴别导则（试行）》的规定、《国家危险废物名录》（</w:t>
            </w:r>
            <w:r>
              <w:rPr>
                <w:rFonts w:hint="eastAsia"/>
                <w:color w:val="auto"/>
                <w:sz w:val="24"/>
              </w:rPr>
              <w:t>2021</w:t>
            </w:r>
            <w:r>
              <w:rPr>
                <w:rFonts w:hint="eastAsia"/>
                <w:color w:val="auto"/>
                <w:sz w:val="24"/>
                <w:lang w:val="zh-CN"/>
              </w:rPr>
              <w:t>）进行判定，</w:t>
            </w:r>
            <w:r>
              <w:rPr>
                <w:rFonts w:hint="eastAsia"/>
                <w:color w:val="auto"/>
                <w:sz w:val="24"/>
              </w:rPr>
              <w:t>炉渣、废金属模具、废</w:t>
            </w:r>
            <w:r>
              <w:rPr>
                <w:rFonts w:hint="eastAsia"/>
                <w:color w:val="auto"/>
                <w:sz w:val="24"/>
                <w:lang w:val="zh-CN"/>
              </w:rPr>
              <w:t>边角料、</w:t>
            </w:r>
            <w:r>
              <w:rPr>
                <w:rFonts w:hint="eastAsia"/>
                <w:color w:val="auto"/>
                <w:sz w:val="24"/>
              </w:rPr>
              <w:t>残次品、脱模剂外包装、除尘灰及</w:t>
            </w:r>
            <w:r>
              <w:rPr>
                <w:rFonts w:hint="eastAsia"/>
                <w:color w:val="auto"/>
                <w:sz w:val="24"/>
                <w:lang w:val="zh-CN"/>
              </w:rPr>
              <w:t>生活垃圾属于一般固废，</w:t>
            </w:r>
            <w:r>
              <w:rPr>
                <w:rFonts w:hint="eastAsia"/>
                <w:color w:val="auto"/>
                <w:sz w:val="24"/>
              </w:rPr>
              <w:t>废机油、废乳化液及废液压油属于危险废物</w:t>
            </w:r>
            <w:r>
              <w:rPr>
                <w:rFonts w:hint="eastAsia"/>
                <w:color w:val="auto"/>
                <w:sz w:val="24"/>
                <w:lang w:val="zh-CN"/>
              </w:rPr>
              <w:t>。</w:t>
            </w:r>
            <w:r>
              <w:rPr>
                <w:color w:val="auto"/>
                <w:sz w:val="24"/>
                <w:lang w:val="zh-CN"/>
              </w:rPr>
              <w:t>一般固体废物执行《</w:t>
            </w:r>
            <w:r>
              <w:rPr>
                <w:rFonts w:hint="eastAsia"/>
                <w:color w:val="auto"/>
                <w:sz w:val="24"/>
                <w:lang w:val="zh-CN"/>
              </w:rPr>
              <w:t>一般工业固体废物贮存和填埋污染控制标准</w:t>
            </w:r>
            <w:r>
              <w:rPr>
                <w:color w:val="auto"/>
                <w:sz w:val="24"/>
                <w:lang w:val="zh-CN"/>
              </w:rPr>
              <w:t>》（</w:t>
            </w:r>
            <w:r>
              <w:rPr>
                <w:color w:val="auto"/>
                <w:sz w:val="24"/>
              </w:rPr>
              <w:t>GB18599-2020</w:t>
            </w:r>
            <w:r>
              <w:rPr>
                <w:color w:val="auto"/>
                <w:sz w:val="24"/>
                <w:lang w:val="zh-CN"/>
              </w:rPr>
              <w:t>）</w:t>
            </w:r>
            <w:r>
              <w:rPr>
                <w:rFonts w:hint="eastAsia"/>
                <w:color w:val="auto"/>
                <w:sz w:val="24"/>
                <w:lang w:val="zh-CN"/>
              </w:rPr>
              <w:t>中</w:t>
            </w:r>
            <w:r>
              <w:rPr>
                <w:color w:val="auto"/>
                <w:sz w:val="24"/>
                <w:lang w:val="zh-CN"/>
              </w:rPr>
              <w:t>的处置和管理要求</w:t>
            </w:r>
            <w:r>
              <w:rPr>
                <w:rFonts w:hint="eastAsia"/>
                <w:color w:val="auto"/>
                <w:sz w:val="24"/>
                <w:lang w:val="zh-CN"/>
              </w:rPr>
              <w:t>，</w:t>
            </w:r>
            <w:r>
              <w:rPr>
                <w:rFonts w:hint="eastAsia"/>
                <w:color w:val="auto"/>
                <w:sz w:val="24"/>
              </w:rPr>
              <w:t>危险废物贮存执行《危险废物贮存污染控制标准》</w:t>
            </w:r>
            <w:r>
              <w:rPr>
                <w:color w:val="auto"/>
                <w:sz w:val="24"/>
                <w:lang w:val="zh-CN"/>
              </w:rPr>
              <w:t>（</w:t>
            </w:r>
            <w:r>
              <w:rPr>
                <w:color w:val="auto"/>
                <w:sz w:val="24"/>
              </w:rPr>
              <w:t>GB185</w:t>
            </w:r>
            <w:r>
              <w:rPr>
                <w:rFonts w:hint="eastAsia"/>
                <w:color w:val="auto"/>
                <w:sz w:val="24"/>
              </w:rPr>
              <w:t>97</w:t>
            </w:r>
            <w:r>
              <w:rPr>
                <w:color w:val="auto"/>
                <w:sz w:val="24"/>
              </w:rPr>
              <w:t>-202</w:t>
            </w:r>
            <w:r>
              <w:rPr>
                <w:rFonts w:hint="eastAsia"/>
                <w:color w:val="auto"/>
                <w:sz w:val="24"/>
              </w:rPr>
              <w:t>3</w:t>
            </w:r>
            <w:r>
              <w:rPr>
                <w:color w:val="auto"/>
                <w:sz w:val="24"/>
                <w:lang w:val="zh-CN"/>
              </w:rPr>
              <w:t>）</w:t>
            </w:r>
            <w:r>
              <w:rPr>
                <w:rFonts w:hint="eastAsia"/>
                <w:color w:val="auto"/>
                <w:sz w:val="24"/>
                <w:lang w:val="zh-CN"/>
              </w:rPr>
              <w:t>。</w:t>
            </w:r>
            <w:r>
              <w:rPr>
                <w:rFonts w:hint="eastAsia"/>
                <w:color w:val="auto"/>
                <w:sz w:val="24"/>
              </w:rPr>
              <w:t>本项目</w:t>
            </w:r>
            <w:r>
              <w:rPr>
                <w:rFonts w:hint="eastAsia"/>
                <w:color w:val="auto"/>
                <w:sz w:val="24"/>
                <w:lang w:val="zh-CN"/>
              </w:rPr>
              <w:t>处理措施如下：</w:t>
            </w:r>
            <w:r>
              <w:rPr>
                <w:rFonts w:hint="eastAsia"/>
                <w:color w:val="auto"/>
                <w:sz w:val="24"/>
              </w:rPr>
              <w:t>炉渣、废</w:t>
            </w:r>
            <w:r>
              <w:rPr>
                <w:rFonts w:hint="eastAsia"/>
                <w:color w:val="auto"/>
                <w:sz w:val="24"/>
                <w:lang w:val="zh-CN"/>
              </w:rPr>
              <w:t>边角料、</w:t>
            </w:r>
            <w:r>
              <w:rPr>
                <w:rFonts w:hint="eastAsia"/>
                <w:color w:val="auto"/>
                <w:sz w:val="24"/>
              </w:rPr>
              <w:t>残次品及除尘灰由建设单位</w:t>
            </w:r>
            <w:r>
              <w:rPr>
                <w:rFonts w:hint="eastAsia"/>
                <w:color w:val="auto"/>
                <w:sz w:val="24"/>
                <w:lang w:val="zh-CN"/>
              </w:rPr>
              <w:t>收集后</w:t>
            </w:r>
            <w:r>
              <w:rPr>
                <w:rFonts w:hint="eastAsia"/>
                <w:color w:val="auto"/>
                <w:sz w:val="24"/>
              </w:rPr>
              <w:t>综合</w:t>
            </w:r>
            <w:r>
              <w:rPr>
                <w:rFonts w:hint="eastAsia"/>
                <w:color w:val="auto"/>
                <w:sz w:val="24"/>
                <w:lang w:val="zh-CN"/>
              </w:rPr>
              <w:t>利用；</w:t>
            </w:r>
            <w:r>
              <w:rPr>
                <w:rFonts w:hint="eastAsia"/>
                <w:color w:val="auto"/>
                <w:sz w:val="24"/>
              </w:rPr>
              <w:t>废金属模具厂家回收，以旧换新</w:t>
            </w:r>
            <w:r>
              <w:rPr>
                <w:rFonts w:hint="eastAsia"/>
                <w:color w:val="auto"/>
                <w:sz w:val="24"/>
                <w:lang w:eastAsia="zh-CN"/>
              </w:rPr>
              <w:t>；</w:t>
            </w:r>
            <w:r>
              <w:rPr>
                <w:rFonts w:hint="eastAsia"/>
                <w:color w:val="auto"/>
                <w:sz w:val="24"/>
              </w:rPr>
              <w:t>脱模剂外包装</w:t>
            </w:r>
            <w:r>
              <w:rPr>
                <w:rFonts w:hint="eastAsia"/>
                <w:color w:val="auto"/>
                <w:sz w:val="24"/>
                <w:lang w:val="en-US" w:eastAsia="zh-CN"/>
              </w:rPr>
              <w:t>交由废品回收站处置</w:t>
            </w:r>
            <w:r>
              <w:rPr>
                <w:rFonts w:hint="eastAsia"/>
                <w:color w:val="auto"/>
                <w:sz w:val="24"/>
              </w:rPr>
              <w:t>；废机油、废乳化液及废液压油按危废贮存要求存放，委托有相应资质单位处理；</w:t>
            </w:r>
            <w:r>
              <w:rPr>
                <w:rFonts w:hint="eastAsia"/>
                <w:color w:val="auto"/>
                <w:sz w:val="24"/>
                <w:lang w:val="zh-CN"/>
              </w:rPr>
              <w:t>生活垃圾委托环卫部门定期清运。</w:t>
            </w:r>
          </w:p>
        </w:tc>
      </w:tr>
      <w:tr w14:paraId="1180C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8" w:hRule="atLeast"/>
          <w:jc w:val="center"/>
        </w:trPr>
        <w:tc>
          <w:tcPr>
            <w:tcW w:w="800" w:type="dxa"/>
            <w:vAlign w:val="center"/>
          </w:tcPr>
          <w:p w14:paraId="1A85E30F">
            <w:pPr>
              <w:adjustRightInd w:val="0"/>
              <w:snapToGrid w:val="0"/>
              <w:jc w:val="center"/>
              <w:rPr>
                <w:rFonts w:cs="宋体"/>
                <w:color w:val="auto"/>
                <w:kern w:val="0"/>
                <w:sz w:val="24"/>
                <w:szCs w:val="21"/>
              </w:rPr>
            </w:pPr>
            <w:r>
              <w:rPr>
                <w:rFonts w:hint="eastAsia" w:cs="宋体"/>
                <w:color w:val="auto"/>
                <w:kern w:val="0"/>
                <w:sz w:val="24"/>
                <w:szCs w:val="21"/>
              </w:rPr>
              <w:t>总量</w:t>
            </w:r>
          </w:p>
          <w:p w14:paraId="3B74A6D5">
            <w:pPr>
              <w:adjustRightInd w:val="0"/>
              <w:snapToGrid w:val="0"/>
              <w:jc w:val="center"/>
              <w:rPr>
                <w:rFonts w:cs="宋体"/>
                <w:color w:val="auto"/>
                <w:kern w:val="0"/>
                <w:sz w:val="24"/>
                <w:szCs w:val="21"/>
              </w:rPr>
            </w:pPr>
            <w:r>
              <w:rPr>
                <w:rFonts w:hint="eastAsia" w:cs="宋体"/>
                <w:color w:val="auto"/>
                <w:kern w:val="0"/>
                <w:sz w:val="24"/>
                <w:szCs w:val="21"/>
              </w:rPr>
              <w:t>控制</w:t>
            </w:r>
          </w:p>
          <w:p w14:paraId="5532B226">
            <w:pPr>
              <w:adjustRightInd w:val="0"/>
              <w:snapToGrid w:val="0"/>
              <w:jc w:val="center"/>
              <w:rPr>
                <w:rFonts w:cs="宋体"/>
                <w:color w:val="auto"/>
                <w:kern w:val="0"/>
                <w:szCs w:val="21"/>
              </w:rPr>
            </w:pPr>
            <w:r>
              <w:rPr>
                <w:rFonts w:hint="eastAsia" w:cs="宋体"/>
                <w:color w:val="auto"/>
                <w:kern w:val="0"/>
                <w:sz w:val="24"/>
                <w:szCs w:val="21"/>
              </w:rPr>
              <w:t>指标</w:t>
            </w:r>
          </w:p>
        </w:tc>
        <w:tc>
          <w:tcPr>
            <w:tcW w:w="8190" w:type="dxa"/>
            <w:vAlign w:val="center"/>
          </w:tcPr>
          <w:p w14:paraId="75A531E6">
            <w:pPr>
              <w:rPr>
                <w:color w:val="auto"/>
              </w:rPr>
            </w:pPr>
            <w:r>
              <w:rPr>
                <w:rFonts w:hint="eastAsia"/>
                <w:color w:val="auto"/>
                <w:spacing w:val="4"/>
                <w:kern w:val="18"/>
                <w:sz w:val="24"/>
                <w:lang w:bidi="ar"/>
              </w:rPr>
              <w:t>本项目不设置总量控制指标。</w:t>
            </w:r>
          </w:p>
          <w:p w14:paraId="5F3336A9">
            <w:pPr>
              <w:pStyle w:val="6"/>
              <w:jc w:val="center"/>
              <w:rPr>
                <w:color w:val="auto"/>
              </w:rPr>
            </w:pPr>
          </w:p>
          <w:p w14:paraId="2C9E7AC5">
            <w:pPr>
              <w:jc w:val="center"/>
              <w:rPr>
                <w:color w:val="auto"/>
              </w:rPr>
            </w:pPr>
          </w:p>
          <w:p w14:paraId="090B470D">
            <w:pPr>
              <w:jc w:val="center"/>
              <w:rPr>
                <w:color w:val="auto"/>
              </w:rPr>
            </w:pPr>
          </w:p>
          <w:p w14:paraId="5325F1DD">
            <w:pPr>
              <w:jc w:val="center"/>
              <w:rPr>
                <w:color w:val="auto"/>
              </w:rPr>
            </w:pPr>
          </w:p>
          <w:p w14:paraId="09748782">
            <w:pPr>
              <w:jc w:val="center"/>
              <w:rPr>
                <w:color w:val="auto"/>
              </w:rPr>
            </w:pPr>
          </w:p>
          <w:p w14:paraId="49788CA4">
            <w:pPr>
              <w:jc w:val="center"/>
              <w:rPr>
                <w:color w:val="auto"/>
              </w:rPr>
            </w:pPr>
          </w:p>
          <w:p w14:paraId="64511D18">
            <w:pPr>
              <w:jc w:val="center"/>
              <w:rPr>
                <w:color w:val="auto"/>
              </w:rPr>
            </w:pPr>
          </w:p>
          <w:p w14:paraId="02D927AD">
            <w:pPr>
              <w:jc w:val="center"/>
              <w:rPr>
                <w:color w:val="auto"/>
              </w:rPr>
            </w:pPr>
          </w:p>
          <w:p w14:paraId="299FEA6C">
            <w:pPr>
              <w:jc w:val="center"/>
              <w:rPr>
                <w:color w:val="auto"/>
              </w:rPr>
            </w:pPr>
          </w:p>
          <w:p w14:paraId="04BE4082">
            <w:pPr>
              <w:jc w:val="center"/>
              <w:rPr>
                <w:color w:val="auto"/>
              </w:rPr>
            </w:pPr>
          </w:p>
          <w:p w14:paraId="1EE0CC62">
            <w:pPr>
              <w:jc w:val="center"/>
              <w:rPr>
                <w:color w:val="auto"/>
              </w:rPr>
            </w:pPr>
          </w:p>
          <w:p w14:paraId="144F1B24">
            <w:pPr>
              <w:jc w:val="center"/>
              <w:rPr>
                <w:color w:val="auto"/>
              </w:rPr>
            </w:pPr>
          </w:p>
          <w:p w14:paraId="4A72D3AE">
            <w:pPr>
              <w:jc w:val="center"/>
              <w:rPr>
                <w:color w:val="auto"/>
              </w:rPr>
            </w:pPr>
          </w:p>
          <w:p w14:paraId="4F555200">
            <w:pPr>
              <w:jc w:val="center"/>
              <w:rPr>
                <w:color w:val="auto"/>
              </w:rPr>
            </w:pPr>
          </w:p>
          <w:p w14:paraId="141D0CB3">
            <w:pPr>
              <w:jc w:val="center"/>
              <w:rPr>
                <w:color w:val="auto"/>
              </w:rPr>
            </w:pPr>
          </w:p>
          <w:p w14:paraId="5164B578">
            <w:pPr>
              <w:jc w:val="center"/>
              <w:rPr>
                <w:color w:val="auto"/>
              </w:rPr>
            </w:pPr>
          </w:p>
          <w:p w14:paraId="0D5BA48D">
            <w:pPr>
              <w:jc w:val="center"/>
              <w:rPr>
                <w:color w:val="auto"/>
              </w:rPr>
            </w:pPr>
          </w:p>
          <w:p w14:paraId="59B4720B">
            <w:pPr>
              <w:jc w:val="center"/>
              <w:rPr>
                <w:color w:val="auto"/>
              </w:rPr>
            </w:pPr>
          </w:p>
          <w:p w14:paraId="273C0863">
            <w:pPr>
              <w:jc w:val="center"/>
              <w:rPr>
                <w:color w:val="auto"/>
              </w:rPr>
            </w:pPr>
          </w:p>
          <w:p w14:paraId="039A660D">
            <w:pPr>
              <w:jc w:val="center"/>
              <w:rPr>
                <w:color w:val="auto"/>
              </w:rPr>
            </w:pPr>
          </w:p>
          <w:p w14:paraId="076E8899">
            <w:pPr>
              <w:jc w:val="center"/>
              <w:rPr>
                <w:color w:val="auto"/>
              </w:rPr>
            </w:pPr>
          </w:p>
          <w:p w14:paraId="72616B09">
            <w:pPr>
              <w:jc w:val="center"/>
              <w:rPr>
                <w:color w:val="auto"/>
              </w:rPr>
            </w:pPr>
          </w:p>
          <w:p w14:paraId="1451A3A7">
            <w:pPr>
              <w:jc w:val="center"/>
              <w:rPr>
                <w:color w:val="auto"/>
              </w:rPr>
            </w:pPr>
          </w:p>
          <w:p w14:paraId="61208B3A">
            <w:pPr>
              <w:jc w:val="center"/>
              <w:rPr>
                <w:color w:val="auto"/>
              </w:rPr>
            </w:pPr>
          </w:p>
          <w:p w14:paraId="135F89E9">
            <w:pPr>
              <w:jc w:val="center"/>
              <w:rPr>
                <w:color w:val="auto"/>
              </w:rPr>
            </w:pPr>
          </w:p>
          <w:p w14:paraId="68DD6375">
            <w:pPr>
              <w:jc w:val="center"/>
              <w:rPr>
                <w:color w:val="auto"/>
              </w:rPr>
            </w:pPr>
          </w:p>
          <w:p w14:paraId="5373391B">
            <w:pPr>
              <w:jc w:val="center"/>
              <w:rPr>
                <w:color w:val="auto"/>
              </w:rPr>
            </w:pPr>
          </w:p>
          <w:p w14:paraId="06542A2A">
            <w:pPr>
              <w:jc w:val="center"/>
              <w:rPr>
                <w:color w:val="auto"/>
              </w:rPr>
            </w:pPr>
          </w:p>
          <w:p w14:paraId="399138C2">
            <w:pPr>
              <w:jc w:val="center"/>
              <w:rPr>
                <w:color w:val="auto"/>
              </w:rPr>
            </w:pPr>
          </w:p>
        </w:tc>
      </w:tr>
    </w:tbl>
    <w:p w14:paraId="45445F6B">
      <w:pPr>
        <w:pStyle w:val="19"/>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24"/>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75478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14:paraId="03AB3C97">
            <w:pPr>
              <w:pStyle w:val="19"/>
              <w:adjustRightInd w:val="0"/>
              <w:snapToGrid w:val="0"/>
              <w:spacing w:before="0" w:beforeAutospacing="0" w:after="0" w:afterAutospacing="0"/>
              <w:jc w:val="center"/>
              <w:rPr>
                <w:rFonts w:ascii="Times New Roman" w:hAnsi="Times New Roman" w:cs="宋体"/>
                <w:color w:val="auto"/>
                <w:kern w:val="2"/>
                <w:szCs w:val="24"/>
              </w:rPr>
            </w:pPr>
            <w:r>
              <w:rPr>
                <w:rFonts w:hint="eastAsia" w:ascii="Times New Roman" w:hAnsi="Times New Roman" w:cs="宋体"/>
                <w:color w:val="auto"/>
                <w:kern w:val="2"/>
                <w:szCs w:val="24"/>
              </w:rPr>
              <w:t>施工</w:t>
            </w:r>
          </w:p>
          <w:p w14:paraId="7C38ED62">
            <w:pPr>
              <w:pStyle w:val="19"/>
              <w:adjustRightInd w:val="0"/>
              <w:snapToGrid w:val="0"/>
              <w:spacing w:before="0" w:beforeAutospacing="0" w:after="0" w:afterAutospacing="0"/>
              <w:jc w:val="center"/>
              <w:rPr>
                <w:rFonts w:ascii="Times New Roman" w:hAnsi="Times New Roman" w:cs="宋体"/>
                <w:color w:val="auto"/>
                <w:kern w:val="2"/>
                <w:szCs w:val="24"/>
              </w:rPr>
            </w:pPr>
            <w:r>
              <w:rPr>
                <w:rFonts w:hint="eastAsia" w:ascii="Times New Roman" w:hAnsi="Times New Roman" w:cs="宋体"/>
                <w:color w:val="auto"/>
                <w:kern w:val="2"/>
                <w:szCs w:val="24"/>
              </w:rPr>
              <w:t>期环</w:t>
            </w:r>
          </w:p>
          <w:p w14:paraId="55DED631">
            <w:pPr>
              <w:pStyle w:val="19"/>
              <w:adjustRightInd w:val="0"/>
              <w:snapToGrid w:val="0"/>
              <w:spacing w:before="0" w:beforeAutospacing="0" w:after="0" w:afterAutospacing="0"/>
              <w:jc w:val="center"/>
              <w:rPr>
                <w:rFonts w:ascii="Times New Roman" w:hAnsi="Times New Roman" w:cs="宋体"/>
                <w:color w:val="auto"/>
                <w:kern w:val="2"/>
                <w:szCs w:val="24"/>
              </w:rPr>
            </w:pPr>
            <w:r>
              <w:rPr>
                <w:rFonts w:hint="eastAsia" w:ascii="Times New Roman" w:hAnsi="Times New Roman" w:cs="宋体"/>
                <w:color w:val="auto"/>
                <w:kern w:val="2"/>
                <w:szCs w:val="24"/>
              </w:rPr>
              <w:t>境保</w:t>
            </w:r>
          </w:p>
          <w:p w14:paraId="4F29D8FB">
            <w:pPr>
              <w:pStyle w:val="19"/>
              <w:adjustRightInd w:val="0"/>
              <w:snapToGrid w:val="0"/>
              <w:spacing w:before="0" w:beforeAutospacing="0" w:after="0" w:afterAutospacing="0"/>
              <w:jc w:val="center"/>
              <w:rPr>
                <w:rFonts w:ascii="Times New Roman" w:hAnsi="Times New Roman" w:cs="宋体"/>
                <w:color w:val="auto"/>
                <w:kern w:val="2"/>
                <w:szCs w:val="24"/>
              </w:rPr>
            </w:pPr>
            <w:r>
              <w:rPr>
                <w:rFonts w:hint="eastAsia" w:ascii="Times New Roman" w:hAnsi="Times New Roman" w:cs="宋体"/>
                <w:color w:val="auto"/>
                <w:kern w:val="2"/>
                <w:szCs w:val="24"/>
              </w:rPr>
              <w:t>护措</w:t>
            </w:r>
          </w:p>
          <w:p w14:paraId="4B424EFB">
            <w:pPr>
              <w:pStyle w:val="19"/>
              <w:adjustRightInd w:val="0"/>
              <w:snapToGrid w:val="0"/>
              <w:spacing w:before="0" w:beforeAutospacing="0" w:after="0" w:afterAutospacing="0"/>
              <w:jc w:val="center"/>
              <w:rPr>
                <w:rFonts w:ascii="Times New Roman" w:hAnsi="Times New Roman" w:cs="宋体"/>
                <w:bCs/>
                <w:color w:val="auto"/>
                <w:kern w:val="2"/>
                <w:szCs w:val="24"/>
              </w:rPr>
            </w:pPr>
            <w:r>
              <w:rPr>
                <w:rFonts w:hint="eastAsia" w:ascii="Times New Roman" w:hAnsi="Times New Roman" w:cs="宋体"/>
                <w:color w:val="auto"/>
                <w:kern w:val="2"/>
                <w:szCs w:val="24"/>
              </w:rPr>
              <w:t>施</w:t>
            </w:r>
          </w:p>
        </w:tc>
        <w:tc>
          <w:tcPr>
            <w:tcW w:w="8162" w:type="dxa"/>
            <w:vAlign w:val="center"/>
          </w:tcPr>
          <w:p w14:paraId="1E267F42">
            <w:pPr>
              <w:adjustRightInd w:val="0"/>
              <w:snapToGrid w:val="0"/>
              <w:spacing w:line="360" w:lineRule="auto"/>
              <w:ind w:firstLine="480" w:firstLineChars="200"/>
              <w:rPr>
                <w:rFonts w:cs="宋体"/>
                <w:bCs/>
                <w:color w:val="auto"/>
                <w:spacing w:val="-10"/>
                <w:sz w:val="24"/>
              </w:rPr>
            </w:pPr>
            <w:r>
              <w:rPr>
                <w:rFonts w:hint="eastAsia" w:ascii="宋体" w:hAnsi="宋体"/>
                <w:bCs/>
                <w:color w:val="auto"/>
                <w:sz w:val="24"/>
              </w:rPr>
              <w:t>根据产污环节分析，本项目施工期会产生废气、废水、噪声和一般固废。</w:t>
            </w:r>
          </w:p>
          <w:p w14:paraId="267F0EC6">
            <w:pPr>
              <w:adjustRightInd w:val="0"/>
              <w:snapToGrid w:val="0"/>
              <w:spacing w:line="360" w:lineRule="auto"/>
              <w:ind w:firstLine="442" w:firstLineChars="200"/>
              <w:rPr>
                <w:rFonts w:cs="宋体"/>
                <w:b/>
                <w:bCs/>
                <w:color w:val="auto"/>
                <w:spacing w:val="-10"/>
                <w:sz w:val="24"/>
              </w:rPr>
            </w:pPr>
            <w:r>
              <w:rPr>
                <w:rFonts w:hint="eastAsia"/>
                <w:b/>
                <w:bCs/>
                <w:color w:val="auto"/>
                <w:spacing w:val="-10"/>
                <w:sz w:val="24"/>
              </w:rPr>
              <w:t>1</w:t>
            </w:r>
            <w:r>
              <w:rPr>
                <w:rFonts w:hint="eastAsia" w:ascii="宋体" w:hAnsi="宋体"/>
                <w:b/>
                <w:bCs/>
                <w:color w:val="auto"/>
                <w:spacing w:val="-10"/>
                <w:sz w:val="24"/>
              </w:rPr>
              <w:t xml:space="preserve">、大气污染防治措施   </w:t>
            </w:r>
          </w:p>
          <w:p w14:paraId="01C945D7">
            <w:pPr>
              <w:spacing w:line="360" w:lineRule="auto"/>
              <w:ind w:firstLine="480" w:firstLineChars="200"/>
              <w:rPr>
                <w:color w:val="auto"/>
                <w:sz w:val="24"/>
              </w:rPr>
            </w:pPr>
            <w:r>
              <w:rPr>
                <w:rFonts w:hint="eastAsia" w:ascii="宋体" w:hAnsi="宋体"/>
                <w:color w:val="auto"/>
                <w:sz w:val="24"/>
              </w:rPr>
              <w:t>施工期对环境空气的影响主要是运输过程产生的交通扬尘的污染影响。为减小施工扬尘对周围环境的影响，必须采取如下防治措施：</w:t>
            </w:r>
          </w:p>
          <w:p w14:paraId="032360D5">
            <w:pPr>
              <w:adjustRightInd w:val="0"/>
              <w:snapToGrid w:val="0"/>
              <w:spacing w:line="360" w:lineRule="auto"/>
              <w:ind w:firstLine="456" w:firstLineChars="200"/>
              <w:rPr>
                <w:color w:val="auto"/>
                <w:spacing w:val="-6"/>
                <w:sz w:val="24"/>
              </w:rPr>
            </w:pPr>
            <w:r>
              <w:rPr>
                <w:rFonts w:hint="eastAsia" w:ascii="宋体" w:hAnsi="宋体"/>
                <w:color w:val="auto"/>
                <w:spacing w:val="-6"/>
                <w:sz w:val="24"/>
              </w:rPr>
              <w:t>（</w:t>
            </w:r>
            <w:r>
              <w:rPr>
                <w:rFonts w:hint="eastAsia"/>
                <w:color w:val="auto"/>
                <w:spacing w:val="-6"/>
                <w:sz w:val="24"/>
              </w:rPr>
              <w:t>1</w:t>
            </w:r>
            <w:r>
              <w:rPr>
                <w:rFonts w:hint="eastAsia" w:ascii="宋体" w:hAnsi="宋体"/>
                <w:color w:val="auto"/>
                <w:spacing w:val="-6"/>
                <w:sz w:val="24"/>
              </w:rPr>
              <w:t>）强化施工期环境管理，提高全员环保意识宣传和教育，制定合理施工计划，缩短工期，采取集中力量逐项施工方法，坚决杜绝粗放式施工现象发生。</w:t>
            </w:r>
          </w:p>
          <w:p w14:paraId="76C92A06">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w:t>
            </w:r>
            <w:r>
              <w:rPr>
                <w:rFonts w:hint="eastAsia"/>
                <w:color w:val="auto"/>
                <w:sz w:val="24"/>
              </w:rPr>
              <w:t>2</w:t>
            </w:r>
            <w:r>
              <w:rPr>
                <w:rFonts w:hint="eastAsia" w:ascii="宋体" w:hAnsi="宋体"/>
                <w:color w:val="auto"/>
                <w:sz w:val="24"/>
              </w:rPr>
              <w:t>）对厂内施工现场和建筑体分别采取围栏（不低于</w:t>
            </w:r>
            <w:r>
              <w:rPr>
                <w:rFonts w:hint="eastAsia"/>
                <w:color w:val="auto"/>
                <w:sz w:val="24"/>
              </w:rPr>
              <w:t>2m</w:t>
            </w:r>
            <w:r>
              <w:rPr>
                <w:rFonts w:hint="eastAsia" w:ascii="宋体" w:hAnsi="宋体"/>
                <w:color w:val="auto"/>
                <w:sz w:val="24"/>
              </w:rPr>
              <w:t>）、设置工棚、覆盖遮蔽等措施，阻隔施工扬尘污染。</w:t>
            </w:r>
          </w:p>
          <w:p w14:paraId="4BC4CCD5">
            <w:pPr>
              <w:adjustRightInd w:val="0"/>
              <w:snapToGrid w:val="0"/>
              <w:spacing w:line="360" w:lineRule="auto"/>
              <w:ind w:firstLine="480" w:firstLineChars="200"/>
              <w:rPr>
                <w:color w:val="auto"/>
                <w:sz w:val="24"/>
              </w:rPr>
            </w:pPr>
            <w:r>
              <w:rPr>
                <w:rFonts w:hint="eastAsia" w:ascii="宋体" w:hAnsi="宋体"/>
                <w:color w:val="auto"/>
                <w:sz w:val="24"/>
              </w:rPr>
              <w:t>（</w:t>
            </w:r>
            <w:r>
              <w:rPr>
                <w:rFonts w:hint="eastAsia"/>
                <w:color w:val="auto"/>
                <w:sz w:val="24"/>
              </w:rPr>
              <w:t>3</w:t>
            </w:r>
            <w:r>
              <w:rPr>
                <w:rFonts w:hint="eastAsia" w:ascii="宋体" w:hAnsi="宋体"/>
                <w:color w:val="auto"/>
                <w:sz w:val="24"/>
              </w:rPr>
              <w:t>）在施工现场出入口公示施工现场负责人、扬尘防治责任人、扬尘污染主要控制措施、举报电话等信息。</w:t>
            </w:r>
          </w:p>
          <w:p w14:paraId="6B5B544F">
            <w:pPr>
              <w:adjustRightInd w:val="0"/>
              <w:snapToGrid w:val="0"/>
              <w:spacing w:line="360" w:lineRule="auto"/>
              <w:ind w:firstLine="480" w:firstLineChars="200"/>
              <w:rPr>
                <w:color w:val="auto"/>
                <w:sz w:val="24"/>
              </w:rPr>
            </w:pPr>
            <w:r>
              <w:rPr>
                <w:rFonts w:hint="eastAsia" w:ascii="宋体" w:hAnsi="宋体"/>
                <w:color w:val="auto"/>
                <w:sz w:val="24"/>
              </w:rPr>
              <w:t>（4）制定施工场地及进场道路的洒水降尘制度，配备洒水车，加强在天气干燥时对进场道路的洒水频次，减轻道路扬尘对大气环境的影响。</w:t>
            </w:r>
          </w:p>
          <w:p w14:paraId="6B24355E">
            <w:pPr>
              <w:adjustRightInd w:val="0"/>
              <w:snapToGrid w:val="0"/>
              <w:spacing w:line="360" w:lineRule="auto"/>
              <w:ind w:firstLine="480" w:firstLineChars="200"/>
              <w:rPr>
                <w:color w:val="auto"/>
                <w:sz w:val="24"/>
              </w:rPr>
            </w:pPr>
            <w:r>
              <w:rPr>
                <w:rFonts w:hint="eastAsia" w:ascii="宋体" w:hAnsi="宋体"/>
                <w:color w:val="auto"/>
                <w:sz w:val="24"/>
              </w:rPr>
              <w:t>（5）</w:t>
            </w:r>
            <w:r>
              <w:rPr>
                <w:rFonts w:hint="eastAsia" w:ascii="宋体" w:hAnsi="宋体"/>
                <w:bCs/>
                <w:color w:val="auto"/>
                <w:sz w:val="24"/>
              </w:rPr>
              <w:t>建筑物内垃圾应采用容器或搭设专用封闭式垃圾道的方式清运，严禁随意抛掷</w:t>
            </w:r>
            <w:r>
              <w:rPr>
                <w:rFonts w:hint="eastAsia" w:ascii="宋体" w:hAnsi="宋体"/>
                <w:color w:val="auto"/>
                <w:sz w:val="24"/>
              </w:rPr>
              <w:t>，</w:t>
            </w:r>
            <w:r>
              <w:rPr>
                <w:rFonts w:hint="eastAsia" w:ascii="宋体" w:hAnsi="宋体"/>
                <w:bCs/>
                <w:color w:val="auto"/>
                <w:sz w:val="24"/>
              </w:rPr>
              <w:t>施工现场严禁焚烧各类废弃物</w:t>
            </w:r>
            <w:r>
              <w:rPr>
                <w:rFonts w:hint="eastAsia" w:ascii="宋体" w:hAnsi="宋体"/>
                <w:b/>
                <w:bCs/>
                <w:color w:val="auto"/>
                <w:sz w:val="24"/>
              </w:rPr>
              <w:t>，</w:t>
            </w:r>
            <w:r>
              <w:rPr>
                <w:rFonts w:hint="eastAsia" w:ascii="宋体" w:hAnsi="宋体"/>
                <w:color w:val="auto"/>
                <w:sz w:val="24"/>
              </w:rPr>
              <w:t>施工产生的建筑垃圾应及时外运至当地政府指定的建筑垃圾填埋场填埋处置，</w:t>
            </w:r>
            <w:r>
              <w:rPr>
                <w:rFonts w:hint="eastAsia" w:ascii="宋体" w:hAnsi="宋体"/>
                <w:bCs/>
                <w:color w:val="auto"/>
                <w:spacing w:val="10"/>
                <w:sz w:val="24"/>
              </w:rPr>
              <w:t>施工车辆定期检查，严禁车辆在运输中沿途散落建筑材料及建筑废料。</w:t>
            </w:r>
          </w:p>
          <w:p w14:paraId="73C7F0F2">
            <w:pPr>
              <w:adjustRightInd w:val="0"/>
              <w:snapToGrid w:val="0"/>
              <w:spacing w:line="360" w:lineRule="auto"/>
              <w:ind w:firstLine="480" w:firstLineChars="200"/>
              <w:rPr>
                <w:color w:val="auto"/>
                <w:sz w:val="24"/>
              </w:rPr>
            </w:pPr>
            <w:r>
              <w:rPr>
                <w:rFonts w:hint="eastAsia" w:ascii="宋体" w:hAnsi="宋体"/>
                <w:color w:val="auto"/>
                <w:sz w:val="24"/>
              </w:rPr>
              <w:t>建设单位在工程概算中应包括用于施工过程扬尘污染控制的专项资金，保障大气防治措施及时落实。</w:t>
            </w:r>
          </w:p>
          <w:p w14:paraId="2030E9EB">
            <w:pPr>
              <w:adjustRightInd w:val="0"/>
              <w:snapToGrid w:val="0"/>
              <w:spacing w:line="360" w:lineRule="auto"/>
              <w:ind w:firstLine="480" w:firstLineChars="200"/>
              <w:rPr>
                <w:color w:val="auto"/>
                <w:sz w:val="24"/>
              </w:rPr>
            </w:pPr>
            <w:r>
              <w:rPr>
                <w:rFonts w:hint="eastAsia" w:ascii="宋体" w:hAnsi="宋体"/>
                <w:color w:val="auto"/>
                <w:sz w:val="24"/>
              </w:rPr>
              <w:t>在采取以上措施后，可以有效地减少施工扬尘带来的环境问题，施工场界扬尘能够满足《大气污染物综合排放标准》（</w:t>
            </w:r>
            <w:r>
              <w:rPr>
                <w:rFonts w:hint="eastAsia"/>
                <w:color w:val="auto"/>
                <w:sz w:val="24"/>
              </w:rPr>
              <w:t>GB16297-1996</w:t>
            </w:r>
            <w:r>
              <w:rPr>
                <w:rFonts w:hint="eastAsia" w:ascii="宋体" w:hAnsi="宋体"/>
                <w:color w:val="auto"/>
                <w:sz w:val="24"/>
              </w:rPr>
              <w:t>）表</w:t>
            </w:r>
            <w:r>
              <w:rPr>
                <w:rFonts w:hint="eastAsia"/>
                <w:color w:val="auto"/>
                <w:sz w:val="24"/>
              </w:rPr>
              <w:t>2</w:t>
            </w:r>
            <w:r>
              <w:rPr>
                <w:rFonts w:hint="eastAsia" w:ascii="宋体" w:hAnsi="宋体"/>
                <w:color w:val="auto"/>
                <w:sz w:val="24"/>
              </w:rPr>
              <w:t>颗粒物无组织排放限值。</w:t>
            </w:r>
          </w:p>
          <w:p w14:paraId="43E5E61A">
            <w:pPr>
              <w:adjustRightInd w:val="0"/>
              <w:snapToGrid w:val="0"/>
              <w:spacing w:line="360" w:lineRule="auto"/>
              <w:ind w:firstLine="482" w:firstLineChars="200"/>
              <w:rPr>
                <w:rFonts w:ascii="宋体" w:hAnsi="宋体"/>
                <w:b/>
                <w:color w:val="auto"/>
                <w:sz w:val="24"/>
              </w:rPr>
            </w:pPr>
            <w:r>
              <w:rPr>
                <w:rFonts w:hint="eastAsia"/>
                <w:b/>
                <w:color w:val="auto"/>
                <w:sz w:val="24"/>
              </w:rPr>
              <w:t>2</w:t>
            </w:r>
            <w:r>
              <w:rPr>
                <w:rFonts w:hint="eastAsia" w:ascii="宋体" w:hAnsi="宋体"/>
                <w:b/>
                <w:color w:val="auto"/>
                <w:sz w:val="24"/>
              </w:rPr>
              <w:t>、水污染防治措施</w:t>
            </w:r>
          </w:p>
          <w:p w14:paraId="1CDB5A1A">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施工期产生的废水主要为生活污水。施工期间施工人员</w:t>
            </w:r>
            <w:r>
              <w:rPr>
                <w:rFonts w:hint="eastAsia" w:ascii="宋体" w:hAnsi="宋体" w:cs="宋体"/>
                <w:color w:val="auto"/>
                <w:kern w:val="0"/>
                <w:sz w:val="24"/>
              </w:rPr>
              <w:t>生活用水量按每人每天</w:t>
            </w:r>
            <w:r>
              <w:rPr>
                <w:rFonts w:hint="eastAsia"/>
                <w:color w:val="auto"/>
                <w:kern w:val="0"/>
                <w:sz w:val="24"/>
              </w:rPr>
              <w:t>80</w:t>
            </w:r>
            <w:r>
              <w:rPr>
                <w:color w:val="auto"/>
                <w:kern w:val="0"/>
                <w:sz w:val="24"/>
              </w:rPr>
              <w:t>L</w:t>
            </w:r>
            <w:r>
              <w:rPr>
                <w:rFonts w:hint="eastAsia" w:ascii="宋体" w:hAnsi="宋体" w:cs="宋体"/>
                <w:color w:val="auto"/>
                <w:kern w:val="0"/>
                <w:sz w:val="24"/>
              </w:rPr>
              <w:t xml:space="preserve">计，污水排放系数 </w:t>
            </w:r>
            <w:r>
              <w:rPr>
                <w:color w:val="auto"/>
                <w:kern w:val="0"/>
                <w:sz w:val="24"/>
              </w:rPr>
              <w:t>0.8</w:t>
            </w:r>
            <w:r>
              <w:rPr>
                <w:rFonts w:hint="eastAsia" w:ascii="宋体" w:hAnsi="宋体" w:cs="宋体"/>
                <w:color w:val="auto"/>
                <w:kern w:val="0"/>
                <w:sz w:val="24"/>
              </w:rPr>
              <w:t xml:space="preserve">，高峰时施工人员按每日用工 </w:t>
            </w:r>
            <w:r>
              <w:rPr>
                <w:color w:val="auto"/>
                <w:kern w:val="0"/>
                <w:sz w:val="24"/>
              </w:rPr>
              <w:t xml:space="preserve">50 </w:t>
            </w:r>
            <w:r>
              <w:rPr>
                <w:rFonts w:hint="eastAsia" w:ascii="宋体" w:hAnsi="宋体" w:cs="宋体"/>
                <w:color w:val="auto"/>
                <w:kern w:val="0"/>
                <w:sz w:val="24"/>
              </w:rPr>
              <w:t xml:space="preserve">人计算，则生活污水量最高约 </w:t>
            </w:r>
            <w:r>
              <w:rPr>
                <w:rFonts w:hint="eastAsia"/>
                <w:color w:val="auto"/>
                <w:kern w:val="0"/>
                <w:sz w:val="24"/>
              </w:rPr>
              <w:t>3.2m</w:t>
            </w:r>
            <w:r>
              <w:rPr>
                <w:rFonts w:hint="eastAsia"/>
                <w:color w:val="auto"/>
                <w:kern w:val="0"/>
                <w:sz w:val="24"/>
                <w:vertAlign w:val="superscript"/>
              </w:rPr>
              <w:t>3</w:t>
            </w:r>
            <w:r>
              <w:rPr>
                <w:color w:val="auto"/>
                <w:kern w:val="0"/>
                <w:sz w:val="16"/>
                <w:szCs w:val="16"/>
              </w:rPr>
              <w:t xml:space="preserve"> </w:t>
            </w:r>
            <w:r>
              <w:rPr>
                <w:color w:val="auto"/>
                <w:kern w:val="0"/>
                <w:sz w:val="24"/>
              </w:rPr>
              <w:t>/d</w:t>
            </w:r>
            <w:r>
              <w:rPr>
                <w:rFonts w:hint="eastAsia"/>
                <w:color w:val="auto"/>
                <w:kern w:val="0"/>
                <w:sz w:val="24"/>
              </w:rPr>
              <w:t>，</w:t>
            </w:r>
            <w:r>
              <w:rPr>
                <w:rFonts w:hint="eastAsia" w:ascii="宋体" w:hAnsi="宋体" w:cs="宋体"/>
                <w:color w:val="auto"/>
                <w:kern w:val="0"/>
                <w:sz w:val="24"/>
              </w:rPr>
              <w:t xml:space="preserve">主要污染物有 </w:t>
            </w:r>
            <w:r>
              <w:rPr>
                <w:color w:val="auto"/>
                <w:kern w:val="0"/>
                <w:sz w:val="24"/>
              </w:rPr>
              <w:t>COD</w:t>
            </w:r>
            <w:r>
              <w:rPr>
                <w:rFonts w:hint="eastAsia" w:ascii="宋体" w:hAnsi="宋体" w:cs="宋体"/>
                <w:color w:val="auto"/>
                <w:kern w:val="0"/>
                <w:sz w:val="24"/>
              </w:rPr>
              <w:t>、动植物油和氨氮等，污染物成分较为简单</w:t>
            </w:r>
            <w:r>
              <w:rPr>
                <w:rFonts w:hint="eastAsia" w:ascii="宋体" w:hAnsi="宋体"/>
                <w:color w:val="auto"/>
                <w:sz w:val="24"/>
              </w:rPr>
              <w:t>。</w:t>
            </w:r>
          </w:p>
          <w:p w14:paraId="1EB0ED6B">
            <w:pPr>
              <w:adjustRightInd w:val="0"/>
              <w:snapToGrid w:val="0"/>
              <w:spacing w:line="360" w:lineRule="auto"/>
              <w:ind w:firstLine="482" w:firstLineChars="200"/>
              <w:rPr>
                <w:b/>
                <w:color w:val="auto"/>
                <w:sz w:val="24"/>
              </w:rPr>
            </w:pPr>
            <w:r>
              <w:rPr>
                <w:rFonts w:hint="eastAsia"/>
                <w:b/>
                <w:color w:val="auto"/>
                <w:sz w:val="24"/>
              </w:rPr>
              <w:t>3</w:t>
            </w:r>
            <w:r>
              <w:rPr>
                <w:rFonts w:hint="eastAsia" w:ascii="宋体" w:hAnsi="宋体"/>
                <w:b/>
                <w:color w:val="auto"/>
                <w:sz w:val="24"/>
              </w:rPr>
              <w:t>、噪声污染防治措施</w:t>
            </w:r>
          </w:p>
          <w:p w14:paraId="31FB521A">
            <w:pPr>
              <w:adjustRightInd w:val="0"/>
              <w:snapToGrid w:val="0"/>
              <w:spacing w:line="360" w:lineRule="auto"/>
              <w:ind w:firstLine="480" w:firstLineChars="200"/>
              <w:rPr>
                <w:color w:val="auto"/>
                <w:sz w:val="24"/>
              </w:rPr>
            </w:pPr>
            <w:r>
              <w:rPr>
                <w:rFonts w:ascii="宋体" w:hAnsi="宋体"/>
                <w:color w:val="auto"/>
                <w:sz w:val="24"/>
              </w:rPr>
              <w:t>施工机械噪声主要来自</w:t>
            </w:r>
            <w:r>
              <w:rPr>
                <w:rFonts w:hint="eastAsia" w:ascii="宋体" w:hAnsi="宋体"/>
                <w:color w:val="auto"/>
                <w:sz w:val="24"/>
              </w:rPr>
              <w:t>设备安装</w:t>
            </w:r>
            <w:r>
              <w:rPr>
                <w:rFonts w:ascii="宋体" w:hAnsi="宋体"/>
                <w:color w:val="auto"/>
                <w:sz w:val="24"/>
              </w:rPr>
              <w:t>和运输车辆噪声等</w:t>
            </w:r>
            <w:r>
              <w:rPr>
                <w:rFonts w:hint="eastAsia" w:ascii="宋体" w:hAnsi="宋体"/>
                <w:color w:val="auto"/>
                <w:sz w:val="24"/>
              </w:rPr>
              <w:t>。根据分析，项目周边无声环境敏感点，施工期不会产生噪声扰民的影响，因此，噪声污染防治建议采取如下措施：</w:t>
            </w:r>
          </w:p>
          <w:p w14:paraId="12088F59">
            <w:pPr>
              <w:adjustRightInd w:val="0"/>
              <w:snapToGrid w:val="0"/>
              <w:spacing w:line="360" w:lineRule="auto"/>
              <w:ind w:firstLine="480" w:firstLineChars="200"/>
              <w:rPr>
                <w:color w:val="auto"/>
                <w:sz w:val="24"/>
              </w:rPr>
            </w:pPr>
            <w:r>
              <w:rPr>
                <w:rFonts w:hint="eastAsia" w:ascii="宋体" w:hAnsi="宋体"/>
                <w:color w:val="auto"/>
                <w:sz w:val="24"/>
              </w:rPr>
              <w:t>（</w:t>
            </w:r>
            <w:r>
              <w:rPr>
                <w:rFonts w:hint="eastAsia"/>
                <w:color w:val="auto"/>
                <w:sz w:val="24"/>
              </w:rPr>
              <w:t>1</w:t>
            </w:r>
            <w:r>
              <w:rPr>
                <w:rFonts w:hint="eastAsia" w:ascii="宋体" w:hAnsi="宋体"/>
                <w:color w:val="auto"/>
                <w:sz w:val="24"/>
              </w:rPr>
              <w:t>）施工单位必须选用符合国家有关标准的施工机具，尽可能采购低噪声设备。</w:t>
            </w:r>
          </w:p>
          <w:p w14:paraId="6753B3EA">
            <w:pPr>
              <w:adjustRightInd w:val="0"/>
              <w:snapToGrid w:val="0"/>
              <w:spacing w:line="360" w:lineRule="auto"/>
              <w:ind w:firstLine="480" w:firstLineChars="200"/>
              <w:rPr>
                <w:color w:val="auto"/>
                <w:szCs w:val="21"/>
              </w:rPr>
            </w:pPr>
            <w:r>
              <w:rPr>
                <w:rFonts w:hint="eastAsia" w:ascii="宋体" w:hAnsi="宋体"/>
                <w:color w:val="auto"/>
                <w:sz w:val="24"/>
              </w:rPr>
              <w:t>（2）对强噪声源作业面和流动施工机械操作人员佩戴噪声防护头盔、耳塞或耳罩等。</w:t>
            </w:r>
          </w:p>
          <w:p w14:paraId="345890AA">
            <w:pPr>
              <w:adjustRightInd w:val="0"/>
              <w:snapToGrid w:val="0"/>
              <w:spacing w:line="360" w:lineRule="auto"/>
              <w:ind w:firstLine="480" w:firstLineChars="200"/>
              <w:rPr>
                <w:color w:val="auto"/>
                <w:sz w:val="24"/>
              </w:rPr>
            </w:pPr>
            <w:r>
              <w:rPr>
                <w:rFonts w:hint="eastAsia" w:ascii="宋体" w:hAnsi="宋体"/>
                <w:color w:val="auto"/>
                <w:sz w:val="24"/>
              </w:rPr>
              <w:t>因此，本项目施工期的噪声污染采取以上防治措施后施工期噪声能够满足《建筑施工场界环境噪声排放标准》</w:t>
            </w:r>
            <w:r>
              <w:rPr>
                <w:rFonts w:hint="eastAsia"/>
                <w:color w:val="auto"/>
                <w:sz w:val="24"/>
              </w:rPr>
              <w:t>(GB12523-2011)</w:t>
            </w:r>
            <w:r>
              <w:rPr>
                <w:rFonts w:hint="eastAsia" w:ascii="宋体" w:hAnsi="宋体"/>
                <w:color w:val="auto"/>
                <w:sz w:val="24"/>
              </w:rPr>
              <w:t>，对周边声环境影响较小。</w:t>
            </w:r>
          </w:p>
          <w:p w14:paraId="734934A7">
            <w:pPr>
              <w:adjustRightInd w:val="0"/>
              <w:snapToGrid w:val="0"/>
              <w:spacing w:line="360" w:lineRule="auto"/>
              <w:ind w:firstLine="482" w:firstLineChars="200"/>
              <w:rPr>
                <w:b/>
                <w:color w:val="auto"/>
                <w:sz w:val="24"/>
              </w:rPr>
            </w:pPr>
            <w:r>
              <w:rPr>
                <w:rFonts w:hint="eastAsia"/>
                <w:b/>
                <w:color w:val="auto"/>
                <w:sz w:val="24"/>
              </w:rPr>
              <w:t>4</w:t>
            </w:r>
            <w:r>
              <w:rPr>
                <w:rFonts w:hint="eastAsia" w:ascii="宋体" w:hAnsi="宋体"/>
                <w:b/>
                <w:color w:val="auto"/>
                <w:sz w:val="24"/>
              </w:rPr>
              <w:t>、固体废物污染防治措施</w:t>
            </w:r>
          </w:p>
          <w:p w14:paraId="397066C3">
            <w:pPr>
              <w:adjustRightInd w:val="0"/>
              <w:snapToGrid w:val="0"/>
              <w:spacing w:line="360" w:lineRule="auto"/>
              <w:ind w:firstLine="480" w:firstLineChars="200"/>
              <w:rPr>
                <w:color w:val="auto"/>
                <w:sz w:val="24"/>
              </w:rPr>
            </w:pPr>
            <w:r>
              <w:rPr>
                <w:rFonts w:hint="eastAsia" w:ascii="宋体" w:hAnsi="宋体"/>
                <w:color w:val="auto"/>
                <w:sz w:val="24"/>
              </w:rPr>
              <w:t>本项目施工期主要固体废物主要为设备外包装、生活垃圾。主要防治措施如下：</w:t>
            </w:r>
          </w:p>
          <w:p w14:paraId="6421E0A8">
            <w:pPr>
              <w:adjustRightInd w:val="0"/>
              <w:snapToGrid w:val="0"/>
              <w:spacing w:line="360" w:lineRule="auto"/>
              <w:ind w:firstLine="480" w:firstLineChars="200"/>
              <w:rPr>
                <w:color w:val="auto"/>
                <w:sz w:val="24"/>
              </w:rPr>
            </w:pPr>
            <w:r>
              <w:rPr>
                <w:rFonts w:hint="eastAsia" w:ascii="宋体" w:hAnsi="宋体"/>
                <w:color w:val="auto"/>
                <w:sz w:val="24"/>
              </w:rPr>
              <w:t>（1）设备外包装集中收集后统一清运至指定处理点，严禁乱堆乱放乱弃。</w:t>
            </w:r>
          </w:p>
          <w:p w14:paraId="201D9BC5">
            <w:pPr>
              <w:adjustRightInd w:val="0"/>
              <w:snapToGrid w:val="0"/>
              <w:spacing w:line="360" w:lineRule="auto"/>
              <w:ind w:firstLine="480" w:firstLineChars="200"/>
              <w:rPr>
                <w:color w:val="auto"/>
                <w:spacing w:val="-6"/>
                <w:sz w:val="24"/>
              </w:rPr>
            </w:pPr>
            <w:r>
              <w:rPr>
                <w:rFonts w:hint="eastAsia" w:ascii="宋体" w:hAnsi="宋体"/>
                <w:color w:val="auto"/>
                <w:sz w:val="24"/>
              </w:rPr>
              <w:t>（2）生活垃圾通过生活垃圾箱（桶）集中收集</w:t>
            </w:r>
            <w:r>
              <w:rPr>
                <w:rFonts w:hint="eastAsia" w:ascii="宋体" w:hAnsi="宋体"/>
                <w:color w:val="auto"/>
                <w:spacing w:val="-6"/>
                <w:sz w:val="24"/>
              </w:rPr>
              <w:t>，由环卫统一清运处理。</w:t>
            </w:r>
          </w:p>
          <w:p w14:paraId="4C2FAAA1">
            <w:pPr>
              <w:adjustRightInd w:val="0"/>
              <w:snapToGrid w:val="0"/>
              <w:spacing w:line="360" w:lineRule="auto"/>
              <w:ind w:firstLine="480" w:firstLineChars="200"/>
              <w:rPr>
                <w:color w:val="auto"/>
                <w:sz w:val="24"/>
              </w:rPr>
            </w:pPr>
            <w:r>
              <w:rPr>
                <w:rFonts w:hint="eastAsia" w:ascii="宋体" w:hAnsi="宋体"/>
                <w:color w:val="auto"/>
                <w:sz w:val="24"/>
              </w:rPr>
              <w:t>因此，本项目施工期固体废物均得到妥善处置。</w:t>
            </w:r>
          </w:p>
          <w:p w14:paraId="04F3E941">
            <w:pPr>
              <w:pStyle w:val="6"/>
              <w:rPr>
                <w:color w:val="auto"/>
              </w:rPr>
            </w:pPr>
          </w:p>
          <w:p w14:paraId="419CF921">
            <w:pPr>
              <w:rPr>
                <w:color w:val="auto"/>
              </w:rPr>
            </w:pPr>
          </w:p>
          <w:p w14:paraId="2783561C">
            <w:pPr>
              <w:rPr>
                <w:color w:val="auto"/>
              </w:rPr>
            </w:pPr>
          </w:p>
          <w:p w14:paraId="4F5A62EC">
            <w:pPr>
              <w:rPr>
                <w:color w:val="auto"/>
              </w:rPr>
            </w:pPr>
          </w:p>
          <w:p w14:paraId="402315E4">
            <w:pPr>
              <w:rPr>
                <w:color w:val="auto"/>
              </w:rPr>
            </w:pPr>
          </w:p>
        </w:tc>
      </w:tr>
    </w:tbl>
    <w:p w14:paraId="13D43C54">
      <w:pPr>
        <w:adjustRightInd w:val="0"/>
        <w:snapToGrid w:val="0"/>
        <w:jc w:val="center"/>
        <w:rPr>
          <w:rFonts w:cs="宋体"/>
          <w:bCs/>
          <w:color w:val="auto"/>
          <w:sz w:val="24"/>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4"/>
        <w:tblW w:w="89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8240"/>
      </w:tblGrid>
      <w:tr w14:paraId="0406B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77" w:type="dxa"/>
            <w:tcMar>
              <w:left w:w="28" w:type="dxa"/>
              <w:right w:w="28" w:type="dxa"/>
            </w:tcMar>
            <w:vAlign w:val="center"/>
          </w:tcPr>
          <w:p w14:paraId="6A550F66">
            <w:pPr>
              <w:adjustRightInd w:val="0"/>
              <w:snapToGrid w:val="0"/>
              <w:jc w:val="center"/>
              <w:rPr>
                <w:rFonts w:cs="宋体"/>
                <w:bCs/>
                <w:color w:val="auto"/>
                <w:sz w:val="24"/>
              </w:rPr>
            </w:pPr>
            <w:r>
              <w:rPr>
                <w:rFonts w:hint="eastAsia" w:cs="宋体"/>
                <w:bCs/>
                <w:color w:val="auto"/>
                <w:sz w:val="24"/>
              </w:rPr>
              <w:t>运营</w:t>
            </w:r>
          </w:p>
          <w:p w14:paraId="72361A55">
            <w:pPr>
              <w:adjustRightInd w:val="0"/>
              <w:snapToGrid w:val="0"/>
              <w:jc w:val="center"/>
              <w:rPr>
                <w:rFonts w:cs="宋体"/>
                <w:bCs/>
                <w:color w:val="auto"/>
                <w:sz w:val="24"/>
              </w:rPr>
            </w:pPr>
            <w:r>
              <w:rPr>
                <w:rFonts w:hint="eastAsia" w:cs="宋体"/>
                <w:bCs/>
                <w:color w:val="auto"/>
                <w:sz w:val="24"/>
              </w:rPr>
              <w:t>期环</w:t>
            </w:r>
          </w:p>
          <w:p w14:paraId="4D2F072A">
            <w:pPr>
              <w:adjustRightInd w:val="0"/>
              <w:snapToGrid w:val="0"/>
              <w:jc w:val="center"/>
              <w:rPr>
                <w:rFonts w:cs="宋体"/>
                <w:bCs/>
                <w:color w:val="auto"/>
                <w:sz w:val="24"/>
              </w:rPr>
            </w:pPr>
            <w:r>
              <w:rPr>
                <w:rFonts w:hint="eastAsia" w:cs="宋体"/>
                <w:bCs/>
                <w:color w:val="auto"/>
                <w:sz w:val="24"/>
              </w:rPr>
              <w:t>境影</w:t>
            </w:r>
          </w:p>
          <w:p w14:paraId="5443D718">
            <w:pPr>
              <w:adjustRightInd w:val="0"/>
              <w:snapToGrid w:val="0"/>
              <w:jc w:val="center"/>
              <w:rPr>
                <w:rFonts w:cs="宋体"/>
                <w:bCs/>
                <w:color w:val="auto"/>
                <w:sz w:val="24"/>
              </w:rPr>
            </w:pPr>
            <w:r>
              <w:rPr>
                <w:rFonts w:hint="eastAsia" w:cs="宋体"/>
                <w:bCs/>
                <w:color w:val="auto"/>
                <w:sz w:val="24"/>
              </w:rPr>
              <w:t>响和</w:t>
            </w:r>
          </w:p>
          <w:p w14:paraId="7DA7D3AF">
            <w:pPr>
              <w:adjustRightInd w:val="0"/>
              <w:snapToGrid w:val="0"/>
              <w:jc w:val="center"/>
              <w:rPr>
                <w:rFonts w:cs="宋体"/>
                <w:bCs/>
                <w:color w:val="auto"/>
                <w:sz w:val="24"/>
              </w:rPr>
            </w:pPr>
            <w:r>
              <w:rPr>
                <w:rFonts w:hint="eastAsia" w:cs="宋体"/>
                <w:bCs/>
                <w:color w:val="auto"/>
                <w:sz w:val="24"/>
              </w:rPr>
              <w:t>保护</w:t>
            </w:r>
          </w:p>
          <w:p w14:paraId="7CB2B01A">
            <w:pPr>
              <w:adjustRightInd w:val="0"/>
              <w:snapToGrid w:val="0"/>
              <w:jc w:val="center"/>
              <w:rPr>
                <w:rFonts w:cs="宋体"/>
                <w:bCs/>
                <w:color w:val="auto"/>
                <w:sz w:val="24"/>
              </w:rPr>
            </w:pPr>
            <w:r>
              <w:rPr>
                <w:rFonts w:hint="eastAsia" w:cs="宋体"/>
                <w:bCs/>
                <w:color w:val="auto"/>
                <w:sz w:val="24"/>
              </w:rPr>
              <w:t>措施</w:t>
            </w:r>
          </w:p>
        </w:tc>
        <w:tc>
          <w:tcPr>
            <w:tcW w:w="8202" w:type="dxa"/>
            <w:shd w:val="clear" w:color="auto" w:fill="auto"/>
            <w:vAlign w:val="center"/>
          </w:tcPr>
          <w:p w14:paraId="010F5621">
            <w:pPr>
              <w:numPr>
                <w:ilvl w:val="0"/>
                <w:numId w:val="5"/>
              </w:numPr>
              <w:autoSpaceDE w:val="0"/>
              <w:autoSpaceDN w:val="0"/>
              <w:adjustRightInd w:val="0"/>
              <w:spacing w:line="360" w:lineRule="auto"/>
              <w:ind w:firstLine="482" w:firstLineChars="200"/>
              <w:rPr>
                <w:b/>
                <w:color w:val="auto"/>
                <w:kern w:val="0"/>
                <w:sz w:val="24"/>
              </w:rPr>
            </w:pPr>
            <w:r>
              <w:rPr>
                <w:b/>
                <w:color w:val="auto"/>
                <w:kern w:val="0"/>
                <w:sz w:val="24"/>
              </w:rPr>
              <w:t>废气</w:t>
            </w:r>
          </w:p>
          <w:p w14:paraId="579A2254">
            <w:pPr>
              <w:pStyle w:val="100"/>
              <w:spacing w:line="360" w:lineRule="auto"/>
              <w:ind w:firstLine="480" w:firstLineChars="200"/>
              <w:jc w:val="both"/>
              <w:rPr>
                <w:rFonts w:ascii="Times New Roman" w:hAnsi="Times New Roman" w:cs="Times New Roman"/>
                <w:color w:val="auto"/>
                <w:sz w:val="24"/>
                <w:szCs w:val="24"/>
              </w:rPr>
            </w:pPr>
            <w:r>
              <w:rPr>
                <w:rFonts w:ascii="Times New Roman" w:hAnsi="Times New Roman" w:cs="Times New Roman"/>
                <w:color w:val="auto"/>
                <w:sz w:val="24"/>
                <w:szCs w:val="24"/>
              </w:rPr>
              <w:t>本项目营运期废气污染物主要为</w:t>
            </w:r>
            <w:r>
              <w:rPr>
                <w:rFonts w:hint="eastAsia" w:ascii="Times New Roman" w:hAnsi="Times New Roman" w:cs="Times New Roman"/>
                <w:color w:val="auto"/>
                <w:sz w:val="24"/>
                <w:szCs w:val="24"/>
              </w:rPr>
              <w:t>金属熔炼、浇筑、焊接等生产单元产生的颗粒物</w:t>
            </w:r>
            <w:r>
              <w:rPr>
                <w:rFonts w:ascii="Times New Roman" w:hAnsi="Times New Roman" w:cs="Times New Roman"/>
                <w:color w:val="auto"/>
                <w:sz w:val="24"/>
                <w:szCs w:val="24"/>
              </w:rPr>
              <w:t>。</w:t>
            </w:r>
          </w:p>
          <w:p w14:paraId="35A57224">
            <w:pPr>
              <w:numPr>
                <w:ilvl w:val="1"/>
                <w:numId w:val="6"/>
              </w:numPr>
              <w:spacing w:line="360" w:lineRule="auto"/>
              <w:ind w:firstLine="480" w:firstLineChars="200"/>
              <w:rPr>
                <w:bCs/>
                <w:color w:val="auto"/>
                <w:sz w:val="24"/>
              </w:rPr>
            </w:pPr>
            <w:r>
              <w:rPr>
                <w:rFonts w:hint="eastAsia"/>
                <w:bCs/>
                <w:color w:val="auto"/>
                <w:sz w:val="24"/>
              </w:rPr>
              <w:t>有</w:t>
            </w:r>
            <w:r>
              <w:rPr>
                <w:bCs/>
                <w:color w:val="auto"/>
                <w:sz w:val="24"/>
              </w:rPr>
              <w:t>组织废气</w:t>
            </w:r>
          </w:p>
          <w:p w14:paraId="41E92CF7">
            <w:pPr>
              <w:overflowPunct w:val="0"/>
              <w:adjustRightInd w:val="0"/>
              <w:spacing w:line="360" w:lineRule="auto"/>
              <w:ind w:firstLine="480" w:firstLineChars="200"/>
              <w:rPr>
                <w:bCs/>
                <w:color w:val="auto"/>
                <w:sz w:val="24"/>
              </w:rPr>
            </w:pPr>
            <w:r>
              <w:rPr>
                <w:color w:val="auto"/>
                <w:sz w:val="24"/>
              </w:rPr>
              <w:t>（</w:t>
            </w:r>
            <w:r>
              <w:rPr>
                <w:rFonts w:hint="eastAsia"/>
                <w:color w:val="auto"/>
                <w:sz w:val="24"/>
              </w:rPr>
              <w:t>1</w:t>
            </w:r>
            <w:r>
              <w:rPr>
                <w:color w:val="auto"/>
                <w:sz w:val="24"/>
              </w:rPr>
              <w:t>）</w:t>
            </w:r>
            <w:r>
              <w:rPr>
                <w:rFonts w:hint="eastAsia"/>
                <w:color w:val="auto"/>
                <w:sz w:val="24"/>
              </w:rPr>
              <w:t>熔炼颗粒物、浇筑颗粒物</w:t>
            </w:r>
          </w:p>
          <w:p w14:paraId="7C6D3EBF">
            <w:pPr>
              <w:pStyle w:val="100"/>
              <w:spacing w:line="360" w:lineRule="auto"/>
              <w:ind w:firstLine="480" w:firstLineChars="200"/>
              <w:jc w:val="both"/>
              <w:rPr>
                <w:rFonts w:ascii="Times New Roman" w:hAnsi="Times New Roman" w:cs="Times New Roman"/>
                <w:color w:val="auto"/>
                <w:sz w:val="24"/>
                <w:szCs w:val="24"/>
              </w:rPr>
            </w:pPr>
            <w:r>
              <w:rPr>
                <w:rFonts w:ascii="Times New Roman" w:hAnsi="Times New Roman" w:cs="Times New Roman"/>
                <w:color w:val="auto"/>
                <w:sz w:val="24"/>
                <w:szCs w:val="24"/>
              </w:rPr>
              <w:t>项目</w:t>
            </w:r>
            <w:r>
              <w:rPr>
                <w:rFonts w:hint="eastAsia" w:ascii="Times New Roman" w:hAnsi="Times New Roman" w:cs="Times New Roman"/>
                <w:color w:val="auto"/>
                <w:sz w:val="24"/>
                <w:szCs w:val="24"/>
              </w:rPr>
              <w:t>所用原材料：钢材边角料、锰铁、硅铁均在封闭厂房内</w:t>
            </w:r>
            <w:r>
              <w:rPr>
                <w:rFonts w:ascii="Times New Roman" w:hAnsi="Times New Roman" w:cs="Times New Roman"/>
                <w:color w:val="auto"/>
                <w:sz w:val="24"/>
                <w:szCs w:val="24"/>
              </w:rPr>
              <w:t>储藏，由原料供应商</w:t>
            </w:r>
            <w:r>
              <w:rPr>
                <w:rFonts w:hint="eastAsia" w:ascii="Times New Roman" w:hAnsi="Times New Roman" w:cs="Times New Roman"/>
                <w:color w:val="auto"/>
                <w:sz w:val="24"/>
                <w:szCs w:val="24"/>
              </w:rPr>
              <w:t>按照需要尺寸制成，不用在场内进行预处理，可以直接投入到中频感应电炉内加工。铸件</w:t>
            </w:r>
            <w:r>
              <w:rPr>
                <w:rFonts w:ascii="Times New Roman" w:hAnsi="Times New Roman" w:cs="Times New Roman"/>
                <w:color w:val="auto"/>
                <w:sz w:val="24"/>
                <w:szCs w:val="24"/>
              </w:rPr>
              <w:t>在</w:t>
            </w:r>
            <w:r>
              <w:rPr>
                <w:rFonts w:hint="eastAsia" w:ascii="Times New Roman" w:hAnsi="Times New Roman" w:cs="Times New Roman"/>
                <w:color w:val="auto"/>
                <w:sz w:val="24"/>
                <w:szCs w:val="24"/>
              </w:rPr>
              <w:t>熔炼及浇筑</w:t>
            </w:r>
            <w:r>
              <w:rPr>
                <w:rFonts w:ascii="Times New Roman" w:hAnsi="Times New Roman" w:cs="Times New Roman"/>
                <w:color w:val="auto"/>
                <w:sz w:val="24"/>
                <w:szCs w:val="24"/>
              </w:rPr>
              <w:t>过程中</w:t>
            </w:r>
            <w:r>
              <w:rPr>
                <w:rFonts w:hint="eastAsia" w:ascii="Times New Roman" w:hAnsi="Times New Roman" w:cs="Times New Roman"/>
                <w:color w:val="auto"/>
                <w:sz w:val="24"/>
                <w:szCs w:val="24"/>
              </w:rPr>
              <w:t>会</w:t>
            </w:r>
            <w:r>
              <w:rPr>
                <w:rFonts w:ascii="Times New Roman" w:hAnsi="Times New Roman" w:cs="Times New Roman"/>
                <w:color w:val="auto"/>
                <w:sz w:val="24"/>
                <w:szCs w:val="24"/>
              </w:rPr>
              <w:t>产生粉尘，粉尘通过</w:t>
            </w:r>
            <w:r>
              <w:rPr>
                <w:rFonts w:hint="eastAsia" w:ascii="Times New Roman" w:hAnsi="Times New Roman" w:cs="Times New Roman"/>
                <w:color w:val="auto"/>
                <w:sz w:val="24"/>
                <w:szCs w:val="24"/>
                <w:lang w:val="en-US" w:eastAsia="zh-CN"/>
              </w:rPr>
              <w:t>两</w:t>
            </w:r>
            <w:r>
              <w:rPr>
                <w:rFonts w:hint="eastAsia" w:ascii="Times New Roman" w:hAnsi="Times New Roman" w:cs="Times New Roman"/>
                <w:color w:val="auto"/>
                <w:sz w:val="24"/>
                <w:szCs w:val="24"/>
              </w:rPr>
              <w:t>个集气罩</w:t>
            </w:r>
            <w:r>
              <w:rPr>
                <w:rStyle w:val="30"/>
                <w:rFonts w:hint="eastAsia" w:ascii="Times New Roman" w:hAnsi="Times New Roman" w:cs="Times New Roman"/>
                <w:color w:val="auto"/>
                <w:sz w:val="24"/>
                <w:szCs w:val="24"/>
                <w:lang w:eastAsia="zh-CN"/>
              </w:rPr>
              <w:t>（</w:t>
            </w:r>
            <w:r>
              <w:rPr>
                <w:rStyle w:val="30"/>
                <w:rFonts w:hint="eastAsia" w:ascii="Times New Roman" w:hAnsi="Times New Roman" w:cs="Times New Roman"/>
                <w:color w:val="auto"/>
                <w:sz w:val="24"/>
                <w:szCs w:val="24"/>
                <w:lang w:val="en-US" w:eastAsia="zh-CN"/>
              </w:rPr>
              <w:t>集气罩收集效率按90%计算</w:t>
            </w:r>
            <w:r>
              <w:rPr>
                <w:rStyle w:val="30"/>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收集后统一进</w:t>
            </w:r>
            <w:r>
              <w:rPr>
                <w:rFonts w:ascii="Times New Roman" w:hAnsi="Times New Roman" w:cs="Times New Roman"/>
                <w:color w:val="auto"/>
                <w:sz w:val="24"/>
                <w:szCs w:val="24"/>
              </w:rPr>
              <w:t>入</w:t>
            </w:r>
            <w:r>
              <w:rPr>
                <w:rFonts w:hint="eastAsia" w:ascii="Times New Roman" w:hAnsi="Times New Roman" w:cs="Times New Roman"/>
                <w:color w:val="auto"/>
                <w:sz w:val="24"/>
                <w:szCs w:val="24"/>
                <w:lang w:val="en-US" w:eastAsia="zh-CN"/>
              </w:rPr>
              <w:t>一个</w:t>
            </w:r>
            <w:r>
              <w:rPr>
                <w:rFonts w:ascii="Times New Roman" w:hAnsi="Times New Roman" w:cs="Times New Roman"/>
                <w:color w:val="auto"/>
                <w:sz w:val="24"/>
                <w:szCs w:val="24"/>
              </w:rPr>
              <w:t>布袋除尘器（去尘效率 9</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，风机量</w:t>
            </w:r>
            <w:r>
              <w:rPr>
                <w:rFonts w:hint="eastAsia" w:ascii="Times New Roman" w:hAnsi="Times New Roman" w:cs="Times New Roman"/>
                <w:color w:val="auto"/>
                <w:sz w:val="24"/>
                <w:szCs w:val="24"/>
              </w:rPr>
              <w:t>220000</w:t>
            </w:r>
            <w:r>
              <w:rPr>
                <w:rFonts w:ascii="Times New Roman" w:hAnsi="Times New Roman" w:cs="Times New Roman"/>
                <w:color w:val="auto"/>
                <w:sz w:val="24"/>
                <w:szCs w:val="24"/>
              </w:rPr>
              <w:t>m</w:t>
            </w:r>
            <w:r>
              <w:rPr>
                <w:rFonts w:ascii="Times New Roman" w:hAnsi="Times New Roman" w:cs="Times New Roman"/>
                <w:color w:val="auto"/>
                <w:sz w:val="24"/>
                <w:szCs w:val="24"/>
                <w:vertAlign w:val="superscript"/>
              </w:rPr>
              <w:t>3</w:t>
            </w:r>
            <w:r>
              <w:rPr>
                <w:rFonts w:ascii="Times New Roman" w:hAnsi="Times New Roman" w:cs="Times New Roman"/>
                <w:color w:val="auto"/>
                <w:sz w:val="24"/>
                <w:szCs w:val="24"/>
              </w:rPr>
              <w:t>/h）进行处理。</w:t>
            </w:r>
            <w:r>
              <w:rPr>
                <w:rFonts w:hint="eastAsia" w:ascii="Times New Roman" w:hAnsi="Times New Roman" w:cs="Times New Roman"/>
                <w:color w:val="auto"/>
                <w:sz w:val="24"/>
                <w:szCs w:val="24"/>
              </w:rPr>
              <w:t>熔炼和浇筑</w:t>
            </w:r>
            <w:r>
              <w:rPr>
                <w:rFonts w:ascii="Times New Roman" w:hAnsi="Times New Roman" w:cs="Times New Roman"/>
                <w:color w:val="auto"/>
                <w:sz w:val="24"/>
                <w:szCs w:val="24"/>
              </w:rPr>
              <w:t>产生的粉尘参照《排放源统计调查产排污核算方法和系数手册》（</w:t>
            </w:r>
            <w:r>
              <w:rPr>
                <w:rFonts w:hint="eastAsia" w:ascii="Times New Roman" w:hAnsi="Times New Roman" w:cs="Times New Roman"/>
                <w:color w:val="auto"/>
                <w:sz w:val="24"/>
                <w:szCs w:val="24"/>
              </w:rPr>
              <w:t>33-37，431-434机械</w:t>
            </w:r>
            <w:r>
              <w:rPr>
                <w:rFonts w:ascii="Times New Roman" w:hAnsi="Times New Roman" w:cs="Times New Roman"/>
                <w:color w:val="auto"/>
                <w:sz w:val="24"/>
                <w:szCs w:val="24"/>
              </w:rPr>
              <w:t>行业系数手册）中“</w:t>
            </w:r>
            <w:r>
              <w:rPr>
                <w:rFonts w:hint="eastAsia" w:ascii="Times New Roman" w:hAnsi="Times New Roman" w:cs="Times New Roman"/>
                <w:color w:val="auto"/>
                <w:sz w:val="24"/>
                <w:szCs w:val="24"/>
              </w:rPr>
              <w:t>01铸造</w:t>
            </w:r>
            <w:r>
              <w:rPr>
                <w:rFonts w:ascii="Times New Roman" w:hAnsi="Times New Roman" w:cs="Times New Roman"/>
                <w:color w:val="auto"/>
                <w:sz w:val="24"/>
                <w:szCs w:val="24"/>
              </w:rPr>
              <w:t xml:space="preserve"> ”，产污系数见表 4-1。</w:t>
            </w:r>
          </w:p>
          <w:p w14:paraId="39CBF67F">
            <w:pPr>
              <w:pStyle w:val="111"/>
              <w:rPr>
                <w:bCs/>
                <w:color w:val="auto"/>
                <w:kern w:val="0"/>
                <w:sz w:val="21"/>
                <w:szCs w:val="21"/>
              </w:rPr>
            </w:pPr>
            <w:r>
              <w:rPr>
                <w:bCs/>
                <w:color w:val="auto"/>
                <w:kern w:val="0"/>
                <w:sz w:val="21"/>
                <w:szCs w:val="21"/>
              </w:rPr>
              <w:t xml:space="preserve">表4-1    </w:t>
            </w:r>
            <w:r>
              <w:rPr>
                <w:rFonts w:hint="eastAsia"/>
                <w:bCs/>
                <w:color w:val="auto"/>
                <w:kern w:val="0"/>
                <w:sz w:val="21"/>
                <w:szCs w:val="21"/>
              </w:rPr>
              <w:t>33-37，431-434机械</w:t>
            </w:r>
            <w:r>
              <w:rPr>
                <w:bCs/>
                <w:color w:val="auto"/>
                <w:kern w:val="0"/>
                <w:sz w:val="21"/>
                <w:szCs w:val="21"/>
              </w:rPr>
              <w:t>行业系数表</w:t>
            </w:r>
          </w:p>
          <w:tbl>
            <w:tblPr>
              <w:tblStyle w:val="24"/>
              <w:tblW w:w="7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870"/>
              <w:gridCol w:w="817"/>
              <w:gridCol w:w="689"/>
              <w:gridCol w:w="893"/>
              <w:gridCol w:w="1400"/>
              <w:gridCol w:w="689"/>
              <w:gridCol w:w="873"/>
              <w:gridCol w:w="1111"/>
            </w:tblGrid>
            <w:tr w14:paraId="341B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6" w:type="dxa"/>
                  <w:vAlign w:val="center"/>
                </w:tcPr>
                <w:p w14:paraId="753D2CD4">
                  <w:pPr>
                    <w:pStyle w:val="76"/>
                    <w:spacing w:line="240" w:lineRule="atLeast"/>
                    <w:rPr>
                      <w:rFonts w:ascii="Times New Roman" w:hAnsi="Times New Roman"/>
                      <w:color w:val="auto"/>
                      <w:szCs w:val="21"/>
                    </w:rPr>
                  </w:pPr>
                  <w:r>
                    <w:rPr>
                      <w:rFonts w:ascii="Times New Roman" w:hAnsi="Times New Roman"/>
                      <w:color w:val="auto"/>
                      <w:szCs w:val="21"/>
                    </w:rPr>
                    <w:t>工段名称</w:t>
                  </w:r>
                </w:p>
              </w:tc>
              <w:tc>
                <w:tcPr>
                  <w:tcW w:w="872" w:type="dxa"/>
                  <w:vAlign w:val="center"/>
                </w:tcPr>
                <w:p w14:paraId="0F4B0AB4">
                  <w:pPr>
                    <w:pStyle w:val="76"/>
                    <w:spacing w:line="240" w:lineRule="atLeast"/>
                    <w:rPr>
                      <w:rFonts w:ascii="Times New Roman" w:hAnsi="Times New Roman"/>
                      <w:color w:val="auto"/>
                      <w:szCs w:val="21"/>
                    </w:rPr>
                  </w:pPr>
                  <w:r>
                    <w:rPr>
                      <w:rFonts w:ascii="Times New Roman" w:hAnsi="Times New Roman"/>
                      <w:color w:val="auto"/>
                      <w:szCs w:val="21"/>
                    </w:rPr>
                    <w:t>原料名称</w:t>
                  </w:r>
                </w:p>
              </w:tc>
              <w:tc>
                <w:tcPr>
                  <w:tcW w:w="819" w:type="dxa"/>
                  <w:vAlign w:val="center"/>
                </w:tcPr>
                <w:p w14:paraId="79B7C06B">
                  <w:pPr>
                    <w:pStyle w:val="76"/>
                    <w:spacing w:line="240" w:lineRule="atLeast"/>
                    <w:rPr>
                      <w:rFonts w:ascii="Times New Roman" w:hAnsi="Times New Roman"/>
                      <w:color w:val="auto"/>
                      <w:szCs w:val="21"/>
                    </w:rPr>
                  </w:pPr>
                  <w:r>
                    <w:rPr>
                      <w:rFonts w:ascii="Times New Roman" w:hAnsi="Times New Roman"/>
                      <w:color w:val="auto"/>
                      <w:szCs w:val="21"/>
                    </w:rPr>
                    <w:t>工艺名称</w:t>
                  </w:r>
                </w:p>
              </w:tc>
              <w:tc>
                <w:tcPr>
                  <w:tcW w:w="692" w:type="dxa"/>
                  <w:vAlign w:val="center"/>
                </w:tcPr>
                <w:p w14:paraId="0A8C4D26">
                  <w:pPr>
                    <w:pStyle w:val="76"/>
                    <w:spacing w:line="240" w:lineRule="atLeast"/>
                    <w:rPr>
                      <w:rFonts w:ascii="Times New Roman" w:hAnsi="Times New Roman"/>
                      <w:color w:val="auto"/>
                      <w:szCs w:val="21"/>
                    </w:rPr>
                  </w:pPr>
                  <w:r>
                    <w:rPr>
                      <w:rFonts w:ascii="Times New Roman" w:hAnsi="Times New Roman"/>
                      <w:color w:val="auto"/>
                      <w:szCs w:val="21"/>
                    </w:rPr>
                    <w:t>规模等级</w:t>
                  </w:r>
                </w:p>
              </w:tc>
              <w:tc>
                <w:tcPr>
                  <w:tcW w:w="898" w:type="dxa"/>
                  <w:vAlign w:val="center"/>
                </w:tcPr>
                <w:p w14:paraId="569AA944">
                  <w:pPr>
                    <w:pStyle w:val="76"/>
                    <w:spacing w:line="240" w:lineRule="atLeast"/>
                    <w:rPr>
                      <w:rFonts w:ascii="Times New Roman" w:hAnsi="Times New Roman"/>
                      <w:color w:val="auto"/>
                      <w:szCs w:val="21"/>
                    </w:rPr>
                  </w:pPr>
                  <w:r>
                    <w:rPr>
                      <w:rFonts w:ascii="Times New Roman" w:hAnsi="Times New Roman"/>
                      <w:color w:val="auto"/>
                      <w:szCs w:val="21"/>
                    </w:rPr>
                    <w:t>污染物指标</w:t>
                  </w:r>
                </w:p>
              </w:tc>
              <w:tc>
                <w:tcPr>
                  <w:tcW w:w="1410" w:type="dxa"/>
                  <w:vAlign w:val="center"/>
                </w:tcPr>
                <w:p w14:paraId="1CDF2AA0">
                  <w:pPr>
                    <w:pStyle w:val="76"/>
                    <w:spacing w:line="240" w:lineRule="atLeast"/>
                    <w:rPr>
                      <w:rFonts w:ascii="Times New Roman" w:hAnsi="Times New Roman"/>
                      <w:color w:val="auto"/>
                      <w:szCs w:val="21"/>
                    </w:rPr>
                  </w:pPr>
                  <w:r>
                    <w:rPr>
                      <w:rFonts w:ascii="Times New Roman" w:hAnsi="Times New Roman"/>
                      <w:color w:val="auto"/>
                      <w:szCs w:val="21"/>
                    </w:rPr>
                    <w:t>单位</w:t>
                  </w:r>
                </w:p>
              </w:tc>
              <w:tc>
                <w:tcPr>
                  <w:tcW w:w="658" w:type="dxa"/>
                  <w:vAlign w:val="center"/>
                </w:tcPr>
                <w:p w14:paraId="6DA990AC">
                  <w:pPr>
                    <w:pStyle w:val="76"/>
                    <w:spacing w:line="240" w:lineRule="atLeast"/>
                    <w:rPr>
                      <w:rFonts w:ascii="Times New Roman" w:hAnsi="Times New Roman"/>
                      <w:color w:val="auto"/>
                      <w:szCs w:val="21"/>
                    </w:rPr>
                  </w:pPr>
                  <w:r>
                    <w:rPr>
                      <w:rFonts w:ascii="Times New Roman" w:hAnsi="Times New Roman"/>
                      <w:color w:val="auto"/>
                      <w:szCs w:val="21"/>
                    </w:rPr>
                    <w:t>产污系数</w:t>
                  </w:r>
                </w:p>
              </w:tc>
              <w:tc>
                <w:tcPr>
                  <w:tcW w:w="877" w:type="dxa"/>
                  <w:vAlign w:val="center"/>
                </w:tcPr>
                <w:p w14:paraId="4AB12546">
                  <w:pPr>
                    <w:pStyle w:val="76"/>
                    <w:spacing w:line="240" w:lineRule="atLeast"/>
                    <w:rPr>
                      <w:rFonts w:ascii="Times New Roman" w:hAnsi="Times New Roman"/>
                      <w:color w:val="auto"/>
                      <w:szCs w:val="21"/>
                    </w:rPr>
                  </w:pPr>
                  <w:r>
                    <w:rPr>
                      <w:rFonts w:ascii="Times New Roman" w:hAnsi="Times New Roman"/>
                      <w:color w:val="auto"/>
                      <w:szCs w:val="21"/>
                    </w:rPr>
                    <w:t>末端治理技术名称</w:t>
                  </w:r>
                </w:p>
              </w:tc>
              <w:tc>
                <w:tcPr>
                  <w:tcW w:w="1114" w:type="dxa"/>
                  <w:vAlign w:val="center"/>
                </w:tcPr>
                <w:p w14:paraId="11AEFD82">
                  <w:pPr>
                    <w:pStyle w:val="76"/>
                    <w:spacing w:line="240" w:lineRule="atLeast"/>
                    <w:rPr>
                      <w:rFonts w:ascii="Times New Roman" w:hAnsi="Times New Roman"/>
                      <w:color w:val="auto"/>
                      <w:szCs w:val="21"/>
                    </w:rPr>
                  </w:pPr>
                  <w:r>
                    <w:rPr>
                      <w:rFonts w:ascii="Times New Roman" w:hAnsi="Times New Roman"/>
                      <w:color w:val="auto"/>
                      <w:szCs w:val="21"/>
                    </w:rPr>
                    <w:t>末端治理</w:t>
                  </w:r>
                </w:p>
                <w:p w14:paraId="15542DB7">
                  <w:pPr>
                    <w:pStyle w:val="76"/>
                    <w:spacing w:line="240" w:lineRule="atLeast"/>
                    <w:rPr>
                      <w:rFonts w:ascii="Times New Roman" w:hAnsi="Times New Roman"/>
                      <w:color w:val="auto"/>
                      <w:szCs w:val="21"/>
                    </w:rPr>
                  </w:pPr>
                  <w:r>
                    <w:rPr>
                      <w:rFonts w:ascii="Times New Roman" w:hAnsi="Times New Roman"/>
                      <w:color w:val="auto"/>
                      <w:szCs w:val="21"/>
                    </w:rPr>
                    <w:t>技术平均去除效率（%）</w:t>
                  </w:r>
                </w:p>
              </w:tc>
            </w:tr>
            <w:tr w14:paraId="680C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6" w:type="dxa"/>
                  <w:vMerge w:val="restart"/>
                  <w:vAlign w:val="center"/>
                </w:tcPr>
                <w:p w14:paraId="364B1D3C">
                  <w:pPr>
                    <w:pStyle w:val="76"/>
                    <w:spacing w:line="240" w:lineRule="atLeast"/>
                    <w:rPr>
                      <w:rFonts w:ascii="Times New Roman" w:hAnsi="Times New Roman"/>
                      <w:color w:val="auto"/>
                      <w:szCs w:val="21"/>
                    </w:rPr>
                  </w:pPr>
                </w:p>
                <w:p w14:paraId="7AF7FF23">
                  <w:pPr>
                    <w:rPr>
                      <w:color w:val="auto"/>
                    </w:rPr>
                  </w:pPr>
                  <w:r>
                    <w:rPr>
                      <w:rFonts w:hint="eastAsia"/>
                      <w:color w:val="auto"/>
                      <w:szCs w:val="21"/>
                    </w:rPr>
                    <w:t>铸造</w:t>
                  </w:r>
                </w:p>
              </w:tc>
              <w:tc>
                <w:tcPr>
                  <w:tcW w:w="872" w:type="dxa"/>
                  <w:vMerge w:val="restart"/>
                  <w:vAlign w:val="center"/>
                </w:tcPr>
                <w:p w14:paraId="04DE1207">
                  <w:pPr>
                    <w:pStyle w:val="76"/>
                    <w:rPr>
                      <w:rFonts w:ascii="Times New Roman" w:hAnsi="Times New Roman"/>
                      <w:color w:val="auto"/>
                      <w:szCs w:val="21"/>
                    </w:rPr>
                  </w:pPr>
                  <w:r>
                    <w:rPr>
                      <w:rFonts w:ascii="Times New Roman" w:hAnsi="Times New Roman"/>
                      <w:color w:val="auto"/>
                      <w:szCs w:val="21"/>
                    </w:rPr>
                    <w:t>生铁、 废钢</w:t>
                  </w:r>
                  <w:r>
                    <w:rPr>
                      <w:rFonts w:hint="eastAsia" w:ascii="Times New Roman" w:hAnsi="Times New Roman"/>
                      <w:color w:val="auto"/>
                      <w:szCs w:val="21"/>
                    </w:rPr>
                    <w:t>、</w:t>
                  </w:r>
                  <w:r>
                    <w:rPr>
                      <w:rFonts w:ascii="Times New Roman" w:hAnsi="Times New Roman"/>
                      <w:color w:val="auto"/>
                      <w:szCs w:val="21"/>
                    </w:rPr>
                    <w:t>铁合 金、中间合 金锭、石灰 石、增碳剂、电解铜</w:t>
                  </w:r>
                </w:p>
              </w:tc>
              <w:tc>
                <w:tcPr>
                  <w:tcW w:w="819" w:type="dxa"/>
                  <w:vMerge w:val="restart"/>
                  <w:vAlign w:val="center"/>
                </w:tcPr>
                <w:p w14:paraId="26895ABA">
                  <w:pPr>
                    <w:pStyle w:val="76"/>
                    <w:spacing w:line="240" w:lineRule="atLeast"/>
                    <w:rPr>
                      <w:rFonts w:ascii="Times New Roman" w:hAnsi="Times New Roman"/>
                      <w:color w:val="auto"/>
                      <w:szCs w:val="21"/>
                    </w:rPr>
                  </w:pPr>
                  <w:r>
                    <w:rPr>
                      <w:rFonts w:ascii="宋体" w:hAnsi="宋体" w:cs="宋体"/>
                      <w:color w:val="auto"/>
                      <w:szCs w:val="21"/>
                    </w:rPr>
                    <w:t>熔炼 ( 感 应电炉 / 电阻炉 及其他 )</w:t>
                  </w:r>
                </w:p>
              </w:tc>
              <w:tc>
                <w:tcPr>
                  <w:tcW w:w="692" w:type="dxa"/>
                  <w:vMerge w:val="restart"/>
                  <w:vAlign w:val="center"/>
                </w:tcPr>
                <w:p w14:paraId="4BEF6C84">
                  <w:pPr>
                    <w:pStyle w:val="76"/>
                    <w:spacing w:line="240" w:lineRule="atLeast"/>
                    <w:rPr>
                      <w:rFonts w:ascii="Times New Roman" w:hAnsi="Times New Roman"/>
                      <w:color w:val="auto"/>
                      <w:szCs w:val="21"/>
                    </w:rPr>
                  </w:pPr>
                  <w:r>
                    <w:rPr>
                      <w:rFonts w:ascii="Times New Roman" w:hAnsi="Times New Roman"/>
                      <w:color w:val="auto"/>
                      <w:szCs w:val="21"/>
                    </w:rPr>
                    <w:t>所有规模</w:t>
                  </w:r>
                </w:p>
              </w:tc>
              <w:tc>
                <w:tcPr>
                  <w:tcW w:w="898" w:type="dxa"/>
                  <w:vAlign w:val="center"/>
                </w:tcPr>
                <w:p w14:paraId="10FC8F7B">
                  <w:pPr>
                    <w:pStyle w:val="76"/>
                    <w:spacing w:line="240" w:lineRule="atLeast"/>
                    <w:rPr>
                      <w:rFonts w:ascii="Times New Roman" w:hAnsi="Times New Roman"/>
                      <w:color w:val="auto"/>
                      <w:szCs w:val="21"/>
                    </w:rPr>
                  </w:pPr>
                  <w:r>
                    <w:rPr>
                      <w:rFonts w:ascii="Times New Roman" w:hAnsi="Times New Roman"/>
                      <w:color w:val="auto"/>
                      <w:szCs w:val="21"/>
                    </w:rPr>
                    <w:t>废气量</w:t>
                  </w:r>
                </w:p>
              </w:tc>
              <w:tc>
                <w:tcPr>
                  <w:tcW w:w="1410" w:type="dxa"/>
                  <w:vAlign w:val="center"/>
                </w:tcPr>
                <w:p w14:paraId="76E70437">
                  <w:pPr>
                    <w:pStyle w:val="76"/>
                    <w:spacing w:line="240" w:lineRule="atLeast"/>
                    <w:rPr>
                      <w:rFonts w:ascii="Times New Roman" w:hAnsi="Times New Roman"/>
                      <w:color w:val="auto"/>
                      <w:szCs w:val="21"/>
                    </w:rPr>
                  </w:pPr>
                  <w:r>
                    <w:rPr>
                      <w:rFonts w:ascii="Times New Roman" w:hAnsi="Times New Roman"/>
                      <w:color w:val="auto"/>
                      <w:szCs w:val="21"/>
                    </w:rPr>
                    <w:t>立方米/吨-产品</w:t>
                  </w:r>
                </w:p>
              </w:tc>
              <w:tc>
                <w:tcPr>
                  <w:tcW w:w="658" w:type="dxa"/>
                  <w:vAlign w:val="center"/>
                </w:tcPr>
                <w:p w14:paraId="1EA60F8A">
                  <w:pPr>
                    <w:pStyle w:val="76"/>
                    <w:spacing w:line="240" w:lineRule="atLeast"/>
                    <w:rPr>
                      <w:rFonts w:ascii="Times New Roman" w:hAnsi="Times New Roman"/>
                      <w:color w:val="auto"/>
                      <w:szCs w:val="21"/>
                    </w:rPr>
                  </w:pPr>
                  <w:r>
                    <w:rPr>
                      <w:rFonts w:hint="eastAsia" w:ascii="Times New Roman" w:hAnsi="Times New Roman"/>
                      <w:color w:val="auto"/>
                      <w:szCs w:val="21"/>
                    </w:rPr>
                    <w:t>7483</w:t>
                  </w:r>
                </w:p>
              </w:tc>
              <w:tc>
                <w:tcPr>
                  <w:tcW w:w="877" w:type="dxa"/>
                  <w:vAlign w:val="center"/>
                </w:tcPr>
                <w:p w14:paraId="0293E340">
                  <w:pPr>
                    <w:pStyle w:val="76"/>
                    <w:spacing w:line="240" w:lineRule="atLeast"/>
                    <w:rPr>
                      <w:rFonts w:ascii="Times New Roman" w:hAnsi="Times New Roman"/>
                      <w:color w:val="auto"/>
                      <w:szCs w:val="21"/>
                    </w:rPr>
                  </w:pPr>
                  <w:r>
                    <w:rPr>
                      <w:rFonts w:ascii="Times New Roman" w:hAnsi="Times New Roman"/>
                      <w:color w:val="auto"/>
                      <w:szCs w:val="21"/>
                    </w:rPr>
                    <w:t>/</w:t>
                  </w:r>
                </w:p>
              </w:tc>
              <w:tc>
                <w:tcPr>
                  <w:tcW w:w="1114" w:type="dxa"/>
                  <w:vAlign w:val="center"/>
                </w:tcPr>
                <w:p w14:paraId="3C1DAD38">
                  <w:pPr>
                    <w:pStyle w:val="76"/>
                    <w:spacing w:line="240" w:lineRule="atLeast"/>
                    <w:rPr>
                      <w:rFonts w:ascii="Times New Roman" w:hAnsi="Times New Roman"/>
                      <w:color w:val="auto"/>
                      <w:szCs w:val="21"/>
                    </w:rPr>
                  </w:pPr>
                  <w:r>
                    <w:rPr>
                      <w:rFonts w:ascii="Times New Roman" w:hAnsi="Times New Roman"/>
                      <w:color w:val="auto"/>
                      <w:szCs w:val="21"/>
                    </w:rPr>
                    <w:t>/</w:t>
                  </w:r>
                </w:p>
              </w:tc>
            </w:tr>
            <w:tr w14:paraId="4704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6" w:type="dxa"/>
                  <w:vMerge w:val="continue"/>
                  <w:vAlign w:val="center"/>
                </w:tcPr>
                <w:p w14:paraId="10F0A2A5">
                  <w:pPr>
                    <w:pStyle w:val="76"/>
                    <w:spacing w:line="240" w:lineRule="atLeast"/>
                    <w:rPr>
                      <w:rFonts w:ascii="Times New Roman" w:hAnsi="Times New Roman"/>
                      <w:color w:val="auto"/>
                      <w:szCs w:val="21"/>
                    </w:rPr>
                  </w:pPr>
                </w:p>
              </w:tc>
              <w:tc>
                <w:tcPr>
                  <w:tcW w:w="872" w:type="dxa"/>
                  <w:vMerge w:val="continue"/>
                  <w:vAlign w:val="center"/>
                </w:tcPr>
                <w:p w14:paraId="3A367DF4">
                  <w:pPr>
                    <w:pStyle w:val="76"/>
                    <w:spacing w:line="240" w:lineRule="atLeast"/>
                    <w:rPr>
                      <w:rFonts w:ascii="Times New Roman" w:hAnsi="Times New Roman"/>
                      <w:color w:val="auto"/>
                      <w:szCs w:val="21"/>
                    </w:rPr>
                  </w:pPr>
                </w:p>
              </w:tc>
              <w:tc>
                <w:tcPr>
                  <w:tcW w:w="819" w:type="dxa"/>
                  <w:vMerge w:val="continue"/>
                  <w:vAlign w:val="center"/>
                </w:tcPr>
                <w:p w14:paraId="36EDE672">
                  <w:pPr>
                    <w:pStyle w:val="76"/>
                    <w:spacing w:line="240" w:lineRule="atLeast"/>
                    <w:rPr>
                      <w:rFonts w:ascii="Times New Roman" w:hAnsi="Times New Roman"/>
                      <w:color w:val="auto"/>
                      <w:szCs w:val="21"/>
                    </w:rPr>
                  </w:pPr>
                </w:p>
              </w:tc>
              <w:tc>
                <w:tcPr>
                  <w:tcW w:w="692" w:type="dxa"/>
                  <w:vMerge w:val="continue"/>
                  <w:vAlign w:val="center"/>
                </w:tcPr>
                <w:p w14:paraId="78FCCE5E">
                  <w:pPr>
                    <w:pStyle w:val="76"/>
                    <w:spacing w:line="240" w:lineRule="atLeast"/>
                    <w:rPr>
                      <w:rFonts w:ascii="Times New Roman" w:hAnsi="Times New Roman"/>
                      <w:color w:val="auto"/>
                      <w:szCs w:val="21"/>
                    </w:rPr>
                  </w:pPr>
                </w:p>
              </w:tc>
              <w:tc>
                <w:tcPr>
                  <w:tcW w:w="898" w:type="dxa"/>
                  <w:vAlign w:val="center"/>
                </w:tcPr>
                <w:p w14:paraId="0D42AEFA">
                  <w:pPr>
                    <w:pStyle w:val="76"/>
                    <w:spacing w:line="240" w:lineRule="atLeast"/>
                    <w:rPr>
                      <w:rFonts w:ascii="Times New Roman" w:hAnsi="Times New Roman"/>
                      <w:color w:val="auto"/>
                      <w:szCs w:val="21"/>
                    </w:rPr>
                  </w:pPr>
                  <w:r>
                    <w:rPr>
                      <w:rFonts w:ascii="Times New Roman" w:hAnsi="Times New Roman"/>
                      <w:color w:val="auto"/>
                      <w:szCs w:val="21"/>
                    </w:rPr>
                    <w:t>颗粒物</w:t>
                  </w:r>
                </w:p>
              </w:tc>
              <w:tc>
                <w:tcPr>
                  <w:tcW w:w="1410" w:type="dxa"/>
                  <w:vAlign w:val="center"/>
                </w:tcPr>
                <w:p w14:paraId="39B4CD8C">
                  <w:pPr>
                    <w:pStyle w:val="76"/>
                    <w:spacing w:line="240" w:lineRule="atLeast"/>
                    <w:rPr>
                      <w:rFonts w:ascii="Times New Roman" w:hAnsi="Times New Roman"/>
                      <w:color w:val="auto"/>
                      <w:szCs w:val="21"/>
                    </w:rPr>
                  </w:pPr>
                  <w:r>
                    <w:rPr>
                      <w:rFonts w:ascii="Times New Roman" w:hAnsi="Times New Roman"/>
                      <w:color w:val="auto"/>
                      <w:szCs w:val="21"/>
                    </w:rPr>
                    <w:t>千克/吨-产品</w:t>
                  </w:r>
                </w:p>
              </w:tc>
              <w:tc>
                <w:tcPr>
                  <w:tcW w:w="658" w:type="dxa"/>
                  <w:vAlign w:val="center"/>
                </w:tcPr>
                <w:p w14:paraId="01C7C81F">
                  <w:pPr>
                    <w:pStyle w:val="76"/>
                    <w:rPr>
                      <w:rFonts w:ascii="Times New Roman" w:hAnsi="Times New Roman"/>
                      <w:color w:val="auto"/>
                      <w:szCs w:val="21"/>
                    </w:rPr>
                  </w:pPr>
                  <w:r>
                    <w:rPr>
                      <w:rFonts w:hint="eastAsia" w:ascii="Times New Roman" w:hAnsi="Times New Roman"/>
                      <w:color w:val="auto"/>
                      <w:szCs w:val="21"/>
                    </w:rPr>
                    <w:t>0.479</w:t>
                  </w:r>
                </w:p>
              </w:tc>
              <w:tc>
                <w:tcPr>
                  <w:tcW w:w="877" w:type="dxa"/>
                  <w:vAlign w:val="center"/>
                </w:tcPr>
                <w:p w14:paraId="03DD8F41">
                  <w:pPr>
                    <w:pStyle w:val="76"/>
                    <w:spacing w:line="240" w:lineRule="atLeast"/>
                    <w:rPr>
                      <w:rFonts w:ascii="Times New Roman" w:hAnsi="Times New Roman"/>
                      <w:color w:val="auto"/>
                      <w:szCs w:val="21"/>
                    </w:rPr>
                  </w:pPr>
                  <w:r>
                    <w:rPr>
                      <w:rFonts w:ascii="Times New Roman" w:hAnsi="Times New Roman"/>
                      <w:color w:val="auto"/>
                      <w:szCs w:val="21"/>
                    </w:rPr>
                    <w:t>袋式除尘</w:t>
                  </w:r>
                </w:p>
              </w:tc>
              <w:tc>
                <w:tcPr>
                  <w:tcW w:w="1114" w:type="dxa"/>
                  <w:vAlign w:val="center"/>
                </w:tcPr>
                <w:p w14:paraId="4D4766CA">
                  <w:pPr>
                    <w:pStyle w:val="76"/>
                    <w:spacing w:line="240" w:lineRule="atLeast"/>
                    <w:rPr>
                      <w:rFonts w:ascii="Times New Roman" w:hAnsi="Times New Roman"/>
                      <w:color w:val="auto"/>
                      <w:szCs w:val="21"/>
                    </w:rPr>
                  </w:pPr>
                  <w:r>
                    <w:rPr>
                      <w:rFonts w:ascii="Times New Roman" w:hAnsi="Times New Roman"/>
                      <w:color w:val="auto"/>
                      <w:szCs w:val="21"/>
                    </w:rPr>
                    <w:t>9</w:t>
                  </w:r>
                  <w:r>
                    <w:rPr>
                      <w:rFonts w:hint="eastAsia" w:ascii="Times New Roman" w:hAnsi="Times New Roman"/>
                      <w:color w:val="auto"/>
                      <w:szCs w:val="21"/>
                    </w:rPr>
                    <w:t>5</w:t>
                  </w:r>
                  <w:r>
                    <w:rPr>
                      <w:rFonts w:ascii="Times New Roman" w:hAnsi="Times New Roman"/>
                      <w:color w:val="auto"/>
                      <w:szCs w:val="21"/>
                    </w:rPr>
                    <w:t>%</w:t>
                  </w:r>
                </w:p>
              </w:tc>
            </w:tr>
            <w:tr w14:paraId="3AFB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6" w:type="dxa"/>
                  <w:vMerge w:val="restart"/>
                  <w:vAlign w:val="center"/>
                </w:tcPr>
                <w:p w14:paraId="2D8C55E7">
                  <w:pPr>
                    <w:pStyle w:val="76"/>
                    <w:spacing w:line="240" w:lineRule="atLeast"/>
                    <w:rPr>
                      <w:rFonts w:ascii="Times New Roman" w:hAnsi="Times New Roman"/>
                      <w:color w:val="auto"/>
                      <w:szCs w:val="21"/>
                    </w:rPr>
                  </w:pPr>
                  <w:r>
                    <w:rPr>
                      <w:rFonts w:hint="eastAsia"/>
                      <w:color w:val="auto"/>
                      <w:szCs w:val="21"/>
                    </w:rPr>
                    <w:t>铸造</w:t>
                  </w:r>
                </w:p>
              </w:tc>
              <w:tc>
                <w:tcPr>
                  <w:tcW w:w="872" w:type="dxa"/>
                  <w:vMerge w:val="restart"/>
                  <w:vAlign w:val="center"/>
                </w:tcPr>
                <w:p w14:paraId="636BCE90">
                  <w:pPr>
                    <w:pStyle w:val="76"/>
                    <w:spacing w:line="240" w:lineRule="atLeast"/>
                    <w:rPr>
                      <w:rFonts w:ascii="Times New Roman" w:hAnsi="Times New Roman"/>
                      <w:color w:val="auto"/>
                      <w:szCs w:val="21"/>
                    </w:rPr>
                  </w:pPr>
                  <w:r>
                    <w:rPr>
                      <w:rFonts w:hint="eastAsia" w:ascii="Times New Roman" w:hAnsi="Times New Roman"/>
                      <w:color w:val="auto"/>
                      <w:szCs w:val="21"/>
                    </w:rPr>
                    <w:t>金属液等、脱模剂</w:t>
                  </w:r>
                </w:p>
              </w:tc>
              <w:tc>
                <w:tcPr>
                  <w:tcW w:w="819" w:type="dxa"/>
                  <w:vMerge w:val="restart"/>
                  <w:vAlign w:val="center"/>
                </w:tcPr>
                <w:p w14:paraId="2DED4266">
                  <w:pPr>
                    <w:pStyle w:val="76"/>
                    <w:spacing w:line="240" w:lineRule="atLeast"/>
                    <w:rPr>
                      <w:rFonts w:ascii="Times New Roman" w:hAnsi="Times New Roman"/>
                      <w:color w:val="auto"/>
                      <w:szCs w:val="21"/>
                    </w:rPr>
                  </w:pPr>
                  <w:r>
                    <w:rPr>
                      <w:rFonts w:ascii="宋体" w:hAnsi="宋体" w:cs="宋体"/>
                      <w:color w:val="auto"/>
                      <w:szCs w:val="21"/>
                    </w:rPr>
                    <w:t>造型</w:t>
                  </w:r>
                  <w:r>
                    <w:rPr>
                      <w:rFonts w:hint="eastAsia" w:ascii="宋体" w:hAnsi="宋体" w:cs="宋体"/>
                      <w:color w:val="auto"/>
                      <w:szCs w:val="21"/>
                    </w:rPr>
                    <w:t>/浇注</w:t>
                  </w:r>
                  <w:r>
                    <w:rPr>
                      <w:rFonts w:ascii="宋体" w:hAnsi="宋体" w:cs="宋体"/>
                      <w:color w:val="auto"/>
                      <w:szCs w:val="21"/>
                    </w:rPr>
                    <w:t xml:space="preserve">  ( 重 力、低 压：限 金属 型，</w:t>
                  </w:r>
                  <w:r>
                    <w:rPr>
                      <w:rFonts w:hint="eastAsia" w:ascii="宋体" w:hAnsi="宋体" w:cs="宋体"/>
                      <w:color w:val="auto"/>
                      <w:szCs w:val="21"/>
                    </w:rPr>
                    <w:t>石膏/陶瓷/石墨型等）</w:t>
                  </w:r>
                </w:p>
              </w:tc>
              <w:tc>
                <w:tcPr>
                  <w:tcW w:w="692" w:type="dxa"/>
                  <w:vMerge w:val="restart"/>
                  <w:vAlign w:val="center"/>
                </w:tcPr>
                <w:p w14:paraId="5E762944">
                  <w:pPr>
                    <w:pStyle w:val="76"/>
                    <w:spacing w:line="240" w:lineRule="atLeast"/>
                    <w:rPr>
                      <w:rFonts w:ascii="Times New Roman" w:hAnsi="Times New Roman"/>
                      <w:color w:val="auto"/>
                      <w:szCs w:val="21"/>
                    </w:rPr>
                  </w:pPr>
                  <w:r>
                    <w:rPr>
                      <w:rFonts w:ascii="Times New Roman" w:hAnsi="Times New Roman"/>
                      <w:color w:val="auto"/>
                      <w:szCs w:val="21"/>
                    </w:rPr>
                    <w:t>所有规模</w:t>
                  </w:r>
                </w:p>
              </w:tc>
              <w:tc>
                <w:tcPr>
                  <w:tcW w:w="898" w:type="dxa"/>
                  <w:vAlign w:val="center"/>
                </w:tcPr>
                <w:p w14:paraId="5D2D19FE">
                  <w:pPr>
                    <w:pStyle w:val="76"/>
                    <w:spacing w:line="240" w:lineRule="atLeast"/>
                    <w:rPr>
                      <w:rFonts w:ascii="Times New Roman" w:hAnsi="Times New Roman"/>
                      <w:color w:val="auto"/>
                      <w:szCs w:val="21"/>
                    </w:rPr>
                  </w:pPr>
                  <w:r>
                    <w:rPr>
                      <w:rFonts w:ascii="Times New Roman" w:hAnsi="Times New Roman"/>
                      <w:color w:val="auto"/>
                      <w:szCs w:val="21"/>
                    </w:rPr>
                    <w:t>废气量</w:t>
                  </w:r>
                </w:p>
              </w:tc>
              <w:tc>
                <w:tcPr>
                  <w:tcW w:w="1410" w:type="dxa"/>
                  <w:vAlign w:val="center"/>
                </w:tcPr>
                <w:p w14:paraId="4CC6ED2A">
                  <w:pPr>
                    <w:pStyle w:val="76"/>
                    <w:spacing w:line="240" w:lineRule="atLeast"/>
                    <w:rPr>
                      <w:rFonts w:ascii="Times New Roman" w:hAnsi="Times New Roman"/>
                      <w:color w:val="auto"/>
                      <w:szCs w:val="21"/>
                    </w:rPr>
                  </w:pPr>
                  <w:r>
                    <w:rPr>
                      <w:rFonts w:ascii="Times New Roman" w:hAnsi="Times New Roman"/>
                      <w:color w:val="auto"/>
                      <w:szCs w:val="21"/>
                    </w:rPr>
                    <w:t>立方米/吨-产品</w:t>
                  </w:r>
                </w:p>
              </w:tc>
              <w:tc>
                <w:tcPr>
                  <w:tcW w:w="658" w:type="dxa"/>
                  <w:vAlign w:val="center"/>
                </w:tcPr>
                <w:p w14:paraId="7A2DBE6E">
                  <w:pPr>
                    <w:pStyle w:val="76"/>
                    <w:spacing w:line="240" w:lineRule="atLeast"/>
                    <w:rPr>
                      <w:rFonts w:ascii="Times New Roman" w:hAnsi="Times New Roman"/>
                      <w:color w:val="auto"/>
                      <w:szCs w:val="21"/>
                    </w:rPr>
                  </w:pPr>
                  <w:r>
                    <w:rPr>
                      <w:rFonts w:hint="eastAsia" w:ascii="Times New Roman" w:hAnsi="Times New Roman"/>
                      <w:color w:val="auto"/>
                      <w:szCs w:val="21"/>
                    </w:rPr>
                    <w:t>6000</w:t>
                  </w:r>
                </w:p>
              </w:tc>
              <w:tc>
                <w:tcPr>
                  <w:tcW w:w="877" w:type="dxa"/>
                  <w:vAlign w:val="center"/>
                </w:tcPr>
                <w:p w14:paraId="041566C5">
                  <w:pPr>
                    <w:pStyle w:val="76"/>
                    <w:spacing w:line="240" w:lineRule="atLeast"/>
                    <w:rPr>
                      <w:rFonts w:ascii="Times New Roman" w:hAnsi="Times New Roman"/>
                      <w:color w:val="auto"/>
                      <w:szCs w:val="21"/>
                    </w:rPr>
                  </w:pPr>
                  <w:r>
                    <w:rPr>
                      <w:rFonts w:ascii="Times New Roman" w:hAnsi="Times New Roman"/>
                      <w:color w:val="auto"/>
                      <w:szCs w:val="21"/>
                    </w:rPr>
                    <w:t>/</w:t>
                  </w:r>
                </w:p>
              </w:tc>
              <w:tc>
                <w:tcPr>
                  <w:tcW w:w="1114" w:type="dxa"/>
                  <w:vAlign w:val="center"/>
                </w:tcPr>
                <w:p w14:paraId="03EC8E3F">
                  <w:pPr>
                    <w:pStyle w:val="76"/>
                    <w:spacing w:line="240" w:lineRule="atLeast"/>
                    <w:rPr>
                      <w:rFonts w:ascii="Times New Roman" w:hAnsi="Times New Roman"/>
                      <w:color w:val="auto"/>
                      <w:szCs w:val="21"/>
                    </w:rPr>
                  </w:pPr>
                  <w:r>
                    <w:rPr>
                      <w:rFonts w:ascii="Times New Roman" w:hAnsi="Times New Roman"/>
                      <w:color w:val="auto"/>
                      <w:szCs w:val="21"/>
                    </w:rPr>
                    <w:t>/</w:t>
                  </w:r>
                </w:p>
              </w:tc>
            </w:tr>
            <w:tr w14:paraId="53FD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6" w:type="dxa"/>
                  <w:vMerge w:val="continue"/>
                  <w:vAlign w:val="center"/>
                </w:tcPr>
                <w:p w14:paraId="1F62E9F0">
                  <w:pPr>
                    <w:pStyle w:val="76"/>
                    <w:spacing w:line="240" w:lineRule="atLeast"/>
                    <w:rPr>
                      <w:color w:val="auto"/>
                      <w:szCs w:val="21"/>
                    </w:rPr>
                  </w:pPr>
                </w:p>
              </w:tc>
              <w:tc>
                <w:tcPr>
                  <w:tcW w:w="872" w:type="dxa"/>
                  <w:vMerge w:val="continue"/>
                  <w:vAlign w:val="center"/>
                </w:tcPr>
                <w:p w14:paraId="54EA32CC">
                  <w:pPr>
                    <w:pStyle w:val="76"/>
                    <w:spacing w:line="240" w:lineRule="atLeast"/>
                    <w:rPr>
                      <w:rFonts w:ascii="Times New Roman" w:hAnsi="Times New Roman"/>
                      <w:color w:val="auto"/>
                      <w:szCs w:val="21"/>
                    </w:rPr>
                  </w:pPr>
                </w:p>
              </w:tc>
              <w:tc>
                <w:tcPr>
                  <w:tcW w:w="819" w:type="dxa"/>
                  <w:vMerge w:val="continue"/>
                  <w:vAlign w:val="center"/>
                </w:tcPr>
                <w:p w14:paraId="1A6A1289">
                  <w:pPr>
                    <w:pStyle w:val="76"/>
                    <w:spacing w:line="240" w:lineRule="atLeast"/>
                    <w:rPr>
                      <w:rFonts w:ascii="宋体" w:hAnsi="宋体" w:cs="宋体"/>
                      <w:color w:val="auto"/>
                      <w:szCs w:val="21"/>
                    </w:rPr>
                  </w:pPr>
                </w:p>
              </w:tc>
              <w:tc>
                <w:tcPr>
                  <w:tcW w:w="692" w:type="dxa"/>
                  <w:vMerge w:val="continue"/>
                  <w:vAlign w:val="center"/>
                </w:tcPr>
                <w:p w14:paraId="250894FB">
                  <w:pPr>
                    <w:pStyle w:val="76"/>
                    <w:spacing w:line="240" w:lineRule="atLeast"/>
                    <w:rPr>
                      <w:rFonts w:ascii="Times New Roman" w:hAnsi="Times New Roman"/>
                      <w:color w:val="auto"/>
                      <w:szCs w:val="21"/>
                    </w:rPr>
                  </w:pPr>
                </w:p>
              </w:tc>
              <w:tc>
                <w:tcPr>
                  <w:tcW w:w="898" w:type="dxa"/>
                  <w:vAlign w:val="center"/>
                </w:tcPr>
                <w:p w14:paraId="1CFED459">
                  <w:pPr>
                    <w:pStyle w:val="76"/>
                    <w:spacing w:line="240" w:lineRule="atLeast"/>
                    <w:rPr>
                      <w:rFonts w:ascii="Times New Roman" w:hAnsi="Times New Roman"/>
                      <w:color w:val="auto"/>
                      <w:szCs w:val="21"/>
                    </w:rPr>
                  </w:pPr>
                  <w:r>
                    <w:rPr>
                      <w:rFonts w:ascii="Times New Roman" w:hAnsi="Times New Roman"/>
                      <w:color w:val="auto"/>
                      <w:szCs w:val="21"/>
                    </w:rPr>
                    <w:t>颗粒物</w:t>
                  </w:r>
                </w:p>
              </w:tc>
              <w:tc>
                <w:tcPr>
                  <w:tcW w:w="1410" w:type="dxa"/>
                  <w:vAlign w:val="center"/>
                </w:tcPr>
                <w:p w14:paraId="38E1E9C0">
                  <w:pPr>
                    <w:pStyle w:val="76"/>
                    <w:spacing w:line="240" w:lineRule="atLeast"/>
                    <w:rPr>
                      <w:rFonts w:ascii="Times New Roman" w:hAnsi="Times New Roman"/>
                      <w:color w:val="auto"/>
                      <w:szCs w:val="21"/>
                    </w:rPr>
                  </w:pPr>
                  <w:r>
                    <w:rPr>
                      <w:rFonts w:ascii="Times New Roman" w:hAnsi="Times New Roman"/>
                      <w:color w:val="auto"/>
                      <w:szCs w:val="21"/>
                    </w:rPr>
                    <w:t>千克/吨-产品</w:t>
                  </w:r>
                </w:p>
              </w:tc>
              <w:tc>
                <w:tcPr>
                  <w:tcW w:w="658" w:type="dxa"/>
                  <w:vAlign w:val="center"/>
                </w:tcPr>
                <w:p w14:paraId="432016DF">
                  <w:pPr>
                    <w:pStyle w:val="76"/>
                    <w:spacing w:line="240" w:lineRule="atLeast"/>
                    <w:rPr>
                      <w:rFonts w:ascii="Times New Roman" w:hAnsi="Times New Roman"/>
                      <w:color w:val="auto"/>
                      <w:szCs w:val="21"/>
                    </w:rPr>
                  </w:pPr>
                  <w:r>
                    <w:rPr>
                      <w:rFonts w:hint="eastAsia" w:ascii="Times New Roman" w:hAnsi="Times New Roman"/>
                      <w:color w:val="auto"/>
                      <w:szCs w:val="21"/>
                    </w:rPr>
                    <w:t>0.247</w:t>
                  </w:r>
                </w:p>
              </w:tc>
              <w:tc>
                <w:tcPr>
                  <w:tcW w:w="877" w:type="dxa"/>
                  <w:vAlign w:val="center"/>
                </w:tcPr>
                <w:p w14:paraId="4A97DD0F">
                  <w:pPr>
                    <w:pStyle w:val="76"/>
                    <w:spacing w:line="240" w:lineRule="atLeast"/>
                    <w:rPr>
                      <w:rFonts w:ascii="Times New Roman" w:hAnsi="Times New Roman"/>
                      <w:color w:val="auto"/>
                      <w:szCs w:val="21"/>
                    </w:rPr>
                  </w:pPr>
                  <w:r>
                    <w:rPr>
                      <w:rFonts w:ascii="Times New Roman" w:hAnsi="Times New Roman"/>
                      <w:color w:val="auto"/>
                      <w:szCs w:val="21"/>
                    </w:rPr>
                    <w:t>袋式除尘</w:t>
                  </w:r>
                </w:p>
              </w:tc>
              <w:tc>
                <w:tcPr>
                  <w:tcW w:w="1114" w:type="dxa"/>
                  <w:vAlign w:val="center"/>
                </w:tcPr>
                <w:p w14:paraId="2996F1B9">
                  <w:pPr>
                    <w:pStyle w:val="76"/>
                    <w:spacing w:line="240" w:lineRule="atLeast"/>
                    <w:rPr>
                      <w:rFonts w:ascii="Times New Roman" w:hAnsi="Times New Roman"/>
                      <w:color w:val="auto"/>
                      <w:szCs w:val="21"/>
                    </w:rPr>
                  </w:pPr>
                  <w:r>
                    <w:rPr>
                      <w:rFonts w:ascii="Times New Roman" w:hAnsi="Times New Roman"/>
                      <w:color w:val="auto"/>
                      <w:szCs w:val="21"/>
                    </w:rPr>
                    <w:t>9</w:t>
                  </w:r>
                  <w:r>
                    <w:rPr>
                      <w:rFonts w:hint="eastAsia" w:ascii="Times New Roman" w:hAnsi="Times New Roman"/>
                      <w:color w:val="auto"/>
                      <w:szCs w:val="21"/>
                    </w:rPr>
                    <w:t>5</w:t>
                  </w:r>
                  <w:r>
                    <w:rPr>
                      <w:rFonts w:ascii="Times New Roman" w:hAnsi="Times New Roman"/>
                      <w:color w:val="auto"/>
                      <w:szCs w:val="21"/>
                    </w:rPr>
                    <w:t>%</w:t>
                  </w:r>
                </w:p>
              </w:tc>
            </w:tr>
          </w:tbl>
          <w:p w14:paraId="77075F5D">
            <w:pPr>
              <w:pStyle w:val="100"/>
              <w:spacing w:line="360" w:lineRule="auto"/>
              <w:jc w:val="center"/>
              <w:rPr>
                <w:rFonts w:ascii="Times New Roman" w:hAnsi="Times New Roman" w:cs="Times New Roman"/>
                <w:b/>
                <w:bCs/>
                <w:color w:val="auto"/>
                <w:sz w:val="21"/>
                <w:szCs w:val="21"/>
              </w:rPr>
            </w:pPr>
          </w:p>
          <w:p w14:paraId="28F7666F">
            <w:pPr>
              <w:ind w:firstLine="482"/>
              <w:jc w:val="center"/>
              <w:rPr>
                <w:rFonts w:ascii="宋体" w:hAnsi="宋体" w:cs="宋体"/>
                <w:b/>
                <w:bCs/>
                <w:color w:val="auto"/>
              </w:rPr>
            </w:pPr>
            <w:r>
              <w:rPr>
                <w:b/>
                <w:bCs/>
                <w:color w:val="auto"/>
              </w:rPr>
              <w:t>表 4-</w:t>
            </w:r>
            <w:r>
              <w:rPr>
                <w:rFonts w:hint="eastAsia"/>
                <w:b/>
                <w:bCs/>
                <w:color w:val="auto"/>
              </w:rPr>
              <w:t>2</w:t>
            </w:r>
            <w:r>
              <w:rPr>
                <w:b/>
                <w:bCs/>
                <w:color w:val="auto"/>
              </w:rPr>
              <w:t xml:space="preserve">  </w:t>
            </w:r>
            <w:r>
              <w:rPr>
                <w:rFonts w:hint="eastAsia"/>
                <w:b/>
                <w:bCs/>
                <w:color w:val="auto"/>
              </w:rPr>
              <w:t>熔炼及浇筑</w:t>
            </w:r>
            <w:r>
              <w:rPr>
                <w:rFonts w:hint="eastAsia" w:ascii="宋体" w:hAnsi="宋体" w:cs="宋体"/>
                <w:b/>
                <w:bCs/>
                <w:color w:val="auto"/>
              </w:rPr>
              <w:t>废气污染物的产排情况</w:t>
            </w:r>
          </w:p>
          <w:tbl>
            <w:tblPr>
              <w:tblStyle w:val="24"/>
              <w:tblW w:w="8019" w:type="dxa"/>
              <w:tblInd w:w="0" w:type="dxa"/>
              <w:tblLayout w:type="autofit"/>
              <w:tblCellMar>
                <w:top w:w="15" w:type="dxa"/>
                <w:left w:w="15" w:type="dxa"/>
                <w:bottom w:w="15" w:type="dxa"/>
                <w:right w:w="15" w:type="dxa"/>
              </w:tblCellMar>
            </w:tblPr>
            <w:tblGrid>
              <w:gridCol w:w="891"/>
              <w:gridCol w:w="891"/>
              <w:gridCol w:w="891"/>
              <w:gridCol w:w="891"/>
              <w:gridCol w:w="891"/>
              <w:gridCol w:w="891"/>
              <w:gridCol w:w="891"/>
              <w:gridCol w:w="891"/>
              <w:gridCol w:w="891"/>
            </w:tblGrid>
            <w:tr w14:paraId="0D671132">
              <w:tblPrEx>
                <w:tblCellMar>
                  <w:top w:w="15" w:type="dxa"/>
                  <w:left w:w="15" w:type="dxa"/>
                  <w:bottom w:w="15" w:type="dxa"/>
                  <w:right w:w="15" w:type="dxa"/>
                </w:tblCellMar>
              </w:tblPrEx>
              <w:trPr>
                <w:trHeight w:val="510" w:hRule="atLeast"/>
              </w:trPr>
              <w:tc>
                <w:tcPr>
                  <w:tcW w:w="891" w:type="dxa"/>
                  <w:tcBorders>
                    <w:top w:val="single" w:color="000000" w:sz="4" w:space="0"/>
                    <w:left w:val="single" w:color="000000" w:sz="4" w:space="0"/>
                    <w:bottom w:val="single" w:color="000000" w:sz="4" w:space="0"/>
                    <w:right w:val="single" w:color="000000" w:sz="4" w:space="0"/>
                  </w:tcBorders>
                  <w:noWrap/>
                  <w:vAlign w:val="center"/>
                </w:tcPr>
                <w:p w14:paraId="67E5CEFC">
                  <w:pPr>
                    <w:widowControl/>
                    <w:jc w:val="center"/>
                    <w:textAlignment w:val="bottom"/>
                    <w:rPr>
                      <w:color w:val="auto"/>
                      <w:kern w:val="0"/>
                      <w:szCs w:val="21"/>
                      <w:lang w:bidi="ar"/>
                    </w:rPr>
                  </w:pPr>
                  <w:r>
                    <w:rPr>
                      <w:color w:val="auto"/>
                      <w:kern w:val="0"/>
                      <w:szCs w:val="21"/>
                      <w:lang w:bidi="ar"/>
                    </w:rPr>
                    <w:t>污染物</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4287C3B2">
                  <w:pPr>
                    <w:widowControl/>
                    <w:jc w:val="center"/>
                    <w:textAlignment w:val="bottom"/>
                    <w:rPr>
                      <w:rFonts w:hint="eastAsia" w:eastAsia="宋体"/>
                      <w:color w:val="auto"/>
                      <w:kern w:val="0"/>
                      <w:szCs w:val="21"/>
                      <w:lang w:eastAsia="zh-CN" w:bidi="ar"/>
                    </w:rPr>
                  </w:pPr>
                  <w:r>
                    <w:rPr>
                      <w:color w:val="auto"/>
                      <w:kern w:val="0"/>
                      <w:szCs w:val="21"/>
                      <w:lang w:bidi="ar"/>
                    </w:rPr>
                    <w:t>产生量</w:t>
                  </w:r>
                </w:p>
                <w:p w14:paraId="422AB37E">
                  <w:pPr>
                    <w:widowControl/>
                    <w:jc w:val="center"/>
                    <w:textAlignment w:val="bottom"/>
                    <w:rPr>
                      <w:color w:val="auto"/>
                      <w:kern w:val="0"/>
                      <w:szCs w:val="21"/>
                      <w:lang w:bidi="ar"/>
                    </w:rPr>
                  </w:pPr>
                  <w:r>
                    <w:rPr>
                      <w:color w:val="auto"/>
                      <w:kern w:val="0"/>
                      <w:szCs w:val="21"/>
                      <w:lang w:bidi="ar"/>
                    </w:rPr>
                    <w:t>(kg/a)</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044B44EB">
                  <w:pPr>
                    <w:widowControl/>
                    <w:jc w:val="center"/>
                    <w:textAlignment w:val="bottom"/>
                    <w:rPr>
                      <w:rFonts w:hint="eastAsia" w:eastAsia="宋体"/>
                      <w:color w:val="auto"/>
                      <w:kern w:val="0"/>
                      <w:szCs w:val="21"/>
                      <w:lang w:eastAsia="zh-CN" w:bidi="ar"/>
                    </w:rPr>
                  </w:pPr>
                  <w:r>
                    <w:rPr>
                      <w:color w:val="auto"/>
                      <w:kern w:val="0"/>
                      <w:szCs w:val="21"/>
                      <w:lang w:bidi="ar"/>
                    </w:rPr>
                    <w:t>产生浓度</w:t>
                  </w:r>
                </w:p>
                <w:p w14:paraId="64C5DA0D">
                  <w:pPr>
                    <w:widowControl/>
                    <w:jc w:val="center"/>
                    <w:textAlignment w:val="bottom"/>
                    <w:rPr>
                      <w:color w:val="auto"/>
                      <w:kern w:val="0"/>
                      <w:szCs w:val="21"/>
                      <w:lang w:bidi="ar"/>
                    </w:rPr>
                  </w:pPr>
                  <w:r>
                    <w:rPr>
                      <w:color w:val="auto"/>
                      <w:kern w:val="0"/>
                      <w:szCs w:val="21"/>
                      <w:lang w:bidi="ar"/>
                    </w:rPr>
                    <w:t>( mg/m</w:t>
                  </w:r>
                  <w:r>
                    <w:rPr>
                      <w:color w:val="auto"/>
                      <w:kern w:val="0"/>
                      <w:szCs w:val="21"/>
                      <w:vertAlign w:val="superscript"/>
                      <w:lang w:bidi="ar"/>
                    </w:rPr>
                    <w:t>3</w:t>
                  </w:r>
                  <w:r>
                    <w:rPr>
                      <w:color w:val="auto"/>
                      <w:kern w:val="0"/>
                      <w:szCs w:val="21"/>
                      <w:lang w:bidi="ar"/>
                    </w:rPr>
                    <w:t>)</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79B80F43">
                  <w:pPr>
                    <w:widowControl/>
                    <w:jc w:val="center"/>
                    <w:textAlignment w:val="bottom"/>
                    <w:rPr>
                      <w:rFonts w:hint="eastAsia" w:eastAsia="宋体"/>
                      <w:color w:val="auto"/>
                      <w:kern w:val="0"/>
                      <w:szCs w:val="21"/>
                      <w:lang w:eastAsia="zh-CN" w:bidi="ar"/>
                    </w:rPr>
                  </w:pPr>
                  <w:r>
                    <w:rPr>
                      <w:color w:val="auto"/>
                      <w:kern w:val="0"/>
                      <w:szCs w:val="21"/>
                      <w:lang w:bidi="ar"/>
                    </w:rPr>
                    <w:t>产生速率</w:t>
                  </w:r>
                </w:p>
                <w:p w14:paraId="5DEBB613">
                  <w:pPr>
                    <w:widowControl/>
                    <w:jc w:val="center"/>
                    <w:textAlignment w:val="bottom"/>
                    <w:rPr>
                      <w:color w:val="auto"/>
                      <w:kern w:val="0"/>
                      <w:szCs w:val="21"/>
                      <w:lang w:bidi="ar"/>
                    </w:rPr>
                  </w:pPr>
                  <w:r>
                    <w:rPr>
                      <w:color w:val="auto"/>
                      <w:kern w:val="0"/>
                      <w:szCs w:val="21"/>
                      <w:lang w:bidi="ar"/>
                    </w:rPr>
                    <w:t>(kg/h)</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40286E7F">
                  <w:pPr>
                    <w:widowControl/>
                    <w:jc w:val="center"/>
                    <w:textAlignment w:val="bottom"/>
                    <w:rPr>
                      <w:rFonts w:hint="eastAsia" w:eastAsia="宋体"/>
                      <w:color w:val="auto"/>
                      <w:kern w:val="0"/>
                      <w:szCs w:val="21"/>
                      <w:lang w:eastAsia="zh-CN" w:bidi="ar"/>
                    </w:rPr>
                  </w:pPr>
                  <w:r>
                    <w:rPr>
                      <w:color w:val="auto"/>
                      <w:kern w:val="0"/>
                      <w:szCs w:val="21"/>
                      <w:lang w:bidi="ar"/>
                    </w:rPr>
                    <w:t>排放量</w:t>
                  </w:r>
                </w:p>
                <w:p w14:paraId="23170C3B">
                  <w:pPr>
                    <w:widowControl/>
                    <w:jc w:val="center"/>
                    <w:textAlignment w:val="bottom"/>
                    <w:rPr>
                      <w:color w:val="auto"/>
                      <w:kern w:val="0"/>
                      <w:szCs w:val="21"/>
                      <w:lang w:bidi="ar"/>
                    </w:rPr>
                  </w:pPr>
                  <w:r>
                    <w:rPr>
                      <w:color w:val="auto"/>
                      <w:kern w:val="0"/>
                      <w:szCs w:val="21"/>
                      <w:lang w:bidi="ar"/>
                    </w:rPr>
                    <w:t>(kg/a)</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730AF43A">
                  <w:pPr>
                    <w:widowControl/>
                    <w:jc w:val="center"/>
                    <w:textAlignment w:val="bottom"/>
                    <w:rPr>
                      <w:rStyle w:val="30"/>
                      <w:rFonts w:hint="eastAsia" w:eastAsia="宋体"/>
                      <w:color w:val="auto"/>
                      <w:kern w:val="0"/>
                      <w:szCs w:val="20"/>
                      <w:lang w:eastAsia="zh-CN"/>
                    </w:rPr>
                  </w:pPr>
                  <w:r>
                    <w:rPr>
                      <w:color w:val="auto"/>
                      <w:kern w:val="0"/>
                      <w:szCs w:val="21"/>
                      <w:lang w:bidi="ar"/>
                    </w:rPr>
                    <w:t>排放浓度</w:t>
                  </w:r>
                </w:p>
                <w:p w14:paraId="63BE19AF">
                  <w:pPr>
                    <w:widowControl/>
                    <w:jc w:val="center"/>
                    <w:textAlignment w:val="bottom"/>
                    <w:rPr>
                      <w:color w:val="auto"/>
                      <w:kern w:val="0"/>
                      <w:szCs w:val="21"/>
                      <w:lang w:bidi="ar"/>
                    </w:rPr>
                  </w:pPr>
                  <w:r>
                    <w:rPr>
                      <w:color w:val="auto"/>
                      <w:kern w:val="0"/>
                      <w:szCs w:val="21"/>
                      <w:lang w:bidi="ar"/>
                    </w:rPr>
                    <w:t>(mg/m</w:t>
                  </w:r>
                  <w:r>
                    <w:rPr>
                      <w:color w:val="auto"/>
                      <w:kern w:val="0"/>
                      <w:szCs w:val="21"/>
                      <w:vertAlign w:val="superscript"/>
                      <w:lang w:bidi="ar"/>
                    </w:rPr>
                    <w:t>3</w:t>
                  </w:r>
                  <w:r>
                    <w:rPr>
                      <w:color w:val="auto"/>
                      <w:kern w:val="0"/>
                      <w:szCs w:val="21"/>
                      <w:lang w:bidi="ar"/>
                    </w:rPr>
                    <w:t>)</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093C1DAF">
                  <w:pPr>
                    <w:widowControl/>
                    <w:jc w:val="center"/>
                    <w:textAlignment w:val="bottom"/>
                    <w:rPr>
                      <w:rFonts w:hint="eastAsia" w:eastAsia="宋体"/>
                      <w:color w:val="auto"/>
                      <w:kern w:val="0"/>
                      <w:szCs w:val="21"/>
                      <w:lang w:eastAsia="zh-CN" w:bidi="ar"/>
                    </w:rPr>
                  </w:pPr>
                  <w:r>
                    <w:rPr>
                      <w:color w:val="auto"/>
                      <w:kern w:val="0"/>
                      <w:szCs w:val="21"/>
                      <w:lang w:bidi="ar"/>
                    </w:rPr>
                    <w:t>排放速率</w:t>
                  </w:r>
                </w:p>
                <w:p w14:paraId="19D4D5C9">
                  <w:pPr>
                    <w:widowControl/>
                    <w:jc w:val="center"/>
                    <w:textAlignment w:val="bottom"/>
                    <w:rPr>
                      <w:color w:val="auto"/>
                      <w:kern w:val="0"/>
                      <w:szCs w:val="21"/>
                      <w:lang w:bidi="ar"/>
                    </w:rPr>
                  </w:pPr>
                  <w:r>
                    <w:rPr>
                      <w:color w:val="auto"/>
                      <w:kern w:val="0"/>
                      <w:szCs w:val="21"/>
                      <w:lang w:bidi="ar"/>
                    </w:rPr>
                    <w:t>(kg/h)</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4CA36576">
                  <w:pPr>
                    <w:widowControl/>
                    <w:jc w:val="center"/>
                    <w:textAlignment w:val="bottom"/>
                    <w:rPr>
                      <w:rFonts w:hint="eastAsia" w:eastAsia="宋体"/>
                      <w:color w:val="auto"/>
                      <w:kern w:val="0"/>
                      <w:szCs w:val="21"/>
                      <w:lang w:eastAsia="zh-CN" w:bidi="ar"/>
                    </w:rPr>
                  </w:pPr>
                  <w:r>
                    <w:rPr>
                      <w:color w:val="auto"/>
                      <w:kern w:val="0"/>
                      <w:szCs w:val="21"/>
                      <w:lang w:bidi="ar"/>
                    </w:rPr>
                    <w:t>排放标准</w:t>
                  </w:r>
                </w:p>
                <w:p w14:paraId="1FF48DDC">
                  <w:pPr>
                    <w:widowControl/>
                    <w:jc w:val="center"/>
                    <w:textAlignment w:val="bottom"/>
                    <w:rPr>
                      <w:color w:val="auto"/>
                      <w:kern w:val="0"/>
                      <w:szCs w:val="21"/>
                      <w:lang w:bidi="ar"/>
                    </w:rPr>
                  </w:pPr>
                  <w:r>
                    <w:rPr>
                      <w:color w:val="auto"/>
                      <w:kern w:val="0"/>
                      <w:szCs w:val="21"/>
                      <w:lang w:bidi="ar"/>
                    </w:rPr>
                    <w:t>(mg/m</w:t>
                  </w:r>
                  <w:r>
                    <w:rPr>
                      <w:color w:val="auto"/>
                      <w:kern w:val="0"/>
                      <w:szCs w:val="21"/>
                      <w:vertAlign w:val="superscript"/>
                      <w:lang w:bidi="ar"/>
                    </w:rPr>
                    <w:t>3</w:t>
                  </w:r>
                  <w:r>
                    <w:rPr>
                      <w:color w:val="auto"/>
                      <w:kern w:val="0"/>
                      <w:szCs w:val="21"/>
                      <w:lang w:bidi="ar"/>
                    </w:rPr>
                    <w:t>)</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3B76058B">
                  <w:pPr>
                    <w:widowControl/>
                    <w:jc w:val="center"/>
                    <w:textAlignment w:val="bottom"/>
                    <w:rPr>
                      <w:color w:val="auto"/>
                      <w:kern w:val="0"/>
                      <w:szCs w:val="21"/>
                      <w:lang w:bidi="ar"/>
                    </w:rPr>
                  </w:pPr>
                  <w:r>
                    <w:rPr>
                      <w:color w:val="auto"/>
                      <w:kern w:val="0"/>
                      <w:szCs w:val="21"/>
                      <w:lang w:bidi="ar"/>
                    </w:rPr>
                    <w:t>达标情况</w:t>
                  </w:r>
                </w:p>
              </w:tc>
            </w:tr>
            <w:tr w14:paraId="175AE11A">
              <w:tblPrEx>
                <w:tblCellMar>
                  <w:top w:w="15" w:type="dxa"/>
                  <w:left w:w="15" w:type="dxa"/>
                  <w:bottom w:w="15" w:type="dxa"/>
                  <w:right w:w="15" w:type="dxa"/>
                </w:tblCellMar>
              </w:tblPrEx>
              <w:trPr>
                <w:trHeight w:val="196" w:hRule="atLeast"/>
              </w:trPr>
              <w:tc>
                <w:tcPr>
                  <w:tcW w:w="8019" w:type="dxa"/>
                  <w:gridSpan w:val="9"/>
                  <w:tcBorders>
                    <w:top w:val="single" w:color="000000" w:sz="4" w:space="0"/>
                    <w:left w:val="single" w:color="000000" w:sz="4" w:space="0"/>
                    <w:bottom w:val="single" w:color="000000" w:sz="4" w:space="0"/>
                    <w:right w:val="single" w:color="000000" w:sz="4" w:space="0"/>
                  </w:tcBorders>
                  <w:noWrap/>
                  <w:vAlign w:val="center"/>
                </w:tcPr>
                <w:p w14:paraId="17628CCB">
                  <w:pPr>
                    <w:widowControl/>
                    <w:jc w:val="center"/>
                    <w:textAlignment w:val="bottom"/>
                    <w:rPr>
                      <w:color w:val="auto"/>
                      <w:kern w:val="0"/>
                      <w:szCs w:val="21"/>
                      <w:lang w:bidi="ar"/>
                    </w:rPr>
                  </w:pPr>
                  <w:r>
                    <w:rPr>
                      <w:rFonts w:hint="eastAsia"/>
                      <w:color w:val="auto"/>
                      <w:kern w:val="0"/>
                      <w:szCs w:val="21"/>
                      <w:lang w:bidi="ar"/>
                    </w:rPr>
                    <w:t>熔炼</w:t>
                  </w:r>
                  <w:r>
                    <w:rPr>
                      <w:color w:val="auto"/>
                      <w:kern w:val="0"/>
                      <w:szCs w:val="21"/>
                      <w:lang w:bidi="ar"/>
                    </w:rPr>
                    <w:t>烟气量：</w:t>
                  </w:r>
                  <w:r>
                    <w:rPr>
                      <w:rFonts w:hint="eastAsia"/>
                      <w:color w:val="auto"/>
                      <w:kern w:val="0"/>
                      <w:szCs w:val="21"/>
                      <w:lang w:bidi="ar"/>
                    </w:rPr>
                    <w:t>5.07</w:t>
                  </w:r>
                  <w:r>
                    <w:rPr>
                      <w:color w:val="auto"/>
                      <w:kern w:val="0"/>
                      <w:szCs w:val="21"/>
                      <w:lang w:bidi="ar"/>
                    </w:rPr>
                    <w:t>×10</w:t>
                  </w:r>
                  <w:r>
                    <w:rPr>
                      <w:rFonts w:hint="eastAsia"/>
                      <w:color w:val="auto"/>
                      <w:kern w:val="0"/>
                      <w:szCs w:val="21"/>
                      <w:vertAlign w:val="superscript"/>
                      <w:lang w:bidi="ar"/>
                    </w:rPr>
                    <w:t>8</w:t>
                  </w:r>
                  <w:r>
                    <w:rPr>
                      <w:color w:val="auto"/>
                      <w:kern w:val="0"/>
                      <w:szCs w:val="21"/>
                      <w:lang w:bidi="ar"/>
                    </w:rPr>
                    <w:t>Nm</w:t>
                  </w:r>
                  <w:r>
                    <w:rPr>
                      <w:color w:val="auto"/>
                      <w:kern w:val="0"/>
                      <w:szCs w:val="21"/>
                      <w:vertAlign w:val="superscript"/>
                      <w:lang w:bidi="ar"/>
                    </w:rPr>
                    <w:t>3</w:t>
                  </w:r>
                  <w:r>
                    <w:rPr>
                      <w:color w:val="auto"/>
                      <w:kern w:val="0"/>
                      <w:szCs w:val="21"/>
                      <w:lang w:bidi="ar"/>
                    </w:rPr>
                    <w:t>/a</w:t>
                  </w:r>
                  <w:r>
                    <w:rPr>
                      <w:rFonts w:hint="eastAsia"/>
                      <w:color w:val="auto"/>
                      <w:kern w:val="0"/>
                      <w:szCs w:val="21"/>
                      <w:lang w:bidi="ar"/>
                    </w:rPr>
                    <w:t xml:space="preserve">    浇筑</w:t>
                  </w:r>
                  <w:r>
                    <w:rPr>
                      <w:color w:val="auto"/>
                      <w:kern w:val="0"/>
                      <w:szCs w:val="21"/>
                      <w:lang w:bidi="ar"/>
                    </w:rPr>
                    <w:t>烟气量：</w:t>
                  </w:r>
                  <w:r>
                    <w:rPr>
                      <w:rFonts w:hint="eastAsia"/>
                      <w:color w:val="auto"/>
                      <w:kern w:val="0"/>
                      <w:szCs w:val="21"/>
                      <w:lang w:bidi="ar"/>
                    </w:rPr>
                    <w:t>4.1</w:t>
                  </w:r>
                  <w:r>
                    <w:rPr>
                      <w:color w:val="auto"/>
                      <w:kern w:val="0"/>
                      <w:szCs w:val="21"/>
                      <w:lang w:bidi="ar"/>
                    </w:rPr>
                    <w:t>×10</w:t>
                  </w:r>
                  <w:r>
                    <w:rPr>
                      <w:rFonts w:hint="eastAsia"/>
                      <w:color w:val="auto"/>
                      <w:kern w:val="0"/>
                      <w:szCs w:val="21"/>
                      <w:vertAlign w:val="superscript"/>
                      <w:lang w:bidi="ar"/>
                    </w:rPr>
                    <w:t>8</w:t>
                  </w:r>
                  <w:r>
                    <w:rPr>
                      <w:color w:val="auto"/>
                      <w:kern w:val="0"/>
                      <w:szCs w:val="21"/>
                      <w:lang w:bidi="ar"/>
                    </w:rPr>
                    <w:t>Nm</w:t>
                  </w:r>
                  <w:r>
                    <w:rPr>
                      <w:color w:val="auto"/>
                      <w:kern w:val="0"/>
                      <w:szCs w:val="21"/>
                      <w:vertAlign w:val="superscript"/>
                      <w:lang w:bidi="ar"/>
                    </w:rPr>
                    <w:t>3</w:t>
                  </w:r>
                  <w:r>
                    <w:rPr>
                      <w:color w:val="auto"/>
                      <w:kern w:val="0"/>
                      <w:szCs w:val="21"/>
                      <w:lang w:bidi="ar"/>
                    </w:rPr>
                    <w:t>/a</w:t>
                  </w:r>
                </w:p>
              </w:tc>
            </w:tr>
            <w:tr w14:paraId="6F8ED1E6">
              <w:tblPrEx>
                <w:tblCellMar>
                  <w:top w:w="15" w:type="dxa"/>
                  <w:left w:w="15" w:type="dxa"/>
                  <w:bottom w:w="15" w:type="dxa"/>
                  <w:right w:w="15" w:type="dxa"/>
                </w:tblCellMar>
              </w:tblPrEx>
              <w:trPr>
                <w:trHeight w:val="90" w:hRule="atLeast"/>
              </w:trPr>
              <w:tc>
                <w:tcPr>
                  <w:tcW w:w="891" w:type="dxa"/>
                  <w:tcBorders>
                    <w:top w:val="single" w:color="000000" w:sz="4" w:space="0"/>
                    <w:left w:val="single" w:color="000000" w:sz="4" w:space="0"/>
                    <w:bottom w:val="single" w:color="000000" w:sz="4" w:space="0"/>
                    <w:right w:val="single" w:color="000000" w:sz="4" w:space="0"/>
                  </w:tcBorders>
                  <w:noWrap/>
                  <w:vAlign w:val="center"/>
                </w:tcPr>
                <w:p w14:paraId="3E05CEED">
                  <w:pPr>
                    <w:widowControl/>
                    <w:jc w:val="center"/>
                    <w:textAlignment w:val="bottom"/>
                    <w:rPr>
                      <w:color w:val="auto"/>
                      <w:kern w:val="0"/>
                      <w:szCs w:val="21"/>
                      <w:lang w:bidi="ar"/>
                    </w:rPr>
                  </w:pPr>
                  <w:r>
                    <w:rPr>
                      <w:rFonts w:hint="eastAsia"/>
                      <w:color w:val="auto"/>
                      <w:kern w:val="0"/>
                      <w:szCs w:val="21"/>
                      <w:lang w:bidi="ar"/>
                    </w:rPr>
                    <w:t>熔炼</w:t>
                  </w:r>
                  <w:r>
                    <w:rPr>
                      <w:color w:val="auto"/>
                      <w:kern w:val="0"/>
                      <w:szCs w:val="21"/>
                      <w:lang w:bidi="ar"/>
                    </w:rPr>
                    <w:t>颗粒物</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034AD302">
                  <w:pPr>
                    <w:widowControl/>
                    <w:jc w:val="center"/>
                    <w:textAlignment w:val="bottom"/>
                    <w:rPr>
                      <w:color w:val="auto"/>
                      <w:kern w:val="0"/>
                      <w:szCs w:val="21"/>
                      <w:lang w:bidi="ar"/>
                    </w:rPr>
                  </w:pPr>
                  <w:r>
                    <w:rPr>
                      <w:rFonts w:hint="eastAsia"/>
                      <w:color w:val="auto"/>
                      <w:kern w:val="0"/>
                      <w:szCs w:val="21"/>
                      <w:lang w:bidi="ar"/>
                    </w:rPr>
                    <w:t>32478.60</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2572A9F8">
                  <w:pPr>
                    <w:widowControl/>
                    <w:jc w:val="center"/>
                    <w:textAlignment w:val="bottom"/>
                    <w:rPr>
                      <w:color w:val="auto"/>
                      <w:kern w:val="0"/>
                      <w:szCs w:val="21"/>
                      <w:lang w:bidi="ar"/>
                    </w:rPr>
                  </w:pPr>
                  <w:r>
                    <w:rPr>
                      <w:rFonts w:hint="eastAsia"/>
                      <w:color w:val="auto"/>
                      <w:kern w:val="0"/>
                      <w:szCs w:val="21"/>
                      <w:lang w:bidi="ar"/>
                    </w:rPr>
                    <w:t>64.01</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0761B3C5">
                  <w:pPr>
                    <w:widowControl/>
                    <w:jc w:val="center"/>
                    <w:textAlignment w:val="bottom"/>
                    <w:rPr>
                      <w:rFonts w:hint="default" w:eastAsia="宋体"/>
                      <w:color w:val="auto"/>
                      <w:kern w:val="0"/>
                      <w:szCs w:val="21"/>
                      <w:lang w:val="en-US" w:eastAsia="zh-CN" w:bidi="ar"/>
                    </w:rPr>
                  </w:pPr>
                  <w:r>
                    <w:rPr>
                      <w:rFonts w:hint="eastAsia"/>
                      <w:color w:val="auto"/>
                      <w:kern w:val="0"/>
                      <w:szCs w:val="21"/>
                      <w:lang w:val="en-US" w:eastAsia="zh-CN" w:bidi="ar"/>
                    </w:rPr>
                    <w:t>16.24</w:t>
                  </w:r>
                </w:p>
              </w:tc>
              <w:tc>
                <w:tcPr>
                  <w:tcW w:w="891" w:type="dxa"/>
                  <w:vMerge w:val="restart"/>
                  <w:tcBorders>
                    <w:top w:val="single" w:color="000000" w:sz="4" w:space="0"/>
                    <w:left w:val="single" w:color="000000" w:sz="4" w:space="0"/>
                    <w:right w:val="single" w:color="000000" w:sz="4" w:space="0"/>
                  </w:tcBorders>
                  <w:noWrap/>
                  <w:vAlign w:val="center"/>
                </w:tcPr>
                <w:p w14:paraId="015E5EC6">
                  <w:pPr>
                    <w:widowControl/>
                    <w:jc w:val="center"/>
                    <w:textAlignment w:val="bottom"/>
                    <w:rPr>
                      <w:color w:val="auto"/>
                      <w:kern w:val="0"/>
                      <w:szCs w:val="21"/>
                      <w:lang w:bidi="ar"/>
                    </w:rPr>
                  </w:pPr>
                  <w:r>
                    <w:rPr>
                      <w:rFonts w:hint="eastAsia"/>
                      <w:color w:val="auto"/>
                      <w:kern w:val="0"/>
                      <w:szCs w:val="21"/>
                      <w:lang w:bidi="ar"/>
                    </w:rPr>
                    <w:t>2215.19</w:t>
                  </w:r>
                </w:p>
              </w:tc>
              <w:tc>
                <w:tcPr>
                  <w:tcW w:w="891" w:type="dxa"/>
                  <w:vMerge w:val="restart"/>
                  <w:tcBorders>
                    <w:top w:val="single" w:color="000000" w:sz="4" w:space="0"/>
                    <w:left w:val="single" w:color="000000" w:sz="4" w:space="0"/>
                    <w:right w:val="single" w:color="000000" w:sz="4" w:space="0"/>
                  </w:tcBorders>
                  <w:noWrap/>
                  <w:vAlign w:val="center"/>
                </w:tcPr>
                <w:p w14:paraId="20182CF7">
                  <w:pPr>
                    <w:widowControl/>
                    <w:jc w:val="center"/>
                    <w:textAlignment w:val="bottom"/>
                    <w:rPr>
                      <w:rFonts w:hint="default" w:eastAsia="宋体"/>
                      <w:color w:val="auto"/>
                      <w:kern w:val="0"/>
                      <w:szCs w:val="21"/>
                      <w:lang w:val="en-US" w:eastAsia="zh-CN" w:bidi="ar"/>
                    </w:rPr>
                  </w:pPr>
                  <w:r>
                    <w:rPr>
                      <w:rFonts w:hint="eastAsia"/>
                      <w:color w:val="auto"/>
                      <w:kern w:val="0"/>
                      <w:szCs w:val="21"/>
                      <w:lang w:val="en-US" w:eastAsia="zh-CN" w:bidi="ar"/>
                    </w:rPr>
                    <w:t>5.03</w:t>
                  </w:r>
                </w:p>
              </w:tc>
              <w:tc>
                <w:tcPr>
                  <w:tcW w:w="891" w:type="dxa"/>
                  <w:vMerge w:val="restart"/>
                  <w:tcBorders>
                    <w:top w:val="single" w:color="000000" w:sz="4" w:space="0"/>
                    <w:left w:val="single" w:color="000000" w:sz="4" w:space="0"/>
                    <w:right w:val="single" w:color="000000" w:sz="4" w:space="0"/>
                  </w:tcBorders>
                  <w:noWrap/>
                  <w:vAlign w:val="center"/>
                </w:tcPr>
                <w:p w14:paraId="599ED1E7">
                  <w:pPr>
                    <w:widowControl/>
                    <w:jc w:val="center"/>
                    <w:textAlignment w:val="bottom"/>
                    <w:rPr>
                      <w:rFonts w:hint="default" w:eastAsia="宋体"/>
                      <w:color w:val="auto"/>
                      <w:kern w:val="0"/>
                      <w:szCs w:val="21"/>
                      <w:lang w:val="en-US" w:eastAsia="zh-CN" w:bidi="ar"/>
                    </w:rPr>
                  </w:pPr>
                  <w:r>
                    <w:rPr>
                      <w:rFonts w:hint="eastAsia"/>
                      <w:color w:val="auto"/>
                      <w:kern w:val="0"/>
                      <w:szCs w:val="21"/>
                      <w:lang w:val="en-US" w:eastAsia="zh-CN" w:bidi="ar"/>
                    </w:rPr>
                    <w:t>1.11</w:t>
                  </w:r>
                </w:p>
              </w:tc>
              <w:tc>
                <w:tcPr>
                  <w:tcW w:w="891" w:type="dxa"/>
                  <w:vMerge w:val="restart"/>
                  <w:tcBorders>
                    <w:top w:val="single" w:color="000000" w:sz="4" w:space="0"/>
                    <w:left w:val="single" w:color="000000" w:sz="4" w:space="0"/>
                    <w:right w:val="single" w:color="000000" w:sz="4" w:space="0"/>
                  </w:tcBorders>
                  <w:noWrap/>
                  <w:vAlign w:val="center"/>
                </w:tcPr>
                <w:p w14:paraId="7A12ACDE">
                  <w:pPr>
                    <w:widowControl/>
                    <w:jc w:val="center"/>
                    <w:textAlignment w:val="bottom"/>
                    <w:rPr>
                      <w:color w:val="auto"/>
                      <w:kern w:val="0"/>
                      <w:szCs w:val="21"/>
                      <w:lang w:bidi="ar"/>
                    </w:rPr>
                  </w:pPr>
                  <w:r>
                    <w:rPr>
                      <w:rFonts w:hint="eastAsia"/>
                      <w:color w:val="auto"/>
                      <w:kern w:val="0"/>
                      <w:szCs w:val="21"/>
                      <w:lang w:bidi="ar"/>
                    </w:rPr>
                    <w:t>30</w:t>
                  </w:r>
                </w:p>
              </w:tc>
              <w:tc>
                <w:tcPr>
                  <w:tcW w:w="891" w:type="dxa"/>
                  <w:vMerge w:val="restart"/>
                  <w:tcBorders>
                    <w:top w:val="single" w:color="000000" w:sz="4" w:space="0"/>
                    <w:left w:val="single" w:color="000000" w:sz="4" w:space="0"/>
                    <w:right w:val="single" w:color="000000" w:sz="4" w:space="0"/>
                  </w:tcBorders>
                  <w:noWrap/>
                  <w:vAlign w:val="center"/>
                </w:tcPr>
                <w:p w14:paraId="09A9C0A9">
                  <w:pPr>
                    <w:widowControl/>
                    <w:jc w:val="center"/>
                    <w:textAlignment w:val="bottom"/>
                    <w:rPr>
                      <w:color w:val="auto"/>
                      <w:kern w:val="0"/>
                      <w:szCs w:val="21"/>
                      <w:lang w:bidi="ar"/>
                    </w:rPr>
                  </w:pPr>
                  <w:r>
                    <w:rPr>
                      <w:color w:val="auto"/>
                      <w:kern w:val="0"/>
                      <w:szCs w:val="21"/>
                      <w:lang w:bidi="ar"/>
                    </w:rPr>
                    <w:t>达标</w:t>
                  </w:r>
                </w:p>
              </w:tc>
            </w:tr>
            <w:tr w14:paraId="608734D0">
              <w:tblPrEx>
                <w:tblCellMar>
                  <w:top w:w="15" w:type="dxa"/>
                  <w:left w:w="15" w:type="dxa"/>
                  <w:bottom w:w="15" w:type="dxa"/>
                  <w:right w:w="15" w:type="dxa"/>
                </w:tblCellMar>
              </w:tblPrEx>
              <w:trPr>
                <w:trHeight w:val="90" w:hRule="atLeast"/>
              </w:trPr>
              <w:tc>
                <w:tcPr>
                  <w:tcW w:w="891" w:type="dxa"/>
                  <w:tcBorders>
                    <w:top w:val="single" w:color="000000" w:sz="4" w:space="0"/>
                    <w:left w:val="single" w:color="000000" w:sz="4" w:space="0"/>
                    <w:bottom w:val="single" w:color="000000" w:sz="4" w:space="0"/>
                    <w:right w:val="single" w:color="000000" w:sz="4" w:space="0"/>
                  </w:tcBorders>
                  <w:noWrap/>
                  <w:vAlign w:val="center"/>
                </w:tcPr>
                <w:p w14:paraId="1078CDAC">
                  <w:pPr>
                    <w:widowControl/>
                    <w:jc w:val="center"/>
                    <w:textAlignment w:val="bottom"/>
                    <w:rPr>
                      <w:color w:val="auto"/>
                      <w:kern w:val="0"/>
                      <w:szCs w:val="21"/>
                      <w:lang w:bidi="ar"/>
                    </w:rPr>
                  </w:pPr>
                  <w:r>
                    <w:rPr>
                      <w:rFonts w:hint="eastAsia"/>
                      <w:color w:val="auto"/>
                      <w:kern w:val="0"/>
                      <w:szCs w:val="21"/>
                      <w:lang w:bidi="ar"/>
                    </w:rPr>
                    <w:t>浇筑颗粒物</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3E0F14C4">
                  <w:pPr>
                    <w:widowControl/>
                    <w:jc w:val="center"/>
                    <w:textAlignment w:val="bottom"/>
                    <w:rPr>
                      <w:color w:val="auto"/>
                      <w:kern w:val="0"/>
                      <w:szCs w:val="21"/>
                      <w:lang w:bidi="ar"/>
                    </w:rPr>
                  </w:pPr>
                  <w:r>
                    <w:rPr>
                      <w:rFonts w:hint="eastAsia"/>
                      <w:color w:val="auto"/>
                      <w:kern w:val="0"/>
                      <w:szCs w:val="21"/>
                      <w:lang w:bidi="ar"/>
                    </w:rPr>
                    <w:t>16747.84</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47D07135">
                  <w:pPr>
                    <w:widowControl/>
                    <w:jc w:val="center"/>
                    <w:textAlignment w:val="bottom"/>
                    <w:rPr>
                      <w:color w:val="auto"/>
                      <w:kern w:val="0"/>
                      <w:szCs w:val="21"/>
                      <w:lang w:bidi="ar"/>
                    </w:rPr>
                  </w:pPr>
                  <w:r>
                    <w:rPr>
                      <w:rFonts w:hint="eastAsia"/>
                      <w:color w:val="auto"/>
                      <w:kern w:val="0"/>
                      <w:szCs w:val="21"/>
                      <w:lang w:bidi="ar"/>
                    </w:rPr>
                    <w:t>41.17</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1CC1C75F">
                  <w:pPr>
                    <w:widowControl/>
                    <w:jc w:val="center"/>
                    <w:textAlignment w:val="bottom"/>
                    <w:rPr>
                      <w:rFonts w:hint="default" w:eastAsia="宋体"/>
                      <w:color w:val="auto"/>
                      <w:kern w:val="0"/>
                      <w:szCs w:val="21"/>
                      <w:lang w:val="en-US" w:eastAsia="zh-CN" w:bidi="ar"/>
                    </w:rPr>
                  </w:pPr>
                  <w:r>
                    <w:rPr>
                      <w:rFonts w:hint="eastAsia"/>
                      <w:color w:val="auto"/>
                      <w:kern w:val="0"/>
                      <w:szCs w:val="21"/>
                      <w:lang w:val="en-US" w:eastAsia="zh-CN" w:bidi="ar"/>
                    </w:rPr>
                    <w:t>8.37</w:t>
                  </w:r>
                </w:p>
              </w:tc>
              <w:tc>
                <w:tcPr>
                  <w:tcW w:w="891" w:type="dxa"/>
                  <w:vMerge w:val="continue"/>
                  <w:tcBorders>
                    <w:left w:val="single" w:color="000000" w:sz="4" w:space="0"/>
                    <w:bottom w:val="single" w:color="000000" w:sz="4" w:space="0"/>
                    <w:right w:val="single" w:color="000000" w:sz="4" w:space="0"/>
                  </w:tcBorders>
                  <w:noWrap/>
                  <w:vAlign w:val="center"/>
                </w:tcPr>
                <w:p w14:paraId="12726A5E">
                  <w:pPr>
                    <w:widowControl/>
                    <w:jc w:val="center"/>
                    <w:textAlignment w:val="bottom"/>
                    <w:rPr>
                      <w:color w:val="auto"/>
                      <w:kern w:val="0"/>
                      <w:szCs w:val="21"/>
                      <w:lang w:bidi="ar"/>
                    </w:rPr>
                  </w:pPr>
                </w:p>
              </w:tc>
              <w:tc>
                <w:tcPr>
                  <w:tcW w:w="891" w:type="dxa"/>
                  <w:vMerge w:val="continue"/>
                  <w:tcBorders>
                    <w:left w:val="single" w:color="000000" w:sz="4" w:space="0"/>
                    <w:bottom w:val="single" w:color="000000" w:sz="4" w:space="0"/>
                    <w:right w:val="single" w:color="000000" w:sz="4" w:space="0"/>
                  </w:tcBorders>
                  <w:noWrap/>
                  <w:vAlign w:val="center"/>
                </w:tcPr>
                <w:p w14:paraId="031F72F5">
                  <w:pPr>
                    <w:widowControl/>
                    <w:jc w:val="center"/>
                    <w:textAlignment w:val="bottom"/>
                    <w:rPr>
                      <w:color w:val="auto"/>
                      <w:kern w:val="0"/>
                      <w:szCs w:val="21"/>
                      <w:lang w:bidi="ar"/>
                    </w:rPr>
                  </w:pPr>
                </w:p>
              </w:tc>
              <w:tc>
                <w:tcPr>
                  <w:tcW w:w="891" w:type="dxa"/>
                  <w:vMerge w:val="continue"/>
                  <w:tcBorders>
                    <w:left w:val="single" w:color="000000" w:sz="4" w:space="0"/>
                    <w:bottom w:val="single" w:color="000000" w:sz="4" w:space="0"/>
                    <w:right w:val="single" w:color="000000" w:sz="4" w:space="0"/>
                  </w:tcBorders>
                  <w:noWrap/>
                  <w:vAlign w:val="center"/>
                </w:tcPr>
                <w:p w14:paraId="2597D729">
                  <w:pPr>
                    <w:widowControl/>
                    <w:jc w:val="center"/>
                    <w:textAlignment w:val="bottom"/>
                    <w:rPr>
                      <w:color w:val="auto"/>
                      <w:kern w:val="0"/>
                      <w:szCs w:val="21"/>
                      <w:lang w:bidi="ar"/>
                    </w:rPr>
                  </w:pPr>
                </w:p>
              </w:tc>
              <w:tc>
                <w:tcPr>
                  <w:tcW w:w="891" w:type="dxa"/>
                  <w:vMerge w:val="continue"/>
                  <w:tcBorders>
                    <w:left w:val="single" w:color="000000" w:sz="4" w:space="0"/>
                    <w:bottom w:val="single" w:color="000000" w:sz="4" w:space="0"/>
                    <w:right w:val="single" w:color="000000" w:sz="4" w:space="0"/>
                  </w:tcBorders>
                  <w:noWrap/>
                  <w:vAlign w:val="center"/>
                </w:tcPr>
                <w:p w14:paraId="5D4A2F38">
                  <w:pPr>
                    <w:widowControl/>
                    <w:jc w:val="center"/>
                    <w:textAlignment w:val="bottom"/>
                    <w:rPr>
                      <w:color w:val="auto"/>
                      <w:kern w:val="0"/>
                      <w:szCs w:val="21"/>
                      <w:lang w:bidi="ar"/>
                    </w:rPr>
                  </w:pPr>
                </w:p>
              </w:tc>
              <w:tc>
                <w:tcPr>
                  <w:tcW w:w="891" w:type="dxa"/>
                  <w:vMerge w:val="continue"/>
                  <w:tcBorders>
                    <w:left w:val="single" w:color="000000" w:sz="4" w:space="0"/>
                    <w:bottom w:val="single" w:color="000000" w:sz="4" w:space="0"/>
                    <w:right w:val="single" w:color="000000" w:sz="4" w:space="0"/>
                  </w:tcBorders>
                  <w:noWrap/>
                  <w:vAlign w:val="center"/>
                </w:tcPr>
                <w:p w14:paraId="1B0D02F4">
                  <w:pPr>
                    <w:widowControl/>
                    <w:jc w:val="center"/>
                    <w:textAlignment w:val="bottom"/>
                    <w:rPr>
                      <w:color w:val="auto"/>
                      <w:kern w:val="0"/>
                      <w:szCs w:val="21"/>
                      <w:lang w:bidi="ar"/>
                    </w:rPr>
                  </w:pPr>
                </w:p>
              </w:tc>
            </w:tr>
          </w:tbl>
          <w:p w14:paraId="5195464B">
            <w:pPr>
              <w:pStyle w:val="100"/>
              <w:spacing w:line="360" w:lineRule="auto"/>
              <w:jc w:val="both"/>
              <w:rPr>
                <w:rFonts w:ascii="Times New Roman" w:hAnsi="Times New Roman" w:cs="Times New Roman"/>
                <w:color w:val="auto"/>
                <w:sz w:val="24"/>
                <w:szCs w:val="24"/>
              </w:rPr>
            </w:pPr>
          </w:p>
          <w:p w14:paraId="17FF0D99">
            <w:pPr>
              <w:numPr>
                <w:ilvl w:val="0"/>
                <w:numId w:val="7"/>
              </w:numPr>
              <w:overflowPunct w:val="0"/>
              <w:adjustRightInd w:val="0"/>
              <w:spacing w:line="360" w:lineRule="auto"/>
              <w:ind w:firstLine="480" w:firstLineChars="200"/>
              <w:rPr>
                <w:color w:val="auto"/>
                <w:sz w:val="24"/>
              </w:rPr>
            </w:pPr>
            <w:r>
              <w:rPr>
                <w:rFonts w:hint="eastAsia"/>
                <w:color w:val="auto"/>
                <w:sz w:val="24"/>
              </w:rPr>
              <w:t>焊接颗粒物</w:t>
            </w:r>
          </w:p>
          <w:p w14:paraId="29B2BF85">
            <w:pPr>
              <w:overflowPunct w:val="0"/>
              <w:adjustRightInd w:val="0"/>
              <w:spacing w:line="360" w:lineRule="auto"/>
              <w:ind w:firstLine="480" w:firstLineChars="200"/>
              <w:rPr>
                <w:color w:val="auto"/>
                <w:kern w:val="0"/>
                <w:sz w:val="24"/>
              </w:rPr>
            </w:pPr>
            <w:r>
              <w:rPr>
                <w:rFonts w:hint="eastAsia"/>
                <w:color w:val="auto"/>
                <w:kern w:val="0"/>
                <w:sz w:val="24"/>
              </w:rPr>
              <w:t>铸件在焊接</w:t>
            </w:r>
            <w:r>
              <w:rPr>
                <w:color w:val="auto"/>
                <w:kern w:val="0"/>
                <w:sz w:val="24"/>
              </w:rPr>
              <w:t>过程中</w:t>
            </w:r>
            <w:r>
              <w:rPr>
                <w:rFonts w:hint="eastAsia"/>
                <w:color w:val="auto"/>
                <w:kern w:val="0"/>
                <w:sz w:val="24"/>
              </w:rPr>
              <w:t>会</w:t>
            </w:r>
            <w:r>
              <w:rPr>
                <w:color w:val="auto"/>
                <w:kern w:val="0"/>
                <w:sz w:val="24"/>
              </w:rPr>
              <w:t>产生粉尘，粉尘通过</w:t>
            </w:r>
            <w:r>
              <w:rPr>
                <w:rFonts w:hint="eastAsia"/>
                <w:color w:val="auto"/>
                <w:kern w:val="0"/>
                <w:sz w:val="24"/>
              </w:rPr>
              <w:t>集气罩</w:t>
            </w:r>
            <w:r>
              <w:rPr>
                <w:rFonts w:hint="eastAsia"/>
                <w:color w:val="auto"/>
                <w:kern w:val="0"/>
                <w:sz w:val="24"/>
                <w:lang w:val="en-US" w:eastAsia="zh-CN"/>
              </w:rPr>
              <w:t>收集（收集率90%）</w:t>
            </w:r>
            <w:r>
              <w:rPr>
                <w:rFonts w:hint="eastAsia"/>
                <w:color w:val="auto"/>
                <w:kern w:val="0"/>
                <w:sz w:val="24"/>
              </w:rPr>
              <w:t>进入</w:t>
            </w:r>
            <w:r>
              <w:rPr>
                <w:color w:val="auto"/>
                <w:kern w:val="0"/>
                <w:sz w:val="24"/>
              </w:rPr>
              <w:t>布袋除尘器（去尘效率 9</w:t>
            </w:r>
            <w:r>
              <w:rPr>
                <w:rFonts w:hint="eastAsia"/>
                <w:color w:val="auto"/>
                <w:kern w:val="0"/>
                <w:sz w:val="24"/>
                <w:lang w:val="en-US" w:eastAsia="zh-CN"/>
              </w:rPr>
              <w:t>5</w:t>
            </w:r>
            <w:r>
              <w:rPr>
                <w:color w:val="auto"/>
                <w:kern w:val="0"/>
                <w:sz w:val="24"/>
              </w:rPr>
              <w:t xml:space="preserve">% ，风机量 </w:t>
            </w:r>
            <w:r>
              <w:rPr>
                <w:rFonts w:hint="eastAsia"/>
                <w:color w:val="auto"/>
                <w:kern w:val="0"/>
                <w:sz w:val="24"/>
              </w:rPr>
              <w:t>220000</w:t>
            </w:r>
            <w:r>
              <w:rPr>
                <w:color w:val="auto"/>
                <w:kern w:val="0"/>
                <w:sz w:val="24"/>
              </w:rPr>
              <w:t>m</w:t>
            </w:r>
            <w:r>
              <w:rPr>
                <w:color w:val="auto"/>
                <w:kern w:val="0"/>
                <w:sz w:val="24"/>
                <w:vertAlign w:val="superscript"/>
              </w:rPr>
              <w:t>3</w:t>
            </w:r>
            <w:r>
              <w:rPr>
                <w:color w:val="auto"/>
                <w:kern w:val="0"/>
                <w:sz w:val="24"/>
              </w:rPr>
              <w:t>/h）进行处理。</w:t>
            </w:r>
            <w:r>
              <w:rPr>
                <w:rFonts w:hint="eastAsia"/>
                <w:color w:val="auto"/>
                <w:kern w:val="0"/>
                <w:sz w:val="24"/>
              </w:rPr>
              <w:t>项目焊条使用量每100吨产品消耗焊条0.5吨，该项目年产67805t</w:t>
            </w:r>
            <w:r>
              <w:rPr>
                <w:color w:val="auto"/>
                <w:kern w:val="0"/>
                <w:szCs w:val="21"/>
                <w:lang w:bidi="ar"/>
              </w:rPr>
              <w:t>/a</w:t>
            </w:r>
            <w:r>
              <w:rPr>
                <w:rFonts w:hint="eastAsia"/>
                <w:color w:val="auto"/>
                <w:kern w:val="0"/>
                <w:szCs w:val="21"/>
                <w:lang w:bidi="ar"/>
              </w:rPr>
              <w:t xml:space="preserve"> 产品</w:t>
            </w:r>
            <w:r>
              <w:rPr>
                <w:rFonts w:hint="eastAsia"/>
                <w:color w:val="auto"/>
                <w:kern w:val="0"/>
                <w:sz w:val="24"/>
              </w:rPr>
              <w:t>，则消耗焊条量约为340t</w:t>
            </w:r>
            <w:r>
              <w:rPr>
                <w:color w:val="auto"/>
                <w:kern w:val="0"/>
                <w:szCs w:val="21"/>
                <w:lang w:bidi="ar"/>
              </w:rPr>
              <w:t>/a</w:t>
            </w:r>
            <w:r>
              <w:rPr>
                <w:rFonts w:hint="eastAsia"/>
                <w:color w:val="auto"/>
                <w:kern w:val="0"/>
                <w:szCs w:val="21"/>
                <w:lang w:bidi="ar"/>
              </w:rPr>
              <w:t>。</w:t>
            </w:r>
            <w:r>
              <w:rPr>
                <w:rFonts w:hint="eastAsia"/>
                <w:color w:val="auto"/>
                <w:kern w:val="0"/>
                <w:sz w:val="24"/>
              </w:rPr>
              <w:t>焊接过程</w:t>
            </w:r>
            <w:r>
              <w:rPr>
                <w:color w:val="auto"/>
                <w:kern w:val="0"/>
                <w:sz w:val="24"/>
              </w:rPr>
              <w:t>产生的粉尘参照《排放源统计调查产排污核算方法和系数手册》（</w:t>
            </w:r>
            <w:r>
              <w:rPr>
                <w:rFonts w:hint="eastAsia"/>
                <w:color w:val="auto"/>
                <w:kern w:val="0"/>
                <w:sz w:val="24"/>
              </w:rPr>
              <w:t>33-37，431-434机械</w:t>
            </w:r>
            <w:r>
              <w:rPr>
                <w:color w:val="auto"/>
                <w:kern w:val="0"/>
                <w:sz w:val="24"/>
              </w:rPr>
              <w:t>行业系数手册）中“</w:t>
            </w:r>
            <w:r>
              <w:rPr>
                <w:rFonts w:hint="eastAsia"/>
                <w:color w:val="auto"/>
                <w:kern w:val="0"/>
                <w:sz w:val="24"/>
              </w:rPr>
              <w:t>09焊接</w:t>
            </w:r>
            <w:r>
              <w:rPr>
                <w:color w:val="auto"/>
                <w:kern w:val="0"/>
                <w:sz w:val="24"/>
              </w:rPr>
              <w:t xml:space="preserve"> ”，产污系数见表 4-</w:t>
            </w:r>
            <w:r>
              <w:rPr>
                <w:rFonts w:hint="eastAsia"/>
                <w:color w:val="auto"/>
                <w:kern w:val="0"/>
                <w:sz w:val="24"/>
              </w:rPr>
              <w:t>3</w:t>
            </w:r>
            <w:r>
              <w:rPr>
                <w:color w:val="auto"/>
                <w:kern w:val="0"/>
                <w:sz w:val="24"/>
              </w:rPr>
              <w:t>。</w:t>
            </w:r>
          </w:p>
          <w:p w14:paraId="20ECDF53">
            <w:pPr>
              <w:pStyle w:val="111"/>
              <w:rPr>
                <w:bCs/>
                <w:color w:val="auto"/>
                <w:kern w:val="0"/>
                <w:sz w:val="21"/>
                <w:szCs w:val="21"/>
              </w:rPr>
            </w:pPr>
            <w:r>
              <w:rPr>
                <w:bCs/>
                <w:color w:val="auto"/>
                <w:kern w:val="0"/>
                <w:sz w:val="21"/>
                <w:szCs w:val="21"/>
              </w:rPr>
              <w:t>表4-</w:t>
            </w:r>
            <w:r>
              <w:rPr>
                <w:rFonts w:hint="eastAsia"/>
                <w:bCs/>
                <w:color w:val="auto"/>
                <w:kern w:val="0"/>
                <w:sz w:val="21"/>
                <w:szCs w:val="21"/>
              </w:rPr>
              <w:t>3</w:t>
            </w:r>
            <w:r>
              <w:rPr>
                <w:bCs/>
                <w:color w:val="auto"/>
                <w:kern w:val="0"/>
                <w:sz w:val="21"/>
                <w:szCs w:val="21"/>
              </w:rPr>
              <w:t xml:space="preserve">    </w:t>
            </w:r>
            <w:r>
              <w:rPr>
                <w:rFonts w:hint="eastAsia"/>
                <w:bCs/>
                <w:color w:val="auto"/>
                <w:kern w:val="0"/>
                <w:sz w:val="21"/>
                <w:szCs w:val="21"/>
              </w:rPr>
              <w:t>33-37，431-434机械</w:t>
            </w:r>
            <w:r>
              <w:rPr>
                <w:bCs/>
                <w:color w:val="auto"/>
                <w:kern w:val="0"/>
                <w:sz w:val="21"/>
                <w:szCs w:val="21"/>
              </w:rPr>
              <w:t>行业系数表</w:t>
            </w:r>
          </w:p>
          <w:tbl>
            <w:tblPr>
              <w:tblStyle w:val="24"/>
              <w:tblW w:w="7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617"/>
              <w:gridCol w:w="696"/>
              <w:gridCol w:w="602"/>
              <w:gridCol w:w="738"/>
              <w:gridCol w:w="1077"/>
              <w:gridCol w:w="951"/>
              <w:gridCol w:w="724"/>
              <w:gridCol w:w="1013"/>
            </w:tblGrid>
            <w:tr w14:paraId="64E5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6" w:type="dxa"/>
                  <w:vAlign w:val="center"/>
                </w:tcPr>
                <w:p w14:paraId="03F536E7">
                  <w:pPr>
                    <w:pStyle w:val="76"/>
                    <w:spacing w:line="240" w:lineRule="atLeast"/>
                    <w:rPr>
                      <w:rFonts w:ascii="Times New Roman" w:hAnsi="Times New Roman"/>
                      <w:color w:val="auto"/>
                      <w:szCs w:val="21"/>
                    </w:rPr>
                  </w:pPr>
                  <w:r>
                    <w:rPr>
                      <w:rFonts w:ascii="Times New Roman" w:hAnsi="Times New Roman"/>
                      <w:color w:val="auto"/>
                      <w:szCs w:val="21"/>
                    </w:rPr>
                    <w:t>工段名称</w:t>
                  </w:r>
                </w:p>
              </w:tc>
              <w:tc>
                <w:tcPr>
                  <w:tcW w:w="872" w:type="dxa"/>
                  <w:vAlign w:val="center"/>
                </w:tcPr>
                <w:p w14:paraId="44B1B709">
                  <w:pPr>
                    <w:pStyle w:val="76"/>
                    <w:spacing w:line="240" w:lineRule="atLeast"/>
                    <w:rPr>
                      <w:rFonts w:ascii="Times New Roman" w:hAnsi="Times New Roman"/>
                      <w:color w:val="auto"/>
                      <w:szCs w:val="21"/>
                    </w:rPr>
                  </w:pPr>
                  <w:r>
                    <w:rPr>
                      <w:rFonts w:ascii="Times New Roman" w:hAnsi="Times New Roman"/>
                      <w:color w:val="auto"/>
                      <w:szCs w:val="21"/>
                    </w:rPr>
                    <w:t>原料名称</w:t>
                  </w:r>
                </w:p>
              </w:tc>
              <w:tc>
                <w:tcPr>
                  <w:tcW w:w="819" w:type="dxa"/>
                  <w:vAlign w:val="center"/>
                </w:tcPr>
                <w:p w14:paraId="7BACC335">
                  <w:pPr>
                    <w:pStyle w:val="76"/>
                    <w:spacing w:line="240" w:lineRule="atLeast"/>
                    <w:rPr>
                      <w:rFonts w:ascii="Times New Roman" w:hAnsi="Times New Roman"/>
                      <w:color w:val="auto"/>
                      <w:szCs w:val="21"/>
                    </w:rPr>
                  </w:pPr>
                  <w:r>
                    <w:rPr>
                      <w:rFonts w:ascii="Times New Roman" w:hAnsi="Times New Roman"/>
                      <w:color w:val="auto"/>
                      <w:szCs w:val="21"/>
                    </w:rPr>
                    <w:t>工艺名称</w:t>
                  </w:r>
                </w:p>
              </w:tc>
              <w:tc>
                <w:tcPr>
                  <w:tcW w:w="692" w:type="dxa"/>
                  <w:vAlign w:val="center"/>
                </w:tcPr>
                <w:p w14:paraId="4BC2DAAB">
                  <w:pPr>
                    <w:pStyle w:val="76"/>
                    <w:spacing w:line="240" w:lineRule="atLeast"/>
                    <w:rPr>
                      <w:rFonts w:ascii="Times New Roman" w:hAnsi="Times New Roman"/>
                      <w:color w:val="auto"/>
                      <w:szCs w:val="21"/>
                    </w:rPr>
                  </w:pPr>
                  <w:r>
                    <w:rPr>
                      <w:rFonts w:ascii="Times New Roman" w:hAnsi="Times New Roman"/>
                      <w:color w:val="auto"/>
                      <w:szCs w:val="21"/>
                    </w:rPr>
                    <w:t>规模等级</w:t>
                  </w:r>
                </w:p>
              </w:tc>
              <w:tc>
                <w:tcPr>
                  <w:tcW w:w="898" w:type="dxa"/>
                  <w:vAlign w:val="center"/>
                </w:tcPr>
                <w:p w14:paraId="4AE6ABD6">
                  <w:pPr>
                    <w:pStyle w:val="76"/>
                    <w:spacing w:line="240" w:lineRule="atLeast"/>
                    <w:rPr>
                      <w:rFonts w:ascii="Times New Roman" w:hAnsi="Times New Roman"/>
                      <w:color w:val="auto"/>
                      <w:szCs w:val="21"/>
                    </w:rPr>
                  </w:pPr>
                  <w:r>
                    <w:rPr>
                      <w:rFonts w:ascii="Times New Roman" w:hAnsi="Times New Roman"/>
                      <w:color w:val="auto"/>
                      <w:szCs w:val="21"/>
                    </w:rPr>
                    <w:t>污染物指标</w:t>
                  </w:r>
                </w:p>
              </w:tc>
              <w:tc>
                <w:tcPr>
                  <w:tcW w:w="1410" w:type="dxa"/>
                  <w:vAlign w:val="center"/>
                </w:tcPr>
                <w:p w14:paraId="5F8130E1">
                  <w:pPr>
                    <w:pStyle w:val="76"/>
                    <w:spacing w:line="240" w:lineRule="atLeast"/>
                    <w:rPr>
                      <w:rFonts w:ascii="Times New Roman" w:hAnsi="Times New Roman"/>
                      <w:color w:val="auto"/>
                      <w:szCs w:val="21"/>
                    </w:rPr>
                  </w:pPr>
                  <w:r>
                    <w:rPr>
                      <w:rFonts w:ascii="Times New Roman" w:hAnsi="Times New Roman"/>
                      <w:color w:val="auto"/>
                      <w:szCs w:val="21"/>
                    </w:rPr>
                    <w:t>单位</w:t>
                  </w:r>
                </w:p>
              </w:tc>
              <w:tc>
                <w:tcPr>
                  <w:tcW w:w="658" w:type="dxa"/>
                  <w:vAlign w:val="center"/>
                </w:tcPr>
                <w:p w14:paraId="0C609104">
                  <w:pPr>
                    <w:pStyle w:val="76"/>
                    <w:spacing w:line="240" w:lineRule="atLeast"/>
                    <w:rPr>
                      <w:rFonts w:ascii="Times New Roman" w:hAnsi="Times New Roman"/>
                      <w:color w:val="auto"/>
                      <w:szCs w:val="21"/>
                    </w:rPr>
                  </w:pPr>
                  <w:r>
                    <w:rPr>
                      <w:rFonts w:ascii="Times New Roman" w:hAnsi="Times New Roman"/>
                      <w:color w:val="auto"/>
                      <w:szCs w:val="21"/>
                    </w:rPr>
                    <w:t>产污系数</w:t>
                  </w:r>
                </w:p>
              </w:tc>
              <w:tc>
                <w:tcPr>
                  <w:tcW w:w="877" w:type="dxa"/>
                  <w:vAlign w:val="center"/>
                </w:tcPr>
                <w:p w14:paraId="21A80CDB">
                  <w:pPr>
                    <w:pStyle w:val="76"/>
                    <w:spacing w:line="240" w:lineRule="atLeast"/>
                    <w:rPr>
                      <w:rFonts w:ascii="Times New Roman" w:hAnsi="Times New Roman"/>
                      <w:color w:val="auto"/>
                      <w:szCs w:val="21"/>
                    </w:rPr>
                  </w:pPr>
                  <w:r>
                    <w:rPr>
                      <w:rFonts w:ascii="Times New Roman" w:hAnsi="Times New Roman"/>
                      <w:color w:val="auto"/>
                      <w:szCs w:val="21"/>
                    </w:rPr>
                    <w:t>末端治理技术名称</w:t>
                  </w:r>
                </w:p>
              </w:tc>
              <w:tc>
                <w:tcPr>
                  <w:tcW w:w="1114" w:type="dxa"/>
                  <w:vAlign w:val="center"/>
                </w:tcPr>
                <w:p w14:paraId="5F7CBBE8">
                  <w:pPr>
                    <w:pStyle w:val="76"/>
                    <w:spacing w:line="240" w:lineRule="atLeast"/>
                    <w:rPr>
                      <w:rFonts w:ascii="Times New Roman" w:hAnsi="Times New Roman"/>
                      <w:color w:val="auto"/>
                      <w:szCs w:val="21"/>
                    </w:rPr>
                  </w:pPr>
                  <w:r>
                    <w:rPr>
                      <w:rFonts w:ascii="Times New Roman" w:hAnsi="Times New Roman"/>
                      <w:color w:val="auto"/>
                      <w:szCs w:val="21"/>
                    </w:rPr>
                    <w:t>末端治理</w:t>
                  </w:r>
                </w:p>
                <w:p w14:paraId="6B921B6C">
                  <w:pPr>
                    <w:pStyle w:val="76"/>
                    <w:spacing w:line="240" w:lineRule="atLeast"/>
                    <w:rPr>
                      <w:rFonts w:ascii="Times New Roman" w:hAnsi="Times New Roman"/>
                      <w:color w:val="auto"/>
                      <w:szCs w:val="21"/>
                    </w:rPr>
                  </w:pPr>
                  <w:r>
                    <w:rPr>
                      <w:rFonts w:ascii="Times New Roman" w:hAnsi="Times New Roman"/>
                      <w:color w:val="auto"/>
                      <w:szCs w:val="21"/>
                    </w:rPr>
                    <w:t>技术平均去除效率（%）</w:t>
                  </w:r>
                </w:p>
              </w:tc>
            </w:tr>
            <w:tr w14:paraId="4CA3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6" w:type="dxa"/>
                  <w:vMerge w:val="restart"/>
                  <w:vAlign w:val="center"/>
                </w:tcPr>
                <w:p w14:paraId="646629BC">
                  <w:pPr>
                    <w:pStyle w:val="76"/>
                    <w:spacing w:line="240" w:lineRule="atLeast"/>
                    <w:rPr>
                      <w:rFonts w:ascii="Times New Roman" w:hAnsi="Times New Roman"/>
                      <w:color w:val="auto"/>
                      <w:szCs w:val="21"/>
                    </w:rPr>
                  </w:pPr>
                </w:p>
                <w:p w14:paraId="797A001F">
                  <w:pPr>
                    <w:rPr>
                      <w:color w:val="auto"/>
                    </w:rPr>
                  </w:pPr>
                  <w:r>
                    <w:rPr>
                      <w:rFonts w:hint="eastAsia"/>
                      <w:color w:val="auto"/>
                    </w:rPr>
                    <w:t>焊接</w:t>
                  </w:r>
                </w:p>
              </w:tc>
              <w:tc>
                <w:tcPr>
                  <w:tcW w:w="872" w:type="dxa"/>
                  <w:vMerge w:val="restart"/>
                  <w:vAlign w:val="center"/>
                </w:tcPr>
                <w:p w14:paraId="486FAC69">
                  <w:pPr>
                    <w:pStyle w:val="76"/>
                    <w:rPr>
                      <w:rFonts w:ascii="Times New Roman" w:hAnsi="Times New Roman"/>
                      <w:color w:val="auto"/>
                      <w:szCs w:val="21"/>
                    </w:rPr>
                  </w:pPr>
                  <w:r>
                    <w:rPr>
                      <w:rFonts w:hint="eastAsia" w:ascii="Times New Roman" w:hAnsi="Times New Roman"/>
                      <w:color w:val="auto"/>
                      <w:kern w:val="0"/>
                      <w:sz w:val="24"/>
                    </w:rPr>
                    <w:t xml:space="preserve">结构钢焊条 （JXXX）、钼和 铬钼耐热钢焊条 （RXXX）、不锈 钢焊条等 </w:t>
                  </w:r>
                </w:p>
              </w:tc>
              <w:tc>
                <w:tcPr>
                  <w:tcW w:w="819" w:type="dxa"/>
                  <w:vMerge w:val="restart"/>
                  <w:vAlign w:val="center"/>
                </w:tcPr>
                <w:p w14:paraId="6ED13F11">
                  <w:pPr>
                    <w:pStyle w:val="76"/>
                    <w:spacing w:line="240" w:lineRule="atLeast"/>
                    <w:rPr>
                      <w:rFonts w:ascii="Times New Roman" w:hAnsi="Times New Roman"/>
                      <w:color w:val="auto"/>
                      <w:szCs w:val="21"/>
                    </w:rPr>
                  </w:pPr>
                  <w:r>
                    <w:rPr>
                      <w:rFonts w:hint="eastAsia" w:ascii="宋体" w:hAnsi="宋体" w:cs="宋体"/>
                      <w:color w:val="auto"/>
                      <w:sz w:val="24"/>
                    </w:rPr>
                    <w:t>手工电弧焊</w:t>
                  </w:r>
                </w:p>
              </w:tc>
              <w:tc>
                <w:tcPr>
                  <w:tcW w:w="692" w:type="dxa"/>
                  <w:vMerge w:val="restart"/>
                  <w:vAlign w:val="center"/>
                </w:tcPr>
                <w:p w14:paraId="7582176E">
                  <w:pPr>
                    <w:pStyle w:val="76"/>
                    <w:spacing w:line="240" w:lineRule="atLeast"/>
                    <w:rPr>
                      <w:rFonts w:ascii="Times New Roman" w:hAnsi="Times New Roman"/>
                      <w:color w:val="auto"/>
                      <w:szCs w:val="21"/>
                    </w:rPr>
                  </w:pPr>
                  <w:r>
                    <w:rPr>
                      <w:rFonts w:ascii="Times New Roman" w:hAnsi="Times New Roman"/>
                      <w:color w:val="auto"/>
                      <w:szCs w:val="21"/>
                    </w:rPr>
                    <w:t>所有规模</w:t>
                  </w:r>
                </w:p>
              </w:tc>
              <w:tc>
                <w:tcPr>
                  <w:tcW w:w="898" w:type="dxa"/>
                  <w:vAlign w:val="center"/>
                </w:tcPr>
                <w:p w14:paraId="6DD19555">
                  <w:pPr>
                    <w:pStyle w:val="76"/>
                    <w:spacing w:line="240" w:lineRule="atLeast"/>
                    <w:rPr>
                      <w:rFonts w:ascii="Times New Roman" w:hAnsi="Times New Roman"/>
                      <w:color w:val="auto"/>
                      <w:szCs w:val="21"/>
                    </w:rPr>
                  </w:pPr>
                  <w:r>
                    <w:rPr>
                      <w:rFonts w:ascii="Times New Roman" w:hAnsi="Times New Roman"/>
                      <w:color w:val="auto"/>
                      <w:szCs w:val="21"/>
                    </w:rPr>
                    <w:t>废气量</w:t>
                  </w:r>
                </w:p>
              </w:tc>
              <w:tc>
                <w:tcPr>
                  <w:tcW w:w="1410" w:type="dxa"/>
                  <w:vAlign w:val="center"/>
                </w:tcPr>
                <w:p w14:paraId="302FBB40">
                  <w:pPr>
                    <w:pStyle w:val="76"/>
                    <w:spacing w:line="240" w:lineRule="atLeast"/>
                    <w:rPr>
                      <w:rFonts w:ascii="Times New Roman" w:hAnsi="Times New Roman"/>
                      <w:color w:val="auto"/>
                      <w:szCs w:val="21"/>
                    </w:rPr>
                  </w:pPr>
                  <w:r>
                    <w:rPr>
                      <w:rFonts w:ascii="Times New Roman" w:hAnsi="Times New Roman"/>
                      <w:color w:val="auto"/>
                      <w:szCs w:val="21"/>
                    </w:rPr>
                    <w:t>立方米/吨-</w:t>
                  </w:r>
                  <w:r>
                    <w:rPr>
                      <w:rFonts w:hint="eastAsia" w:ascii="Times New Roman" w:hAnsi="Times New Roman"/>
                      <w:color w:val="auto"/>
                      <w:szCs w:val="21"/>
                    </w:rPr>
                    <w:t>原料</w:t>
                  </w:r>
                </w:p>
              </w:tc>
              <w:tc>
                <w:tcPr>
                  <w:tcW w:w="658" w:type="dxa"/>
                  <w:vAlign w:val="center"/>
                </w:tcPr>
                <w:p w14:paraId="279FE266">
                  <w:pPr>
                    <w:pStyle w:val="76"/>
                    <w:spacing w:line="240" w:lineRule="atLeast"/>
                    <w:rPr>
                      <w:rFonts w:ascii="Times New Roman" w:hAnsi="Times New Roman"/>
                      <w:color w:val="auto"/>
                      <w:szCs w:val="21"/>
                    </w:rPr>
                  </w:pPr>
                  <w:r>
                    <w:rPr>
                      <w:rFonts w:hint="eastAsia" w:ascii="Times New Roman" w:hAnsi="Times New Roman"/>
                      <w:color w:val="auto"/>
                      <w:szCs w:val="21"/>
                    </w:rPr>
                    <w:t>2130193</w:t>
                  </w:r>
                </w:p>
              </w:tc>
              <w:tc>
                <w:tcPr>
                  <w:tcW w:w="877" w:type="dxa"/>
                  <w:vAlign w:val="center"/>
                </w:tcPr>
                <w:p w14:paraId="15AEBEFD">
                  <w:pPr>
                    <w:pStyle w:val="76"/>
                    <w:spacing w:line="240" w:lineRule="atLeast"/>
                    <w:rPr>
                      <w:rFonts w:ascii="Times New Roman" w:hAnsi="Times New Roman"/>
                      <w:color w:val="auto"/>
                      <w:szCs w:val="21"/>
                    </w:rPr>
                  </w:pPr>
                  <w:r>
                    <w:rPr>
                      <w:rFonts w:ascii="Times New Roman" w:hAnsi="Times New Roman"/>
                      <w:color w:val="auto"/>
                      <w:szCs w:val="21"/>
                    </w:rPr>
                    <w:t>/</w:t>
                  </w:r>
                </w:p>
              </w:tc>
              <w:tc>
                <w:tcPr>
                  <w:tcW w:w="1114" w:type="dxa"/>
                  <w:vAlign w:val="center"/>
                </w:tcPr>
                <w:p w14:paraId="3A4B2D3F">
                  <w:pPr>
                    <w:pStyle w:val="76"/>
                    <w:spacing w:line="240" w:lineRule="atLeast"/>
                    <w:rPr>
                      <w:rFonts w:ascii="Times New Roman" w:hAnsi="Times New Roman"/>
                      <w:color w:val="auto"/>
                      <w:szCs w:val="21"/>
                    </w:rPr>
                  </w:pPr>
                  <w:r>
                    <w:rPr>
                      <w:rFonts w:ascii="Times New Roman" w:hAnsi="Times New Roman"/>
                      <w:color w:val="auto"/>
                      <w:szCs w:val="21"/>
                    </w:rPr>
                    <w:t>/</w:t>
                  </w:r>
                </w:p>
              </w:tc>
            </w:tr>
            <w:tr w14:paraId="2B37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6" w:type="dxa"/>
                  <w:vMerge w:val="continue"/>
                  <w:vAlign w:val="center"/>
                </w:tcPr>
                <w:p w14:paraId="0337E676">
                  <w:pPr>
                    <w:pStyle w:val="76"/>
                    <w:spacing w:line="240" w:lineRule="atLeast"/>
                    <w:rPr>
                      <w:rFonts w:ascii="Times New Roman" w:hAnsi="Times New Roman"/>
                      <w:color w:val="auto"/>
                      <w:szCs w:val="21"/>
                    </w:rPr>
                  </w:pPr>
                </w:p>
              </w:tc>
              <w:tc>
                <w:tcPr>
                  <w:tcW w:w="872" w:type="dxa"/>
                  <w:vMerge w:val="continue"/>
                  <w:vAlign w:val="center"/>
                </w:tcPr>
                <w:p w14:paraId="08DBAA57">
                  <w:pPr>
                    <w:pStyle w:val="76"/>
                    <w:spacing w:line="240" w:lineRule="atLeast"/>
                    <w:rPr>
                      <w:rFonts w:ascii="Times New Roman" w:hAnsi="Times New Roman"/>
                      <w:color w:val="auto"/>
                      <w:szCs w:val="21"/>
                    </w:rPr>
                  </w:pPr>
                </w:p>
              </w:tc>
              <w:tc>
                <w:tcPr>
                  <w:tcW w:w="819" w:type="dxa"/>
                  <w:vMerge w:val="continue"/>
                  <w:vAlign w:val="center"/>
                </w:tcPr>
                <w:p w14:paraId="0A298561">
                  <w:pPr>
                    <w:pStyle w:val="76"/>
                    <w:spacing w:line="240" w:lineRule="atLeast"/>
                    <w:rPr>
                      <w:rFonts w:ascii="Times New Roman" w:hAnsi="Times New Roman"/>
                      <w:color w:val="auto"/>
                      <w:szCs w:val="21"/>
                    </w:rPr>
                  </w:pPr>
                </w:p>
              </w:tc>
              <w:tc>
                <w:tcPr>
                  <w:tcW w:w="692" w:type="dxa"/>
                  <w:vMerge w:val="continue"/>
                  <w:vAlign w:val="center"/>
                </w:tcPr>
                <w:p w14:paraId="4E890B83">
                  <w:pPr>
                    <w:pStyle w:val="76"/>
                    <w:spacing w:line="240" w:lineRule="atLeast"/>
                    <w:rPr>
                      <w:rFonts w:ascii="Times New Roman" w:hAnsi="Times New Roman"/>
                      <w:color w:val="auto"/>
                      <w:szCs w:val="21"/>
                    </w:rPr>
                  </w:pPr>
                </w:p>
              </w:tc>
              <w:tc>
                <w:tcPr>
                  <w:tcW w:w="898" w:type="dxa"/>
                  <w:vAlign w:val="center"/>
                </w:tcPr>
                <w:p w14:paraId="6296C5EA">
                  <w:pPr>
                    <w:pStyle w:val="76"/>
                    <w:spacing w:line="240" w:lineRule="atLeast"/>
                    <w:rPr>
                      <w:rFonts w:ascii="Times New Roman" w:hAnsi="Times New Roman"/>
                      <w:color w:val="auto"/>
                      <w:szCs w:val="21"/>
                    </w:rPr>
                  </w:pPr>
                  <w:r>
                    <w:rPr>
                      <w:rFonts w:ascii="Times New Roman" w:hAnsi="Times New Roman"/>
                      <w:color w:val="auto"/>
                      <w:szCs w:val="21"/>
                    </w:rPr>
                    <w:t>颗粒物</w:t>
                  </w:r>
                </w:p>
              </w:tc>
              <w:tc>
                <w:tcPr>
                  <w:tcW w:w="1410" w:type="dxa"/>
                  <w:vAlign w:val="center"/>
                </w:tcPr>
                <w:p w14:paraId="3978087C">
                  <w:pPr>
                    <w:pStyle w:val="76"/>
                    <w:spacing w:line="240" w:lineRule="atLeast"/>
                    <w:rPr>
                      <w:rFonts w:ascii="Times New Roman" w:hAnsi="Times New Roman"/>
                      <w:color w:val="auto"/>
                      <w:szCs w:val="21"/>
                    </w:rPr>
                  </w:pPr>
                  <w:r>
                    <w:rPr>
                      <w:rFonts w:ascii="Times New Roman" w:hAnsi="Times New Roman"/>
                      <w:color w:val="auto"/>
                      <w:szCs w:val="21"/>
                    </w:rPr>
                    <w:t>千克/吨-</w:t>
                  </w:r>
                  <w:r>
                    <w:rPr>
                      <w:rFonts w:hint="eastAsia" w:ascii="Times New Roman" w:hAnsi="Times New Roman"/>
                      <w:color w:val="auto"/>
                      <w:szCs w:val="21"/>
                    </w:rPr>
                    <w:t>原料</w:t>
                  </w:r>
                </w:p>
              </w:tc>
              <w:tc>
                <w:tcPr>
                  <w:tcW w:w="658" w:type="dxa"/>
                  <w:vAlign w:val="center"/>
                </w:tcPr>
                <w:p w14:paraId="6019E863">
                  <w:pPr>
                    <w:pStyle w:val="76"/>
                    <w:rPr>
                      <w:rFonts w:ascii="Times New Roman" w:hAnsi="Times New Roman"/>
                      <w:color w:val="auto"/>
                      <w:szCs w:val="21"/>
                    </w:rPr>
                  </w:pPr>
                  <w:r>
                    <w:rPr>
                      <w:rFonts w:hint="eastAsia" w:ascii="Times New Roman" w:hAnsi="Times New Roman"/>
                      <w:color w:val="auto"/>
                      <w:szCs w:val="21"/>
                    </w:rPr>
                    <w:t>20.2</w:t>
                  </w:r>
                </w:p>
              </w:tc>
              <w:tc>
                <w:tcPr>
                  <w:tcW w:w="877" w:type="dxa"/>
                  <w:vAlign w:val="center"/>
                </w:tcPr>
                <w:p w14:paraId="150181C8">
                  <w:pPr>
                    <w:pStyle w:val="76"/>
                    <w:spacing w:line="240" w:lineRule="atLeast"/>
                    <w:rPr>
                      <w:rFonts w:ascii="Times New Roman" w:hAnsi="Times New Roman"/>
                      <w:color w:val="auto"/>
                      <w:szCs w:val="21"/>
                    </w:rPr>
                  </w:pPr>
                  <w:r>
                    <w:rPr>
                      <w:rFonts w:ascii="Times New Roman" w:hAnsi="Times New Roman"/>
                      <w:color w:val="auto"/>
                      <w:szCs w:val="21"/>
                    </w:rPr>
                    <w:t>袋式除尘</w:t>
                  </w:r>
                </w:p>
              </w:tc>
              <w:tc>
                <w:tcPr>
                  <w:tcW w:w="1114" w:type="dxa"/>
                  <w:vAlign w:val="center"/>
                </w:tcPr>
                <w:p w14:paraId="7151FA31">
                  <w:pPr>
                    <w:pStyle w:val="76"/>
                    <w:spacing w:line="240" w:lineRule="atLeast"/>
                    <w:rPr>
                      <w:rFonts w:ascii="Times New Roman" w:hAnsi="Times New Roman"/>
                      <w:color w:val="auto"/>
                      <w:szCs w:val="21"/>
                    </w:rPr>
                  </w:pPr>
                  <w:r>
                    <w:rPr>
                      <w:rFonts w:ascii="Times New Roman" w:hAnsi="Times New Roman"/>
                      <w:color w:val="auto"/>
                      <w:szCs w:val="21"/>
                    </w:rPr>
                    <w:t>9</w:t>
                  </w:r>
                  <w:r>
                    <w:rPr>
                      <w:rFonts w:hint="eastAsia" w:ascii="Times New Roman" w:hAnsi="Times New Roman"/>
                      <w:color w:val="auto"/>
                      <w:szCs w:val="21"/>
                    </w:rPr>
                    <w:t>5</w:t>
                  </w:r>
                  <w:r>
                    <w:rPr>
                      <w:rFonts w:ascii="Times New Roman" w:hAnsi="Times New Roman"/>
                      <w:color w:val="auto"/>
                      <w:szCs w:val="21"/>
                    </w:rPr>
                    <w:t>%</w:t>
                  </w:r>
                </w:p>
              </w:tc>
            </w:tr>
          </w:tbl>
          <w:p w14:paraId="52629463">
            <w:pPr>
              <w:jc w:val="both"/>
              <w:rPr>
                <w:b/>
                <w:bCs/>
                <w:color w:val="auto"/>
              </w:rPr>
            </w:pPr>
          </w:p>
          <w:p w14:paraId="2DE85BEA">
            <w:pPr>
              <w:jc w:val="center"/>
              <w:rPr>
                <w:rFonts w:ascii="宋体" w:hAnsi="宋体" w:cs="宋体"/>
                <w:b/>
                <w:bCs/>
                <w:color w:val="auto"/>
              </w:rPr>
            </w:pPr>
            <w:r>
              <w:rPr>
                <w:b/>
                <w:bCs/>
                <w:color w:val="auto"/>
              </w:rPr>
              <w:t>表 4-</w:t>
            </w:r>
            <w:r>
              <w:rPr>
                <w:rFonts w:hint="eastAsia"/>
                <w:b/>
                <w:bCs/>
                <w:color w:val="auto"/>
              </w:rPr>
              <w:t>4</w:t>
            </w:r>
            <w:r>
              <w:rPr>
                <w:b/>
                <w:bCs/>
                <w:color w:val="auto"/>
              </w:rPr>
              <w:t xml:space="preserve">  </w:t>
            </w:r>
            <w:r>
              <w:rPr>
                <w:rFonts w:hint="eastAsia"/>
                <w:b/>
                <w:bCs/>
                <w:color w:val="auto"/>
              </w:rPr>
              <w:t>焊接</w:t>
            </w:r>
            <w:r>
              <w:rPr>
                <w:rFonts w:hint="eastAsia" w:ascii="宋体" w:hAnsi="宋体" w:cs="宋体"/>
                <w:b/>
                <w:bCs/>
                <w:color w:val="auto"/>
              </w:rPr>
              <w:t>废气污染物的产排情况</w:t>
            </w:r>
          </w:p>
          <w:tbl>
            <w:tblPr>
              <w:tblStyle w:val="24"/>
              <w:tblW w:w="8019" w:type="dxa"/>
              <w:tblInd w:w="0" w:type="dxa"/>
              <w:tblLayout w:type="autofit"/>
              <w:tblCellMar>
                <w:top w:w="15" w:type="dxa"/>
                <w:left w:w="15" w:type="dxa"/>
                <w:bottom w:w="15" w:type="dxa"/>
                <w:right w:w="15" w:type="dxa"/>
              </w:tblCellMar>
            </w:tblPr>
            <w:tblGrid>
              <w:gridCol w:w="891"/>
              <w:gridCol w:w="891"/>
              <w:gridCol w:w="891"/>
              <w:gridCol w:w="891"/>
              <w:gridCol w:w="891"/>
              <w:gridCol w:w="891"/>
              <w:gridCol w:w="891"/>
              <w:gridCol w:w="891"/>
              <w:gridCol w:w="891"/>
            </w:tblGrid>
            <w:tr w14:paraId="5A6AE642">
              <w:trPr>
                <w:trHeight w:val="510" w:hRule="atLeast"/>
              </w:trPr>
              <w:tc>
                <w:tcPr>
                  <w:tcW w:w="891" w:type="dxa"/>
                  <w:tcBorders>
                    <w:top w:val="single" w:color="000000" w:sz="4" w:space="0"/>
                    <w:left w:val="single" w:color="000000" w:sz="4" w:space="0"/>
                    <w:bottom w:val="single" w:color="000000" w:sz="4" w:space="0"/>
                    <w:right w:val="single" w:color="000000" w:sz="4" w:space="0"/>
                  </w:tcBorders>
                  <w:noWrap/>
                  <w:vAlign w:val="center"/>
                </w:tcPr>
                <w:p w14:paraId="7970EF00">
                  <w:pPr>
                    <w:widowControl/>
                    <w:jc w:val="center"/>
                    <w:textAlignment w:val="bottom"/>
                    <w:rPr>
                      <w:color w:val="auto"/>
                      <w:kern w:val="0"/>
                      <w:szCs w:val="21"/>
                      <w:lang w:bidi="ar"/>
                    </w:rPr>
                  </w:pPr>
                  <w:r>
                    <w:rPr>
                      <w:color w:val="auto"/>
                      <w:kern w:val="0"/>
                      <w:szCs w:val="21"/>
                      <w:lang w:bidi="ar"/>
                    </w:rPr>
                    <w:t>污染物</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018CBF7C">
                  <w:pPr>
                    <w:widowControl/>
                    <w:jc w:val="center"/>
                    <w:textAlignment w:val="bottom"/>
                    <w:rPr>
                      <w:rFonts w:hint="eastAsia" w:eastAsia="宋体"/>
                      <w:color w:val="auto"/>
                      <w:kern w:val="0"/>
                      <w:szCs w:val="21"/>
                      <w:lang w:eastAsia="zh-CN" w:bidi="ar"/>
                    </w:rPr>
                  </w:pPr>
                  <w:r>
                    <w:rPr>
                      <w:color w:val="auto"/>
                      <w:kern w:val="0"/>
                      <w:szCs w:val="21"/>
                      <w:lang w:bidi="ar"/>
                    </w:rPr>
                    <w:t>产生量</w:t>
                  </w:r>
                </w:p>
                <w:p w14:paraId="411128C6">
                  <w:pPr>
                    <w:widowControl/>
                    <w:jc w:val="center"/>
                    <w:textAlignment w:val="bottom"/>
                    <w:rPr>
                      <w:color w:val="auto"/>
                      <w:kern w:val="0"/>
                      <w:szCs w:val="21"/>
                      <w:lang w:bidi="ar"/>
                    </w:rPr>
                  </w:pPr>
                  <w:r>
                    <w:rPr>
                      <w:color w:val="auto"/>
                      <w:kern w:val="0"/>
                      <w:szCs w:val="21"/>
                      <w:lang w:bidi="ar"/>
                    </w:rPr>
                    <w:t>(kg/a)</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320A66C3">
                  <w:pPr>
                    <w:widowControl/>
                    <w:jc w:val="center"/>
                    <w:textAlignment w:val="bottom"/>
                    <w:rPr>
                      <w:rFonts w:hint="eastAsia" w:eastAsia="宋体"/>
                      <w:color w:val="auto"/>
                      <w:kern w:val="0"/>
                      <w:szCs w:val="21"/>
                      <w:lang w:eastAsia="zh-CN" w:bidi="ar"/>
                    </w:rPr>
                  </w:pPr>
                  <w:r>
                    <w:rPr>
                      <w:color w:val="auto"/>
                      <w:kern w:val="0"/>
                      <w:szCs w:val="21"/>
                      <w:lang w:bidi="ar"/>
                    </w:rPr>
                    <w:t>产生浓度</w:t>
                  </w:r>
                </w:p>
                <w:p w14:paraId="40781034">
                  <w:pPr>
                    <w:widowControl/>
                    <w:jc w:val="center"/>
                    <w:textAlignment w:val="bottom"/>
                    <w:rPr>
                      <w:color w:val="auto"/>
                      <w:kern w:val="0"/>
                      <w:szCs w:val="21"/>
                      <w:lang w:bidi="ar"/>
                    </w:rPr>
                  </w:pPr>
                  <w:r>
                    <w:rPr>
                      <w:color w:val="auto"/>
                      <w:kern w:val="0"/>
                      <w:szCs w:val="21"/>
                      <w:lang w:bidi="ar"/>
                    </w:rPr>
                    <w:t>( mg/m</w:t>
                  </w:r>
                  <w:r>
                    <w:rPr>
                      <w:color w:val="auto"/>
                      <w:kern w:val="0"/>
                      <w:szCs w:val="21"/>
                      <w:vertAlign w:val="superscript"/>
                      <w:lang w:bidi="ar"/>
                    </w:rPr>
                    <w:t>3</w:t>
                  </w:r>
                  <w:r>
                    <w:rPr>
                      <w:color w:val="auto"/>
                      <w:kern w:val="0"/>
                      <w:szCs w:val="21"/>
                      <w:lang w:bidi="ar"/>
                    </w:rPr>
                    <w:t>)</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5BF6CACF">
                  <w:pPr>
                    <w:widowControl/>
                    <w:jc w:val="center"/>
                    <w:textAlignment w:val="bottom"/>
                    <w:rPr>
                      <w:rFonts w:hint="eastAsia" w:eastAsia="宋体"/>
                      <w:color w:val="auto"/>
                      <w:kern w:val="0"/>
                      <w:szCs w:val="21"/>
                      <w:lang w:eastAsia="zh-CN" w:bidi="ar"/>
                    </w:rPr>
                  </w:pPr>
                  <w:r>
                    <w:rPr>
                      <w:color w:val="auto"/>
                      <w:kern w:val="0"/>
                      <w:szCs w:val="21"/>
                      <w:lang w:bidi="ar"/>
                    </w:rPr>
                    <w:t>产生速率</w:t>
                  </w:r>
                </w:p>
                <w:p w14:paraId="66CC8EE4">
                  <w:pPr>
                    <w:widowControl/>
                    <w:jc w:val="center"/>
                    <w:textAlignment w:val="bottom"/>
                    <w:rPr>
                      <w:color w:val="auto"/>
                      <w:kern w:val="0"/>
                      <w:szCs w:val="21"/>
                      <w:lang w:bidi="ar"/>
                    </w:rPr>
                  </w:pPr>
                  <w:r>
                    <w:rPr>
                      <w:color w:val="auto"/>
                      <w:kern w:val="0"/>
                      <w:szCs w:val="21"/>
                      <w:lang w:bidi="ar"/>
                    </w:rPr>
                    <w:t>(kg/h)</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2C9A4073">
                  <w:pPr>
                    <w:widowControl/>
                    <w:jc w:val="center"/>
                    <w:textAlignment w:val="bottom"/>
                    <w:rPr>
                      <w:rFonts w:hint="eastAsia" w:eastAsia="宋体"/>
                      <w:color w:val="auto"/>
                      <w:kern w:val="0"/>
                      <w:szCs w:val="21"/>
                      <w:lang w:eastAsia="zh-CN" w:bidi="ar"/>
                    </w:rPr>
                  </w:pPr>
                  <w:r>
                    <w:rPr>
                      <w:color w:val="auto"/>
                      <w:kern w:val="0"/>
                      <w:szCs w:val="21"/>
                      <w:lang w:bidi="ar"/>
                    </w:rPr>
                    <w:t>排放量</w:t>
                  </w:r>
                </w:p>
                <w:p w14:paraId="0FBA2E06">
                  <w:pPr>
                    <w:widowControl/>
                    <w:jc w:val="center"/>
                    <w:textAlignment w:val="bottom"/>
                    <w:rPr>
                      <w:color w:val="auto"/>
                      <w:kern w:val="0"/>
                      <w:szCs w:val="21"/>
                      <w:lang w:bidi="ar"/>
                    </w:rPr>
                  </w:pPr>
                  <w:r>
                    <w:rPr>
                      <w:color w:val="auto"/>
                      <w:kern w:val="0"/>
                      <w:szCs w:val="21"/>
                      <w:lang w:bidi="ar"/>
                    </w:rPr>
                    <w:t>(kg/a)</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5D039435">
                  <w:pPr>
                    <w:widowControl/>
                    <w:jc w:val="center"/>
                    <w:textAlignment w:val="bottom"/>
                    <w:rPr>
                      <w:rFonts w:hint="eastAsia" w:eastAsia="宋体"/>
                      <w:color w:val="auto"/>
                      <w:kern w:val="0"/>
                      <w:szCs w:val="21"/>
                      <w:lang w:eastAsia="zh-CN" w:bidi="ar"/>
                    </w:rPr>
                  </w:pPr>
                  <w:r>
                    <w:rPr>
                      <w:color w:val="auto"/>
                      <w:kern w:val="0"/>
                      <w:szCs w:val="21"/>
                      <w:lang w:bidi="ar"/>
                    </w:rPr>
                    <w:t>排放浓度</w:t>
                  </w:r>
                </w:p>
                <w:p w14:paraId="6A2566AA">
                  <w:pPr>
                    <w:widowControl/>
                    <w:jc w:val="center"/>
                    <w:textAlignment w:val="bottom"/>
                    <w:rPr>
                      <w:color w:val="auto"/>
                      <w:kern w:val="0"/>
                      <w:szCs w:val="21"/>
                      <w:lang w:bidi="ar"/>
                    </w:rPr>
                  </w:pPr>
                  <w:r>
                    <w:rPr>
                      <w:color w:val="auto"/>
                      <w:kern w:val="0"/>
                      <w:szCs w:val="21"/>
                      <w:lang w:bidi="ar"/>
                    </w:rPr>
                    <w:t>(mg/m</w:t>
                  </w:r>
                  <w:r>
                    <w:rPr>
                      <w:color w:val="auto"/>
                      <w:kern w:val="0"/>
                      <w:szCs w:val="21"/>
                      <w:vertAlign w:val="superscript"/>
                      <w:lang w:bidi="ar"/>
                    </w:rPr>
                    <w:t>3</w:t>
                  </w:r>
                  <w:r>
                    <w:rPr>
                      <w:color w:val="auto"/>
                      <w:kern w:val="0"/>
                      <w:szCs w:val="21"/>
                      <w:lang w:bidi="ar"/>
                    </w:rPr>
                    <w:t>)</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66728D23">
                  <w:pPr>
                    <w:widowControl/>
                    <w:jc w:val="center"/>
                    <w:textAlignment w:val="bottom"/>
                    <w:rPr>
                      <w:rFonts w:hint="eastAsia" w:eastAsia="宋体"/>
                      <w:color w:val="auto"/>
                      <w:kern w:val="0"/>
                      <w:szCs w:val="21"/>
                      <w:lang w:eastAsia="zh-CN" w:bidi="ar"/>
                    </w:rPr>
                  </w:pPr>
                  <w:r>
                    <w:rPr>
                      <w:color w:val="auto"/>
                      <w:kern w:val="0"/>
                      <w:szCs w:val="21"/>
                      <w:lang w:bidi="ar"/>
                    </w:rPr>
                    <w:t>排放速率</w:t>
                  </w:r>
                </w:p>
                <w:p w14:paraId="7D39E68C">
                  <w:pPr>
                    <w:widowControl/>
                    <w:jc w:val="center"/>
                    <w:textAlignment w:val="bottom"/>
                    <w:rPr>
                      <w:color w:val="auto"/>
                      <w:kern w:val="0"/>
                      <w:szCs w:val="21"/>
                      <w:lang w:bidi="ar"/>
                    </w:rPr>
                  </w:pPr>
                  <w:r>
                    <w:rPr>
                      <w:color w:val="auto"/>
                      <w:kern w:val="0"/>
                      <w:szCs w:val="21"/>
                      <w:lang w:bidi="ar"/>
                    </w:rPr>
                    <w:t>(kg/h)</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174EE526">
                  <w:pPr>
                    <w:widowControl/>
                    <w:jc w:val="center"/>
                    <w:textAlignment w:val="bottom"/>
                    <w:rPr>
                      <w:rFonts w:hint="eastAsia" w:eastAsia="宋体"/>
                      <w:color w:val="auto"/>
                      <w:kern w:val="0"/>
                      <w:szCs w:val="21"/>
                      <w:lang w:eastAsia="zh-CN" w:bidi="ar"/>
                    </w:rPr>
                  </w:pPr>
                  <w:r>
                    <w:rPr>
                      <w:color w:val="auto"/>
                      <w:kern w:val="0"/>
                      <w:szCs w:val="21"/>
                      <w:lang w:bidi="ar"/>
                    </w:rPr>
                    <w:t>排放标准</w:t>
                  </w:r>
                </w:p>
                <w:p w14:paraId="343914F4">
                  <w:pPr>
                    <w:widowControl/>
                    <w:jc w:val="center"/>
                    <w:textAlignment w:val="bottom"/>
                    <w:rPr>
                      <w:color w:val="auto"/>
                      <w:kern w:val="0"/>
                      <w:szCs w:val="21"/>
                      <w:lang w:bidi="ar"/>
                    </w:rPr>
                  </w:pPr>
                  <w:r>
                    <w:rPr>
                      <w:color w:val="auto"/>
                      <w:kern w:val="0"/>
                      <w:szCs w:val="21"/>
                      <w:lang w:bidi="ar"/>
                    </w:rPr>
                    <w:t>(mg/m</w:t>
                  </w:r>
                  <w:r>
                    <w:rPr>
                      <w:color w:val="auto"/>
                      <w:kern w:val="0"/>
                      <w:szCs w:val="21"/>
                      <w:vertAlign w:val="superscript"/>
                      <w:lang w:bidi="ar"/>
                    </w:rPr>
                    <w:t>3</w:t>
                  </w:r>
                  <w:r>
                    <w:rPr>
                      <w:color w:val="auto"/>
                      <w:kern w:val="0"/>
                      <w:szCs w:val="21"/>
                      <w:lang w:bidi="ar"/>
                    </w:rPr>
                    <w:t>)</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44907552">
                  <w:pPr>
                    <w:widowControl/>
                    <w:jc w:val="center"/>
                    <w:textAlignment w:val="bottom"/>
                    <w:rPr>
                      <w:color w:val="auto"/>
                      <w:kern w:val="0"/>
                      <w:szCs w:val="21"/>
                      <w:lang w:bidi="ar"/>
                    </w:rPr>
                  </w:pPr>
                  <w:r>
                    <w:rPr>
                      <w:color w:val="auto"/>
                      <w:kern w:val="0"/>
                      <w:szCs w:val="21"/>
                      <w:lang w:bidi="ar"/>
                    </w:rPr>
                    <w:t>达标情况</w:t>
                  </w:r>
                </w:p>
              </w:tc>
            </w:tr>
            <w:tr w14:paraId="65486720">
              <w:tblPrEx>
                <w:tblCellMar>
                  <w:top w:w="15" w:type="dxa"/>
                  <w:left w:w="15" w:type="dxa"/>
                  <w:bottom w:w="15" w:type="dxa"/>
                  <w:right w:w="15" w:type="dxa"/>
                </w:tblCellMar>
              </w:tblPrEx>
              <w:trPr>
                <w:trHeight w:val="196" w:hRule="atLeast"/>
              </w:trPr>
              <w:tc>
                <w:tcPr>
                  <w:tcW w:w="8019" w:type="dxa"/>
                  <w:gridSpan w:val="9"/>
                  <w:tcBorders>
                    <w:top w:val="single" w:color="000000" w:sz="4" w:space="0"/>
                    <w:left w:val="single" w:color="000000" w:sz="4" w:space="0"/>
                    <w:bottom w:val="single" w:color="000000" w:sz="4" w:space="0"/>
                    <w:right w:val="single" w:color="000000" w:sz="4" w:space="0"/>
                  </w:tcBorders>
                  <w:noWrap/>
                  <w:vAlign w:val="center"/>
                </w:tcPr>
                <w:p w14:paraId="0D22CF60">
                  <w:pPr>
                    <w:widowControl/>
                    <w:jc w:val="center"/>
                    <w:textAlignment w:val="bottom"/>
                    <w:rPr>
                      <w:color w:val="auto"/>
                      <w:kern w:val="0"/>
                      <w:szCs w:val="21"/>
                      <w:lang w:bidi="ar"/>
                    </w:rPr>
                  </w:pPr>
                  <w:r>
                    <w:rPr>
                      <w:color w:val="auto"/>
                      <w:kern w:val="0"/>
                      <w:szCs w:val="21"/>
                      <w:lang w:bidi="ar"/>
                    </w:rPr>
                    <w:t>烟气量：</w:t>
                  </w:r>
                  <w:r>
                    <w:rPr>
                      <w:rFonts w:hint="eastAsia"/>
                      <w:color w:val="auto"/>
                      <w:kern w:val="0"/>
                      <w:szCs w:val="21"/>
                      <w:lang w:bidi="ar"/>
                    </w:rPr>
                    <w:t>7.2</w:t>
                  </w:r>
                  <w:r>
                    <w:rPr>
                      <w:rFonts w:ascii="Arial" w:hAnsi="Arial" w:cs="Arial"/>
                      <w:color w:val="auto"/>
                      <w:kern w:val="0"/>
                      <w:szCs w:val="21"/>
                      <w:lang w:bidi="ar"/>
                    </w:rPr>
                    <w:t>×</w:t>
                  </w:r>
                  <w:r>
                    <w:rPr>
                      <w:rFonts w:hint="eastAsia"/>
                      <w:color w:val="auto"/>
                      <w:kern w:val="0"/>
                      <w:szCs w:val="21"/>
                      <w:lang w:bidi="ar"/>
                    </w:rPr>
                    <w:t>10</w:t>
                  </w:r>
                  <w:r>
                    <w:rPr>
                      <w:rFonts w:hint="eastAsia"/>
                      <w:color w:val="auto"/>
                      <w:kern w:val="0"/>
                      <w:szCs w:val="21"/>
                      <w:vertAlign w:val="superscript"/>
                      <w:lang w:bidi="ar"/>
                    </w:rPr>
                    <w:t>8</w:t>
                  </w:r>
                  <w:r>
                    <w:rPr>
                      <w:color w:val="auto"/>
                      <w:kern w:val="0"/>
                      <w:szCs w:val="21"/>
                      <w:lang w:bidi="ar"/>
                    </w:rPr>
                    <w:t>Nm</w:t>
                  </w:r>
                  <w:r>
                    <w:rPr>
                      <w:color w:val="auto"/>
                      <w:kern w:val="0"/>
                      <w:szCs w:val="21"/>
                      <w:vertAlign w:val="superscript"/>
                      <w:lang w:bidi="ar"/>
                    </w:rPr>
                    <w:t>3</w:t>
                  </w:r>
                  <w:r>
                    <w:rPr>
                      <w:color w:val="auto"/>
                      <w:kern w:val="0"/>
                      <w:szCs w:val="21"/>
                      <w:lang w:bidi="ar"/>
                    </w:rPr>
                    <w:t>/a</w:t>
                  </w:r>
                </w:p>
              </w:tc>
            </w:tr>
            <w:tr w14:paraId="56265B2C">
              <w:tblPrEx>
                <w:tblCellMar>
                  <w:top w:w="15" w:type="dxa"/>
                  <w:left w:w="15" w:type="dxa"/>
                  <w:bottom w:w="15" w:type="dxa"/>
                  <w:right w:w="15" w:type="dxa"/>
                </w:tblCellMar>
              </w:tblPrEx>
              <w:trPr>
                <w:trHeight w:val="90" w:hRule="atLeast"/>
              </w:trPr>
              <w:tc>
                <w:tcPr>
                  <w:tcW w:w="891" w:type="dxa"/>
                  <w:tcBorders>
                    <w:top w:val="single" w:color="000000" w:sz="4" w:space="0"/>
                    <w:left w:val="single" w:color="000000" w:sz="4" w:space="0"/>
                    <w:bottom w:val="single" w:color="000000" w:sz="4" w:space="0"/>
                    <w:right w:val="single" w:color="000000" w:sz="4" w:space="0"/>
                  </w:tcBorders>
                  <w:noWrap/>
                  <w:vAlign w:val="center"/>
                </w:tcPr>
                <w:p w14:paraId="1B5E49CE">
                  <w:pPr>
                    <w:widowControl/>
                    <w:jc w:val="center"/>
                    <w:textAlignment w:val="bottom"/>
                    <w:rPr>
                      <w:color w:val="auto"/>
                      <w:kern w:val="0"/>
                      <w:szCs w:val="21"/>
                      <w:lang w:bidi="ar"/>
                    </w:rPr>
                  </w:pPr>
                  <w:r>
                    <w:rPr>
                      <w:color w:val="auto"/>
                      <w:kern w:val="0"/>
                      <w:szCs w:val="21"/>
                      <w:lang w:bidi="ar"/>
                    </w:rPr>
                    <w:t>颗粒物</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2ACB585D">
                  <w:pPr>
                    <w:widowControl/>
                    <w:jc w:val="center"/>
                    <w:textAlignment w:val="bottom"/>
                    <w:rPr>
                      <w:color w:val="auto"/>
                      <w:kern w:val="0"/>
                      <w:szCs w:val="21"/>
                      <w:lang w:bidi="ar"/>
                    </w:rPr>
                  </w:pPr>
                  <w:r>
                    <w:rPr>
                      <w:rFonts w:hint="eastAsia"/>
                      <w:color w:val="auto"/>
                      <w:kern w:val="0"/>
                      <w:szCs w:val="21"/>
                      <w:lang w:bidi="ar"/>
                    </w:rPr>
                    <w:t>6868</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3586D127">
                  <w:pPr>
                    <w:widowControl/>
                    <w:jc w:val="center"/>
                    <w:textAlignment w:val="bottom"/>
                    <w:rPr>
                      <w:rFonts w:hint="default" w:eastAsia="宋体"/>
                      <w:color w:val="auto"/>
                      <w:kern w:val="0"/>
                      <w:szCs w:val="21"/>
                      <w:lang w:val="en-US" w:eastAsia="zh-CN" w:bidi="ar"/>
                    </w:rPr>
                  </w:pPr>
                  <w:r>
                    <w:rPr>
                      <w:rFonts w:hint="eastAsia"/>
                      <w:color w:val="auto"/>
                      <w:kern w:val="0"/>
                      <w:szCs w:val="21"/>
                      <w:lang w:val="en-US" w:eastAsia="zh-CN" w:bidi="ar"/>
                    </w:rPr>
                    <w:t>15.61</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53D521EE">
                  <w:pPr>
                    <w:widowControl/>
                    <w:jc w:val="center"/>
                    <w:textAlignment w:val="bottom"/>
                    <w:rPr>
                      <w:rFonts w:hint="default" w:eastAsia="宋体"/>
                      <w:color w:val="auto"/>
                      <w:kern w:val="0"/>
                      <w:szCs w:val="21"/>
                      <w:lang w:val="en-US" w:eastAsia="zh-CN" w:bidi="ar"/>
                    </w:rPr>
                  </w:pPr>
                  <w:r>
                    <w:rPr>
                      <w:rFonts w:hint="eastAsia"/>
                      <w:color w:val="auto"/>
                      <w:kern w:val="0"/>
                      <w:szCs w:val="21"/>
                      <w:lang w:val="en-US" w:eastAsia="zh-CN" w:bidi="ar"/>
                    </w:rPr>
                    <w:t>3.43</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093564EA">
                  <w:pPr>
                    <w:widowControl/>
                    <w:jc w:val="center"/>
                    <w:textAlignment w:val="bottom"/>
                    <w:rPr>
                      <w:color w:val="auto"/>
                      <w:kern w:val="0"/>
                      <w:szCs w:val="21"/>
                      <w:lang w:bidi="ar"/>
                    </w:rPr>
                  </w:pPr>
                  <w:r>
                    <w:rPr>
                      <w:rFonts w:hint="eastAsia"/>
                      <w:color w:val="auto"/>
                      <w:kern w:val="0"/>
                      <w:szCs w:val="21"/>
                      <w:lang w:bidi="ar"/>
                    </w:rPr>
                    <w:t>309.06</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20ED2360">
                  <w:pPr>
                    <w:widowControl/>
                    <w:jc w:val="center"/>
                    <w:textAlignment w:val="bottom"/>
                    <w:rPr>
                      <w:rFonts w:hint="default" w:eastAsia="宋体"/>
                      <w:color w:val="auto"/>
                      <w:kern w:val="0"/>
                      <w:szCs w:val="21"/>
                      <w:lang w:val="en-US" w:eastAsia="zh-CN" w:bidi="ar"/>
                    </w:rPr>
                  </w:pPr>
                  <w:r>
                    <w:rPr>
                      <w:rFonts w:hint="eastAsia"/>
                      <w:color w:val="auto"/>
                      <w:kern w:val="0"/>
                      <w:szCs w:val="21"/>
                      <w:lang w:bidi="ar"/>
                    </w:rPr>
                    <w:t>0.</w:t>
                  </w:r>
                  <w:r>
                    <w:rPr>
                      <w:rFonts w:hint="eastAsia"/>
                      <w:color w:val="auto"/>
                      <w:kern w:val="0"/>
                      <w:szCs w:val="21"/>
                      <w:lang w:val="en-US" w:eastAsia="zh-CN" w:bidi="ar"/>
                    </w:rPr>
                    <w:t>70</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1E4255AA">
                  <w:pPr>
                    <w:widowControl/>
                    <w:jc w:val="center"/>
                    <w:textAlignment w:val="bottom"/>
                    <w:rPr>
                      <w:rFonts w:hint="default" w:eastAsia="宋体"/>
                      <w:color w:val="auto"/>
                      <w:kern w:val="0"/>
                      <w:szCs w:val="21"/>
                      <w:lang w:val="en-US" w:eastAsia="zh-CN" w:bidi="ar"/>
                    </w:rPr>
                  </w:pPr>
                  <w:r>
                    <w:rPr>
                      <w:rFonts w:hint="eastAsia"/>
                      <w:color w:val="auto"/>
                      <w:kern w:val="0"/>
                      <w:szCs w:val="21"/>
                      <w:lang w:bidi="ar"/>
                    </w:rPr>
                    <w:t>0.</w:t>
                  </w:r>
                  <w:r>
                    <w:rPr>
                      <w:rFonts w:hint="eastAsia"/>
                      <w:color w:val="auto"/>
                      <w:kern w:val="0"/>
                      <w:szCs w:val="21"/>
                      <w:lang w:val="en-US" w:eastAsia="zh-CN" w:bidi="ar"/>
                    </w:rPr>
                    <w:t>15</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06B2F6DE">
                  <w:pPr>
                    <w:widowControl/>
                    <w:jc w:val="center"/>
                    <w:textAlignment w:val="bottom"/>
                    <w:rPr>
                      <w:color w:val="auto"/>
                      <w:kern w:val="0"/>
                      <w:szCs w:val="21"/>
                      <w:lang w:bidi="ar"/>
                    </w:rPr>
                  </w:pPr>
                  <w:r>
                    <w:rPr>
                      <w:rFonts w:hint="eastAsia"/>
                      <w:color w:val="auto"/>
                      <w:kern w:val="0"/>
                      <w:szCs w:val="21"/>
                      <w:lang w:bidi="ar"/>
                    </w:rPr>
                    <w:t>30</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32B3796C">
                  <w:pPr>
                    <w:widowControl/>
                    <w:jc w:val="center"/>
                    <w:textAlignment w:val="bottom"/>
                    <w:rPr>
                      <w:color w:val="auto"/>
                      <w:kern w:val="0"/>
                      <w:szCs w:val="21"/>
                      <w:lang w:bidi="ar"/>
                    </w:rPr>
                  </w:pPr>
                  <w:r>
                    <w:rPr>
                      <w:color w:val="auto"/>
                      <w:kern w:val="0"/>
                      <w:szCs w:val="21"/>
                      <w:lang w:bidi="ar"/>
                    </w:rPr>
                    <w:t>达标</w:t>
                  </w:r>
                </w:p>
              </w:tc>
            </w:tr>
          </w:tbl>
          <w:p w14:paraId="53A36DD0">
            <w:pPr>
              <w:spacing w:line="360" w:lineRule="auto"/>
              <w:rPr>
                <w:bCs/>
                <w:color w:val="auto"/>
                <w:sz w:val="24"/>
              </w:rPr>
            </w:pPr>
            <w:r>
              <w:rPr>
                <w:rFonts w:hint="eastAsia"/>
                <w:bCs/>
                <w:color w:val="auto"/>
                <w:sz w:val="24"/>
              </w:rPr>
              <w:t xml:space="preserve">  综上，各工段废气经过袋式除尘器处理后均达标排放。</w:t>
            </w:r>
          </w:p>
          <w:p w14:paraId="70DAF796">
            <w:pPr>
              <w:spacing w:line="360" w:lineRule="auto"/>
              <w:ind w:firstLine="480" w:firstLineChars="200"/>
              <w:rPr>
                <w:color w:val="auto"/>
                <w:kern w:val="0"/>
                <w:sz w:val="24"/>
              </w:rPr>
            </w:pPr>
            <w:r>
              <w:rPr>
                <w:bCs/>
                <w:color w:val="auto"/>
                <w:sz w:val="24"/>
              </w:rPr>
              <w:t>1.</w:t>
            </w:r>
            <w:r>
              <w:rPr>
                <w:rFonts w:hint="eastAsia"/>
                <w:bCs/>
                <w:color w:val="auto"/>
                <w:sz w:val="24"/>
              </w:rPr>
              <w:t>2</w:t>
            </w:r>
            <w:r>
              <w:rPr>
                <w:bCs/>
                <w:color w:val="auto"/>
                <w:sz w:val="24"/>
              </w:rPr>
              <w:t xml:space="preserve"> 无组织废气</w:t>
            </w:r>
          </w:p>
          <w:p w14:paraId="44F2A386">
            <w:pPr>
              <w:widowControl/>
              <w:tabs>
                <w:tab w:val="left" w:pos="383"/>
              </w:tabs>
              <w:adjustRightInd w:val="0"/>
              <w:snapToGrid w:val="0"/>
              <w:spacing w:line="360" w:lineRule="auto"/>
              <w:ind w:firstLine="480" w:firstLineChars="200"/>
              <w:rPr>
                <w:color w:val="auto"/>
                <w:sz w:val="24"/>
              </w:rPr>
            </w:pPr>
            <w:r>
              <w:rPr>
                <w:rFonts w:hint="eastAsia"/>
                <w:bCs/>
                <w:color w:val="auto"/>
                <w:sz w:val="24"/>
              </w:rPr>
              <w:t>《</w:t>
            </w:r>
            <w:r>
              <w:rPr>
                <w:bCs/>
                <w:color w:val="auto"/>
                <w:sz w:val="24"/>
              </w:rPr>
              <w:t>铸造工业大气污染物排放标准</w:t>
            </w:r>
            <w:r>
              <w:rPr>
                <w:rFonts w:hint="eastAsia"/>
                <w:bCs/>
                <w:color w:val="auto"/>
                <w:sz w:val="24"/>
              </w:rPr>
              <w:t>》（GB39726-2020）中颗粒物无组织排放控制措</w:t>
            </w:r>
            <w:r>
              <w:rPr>
                <w:rFonts w:ascii="宋体" w:hAnsi="宋体" w:cs="宋体"/>
                <w:color w:val="auto"/>
                <w:sz w:val="24"/>
              </w:rPr>
              <w:t>施</w:t>
            </w:r>
            <w:r>
              <w:rPr>
                <w:rFonts w:hint="eastAsia" w:ascii="宋体" w:hAnsi="宋体" w:cs="宋体"/>
                <w:color w:val="auto"/>
                <w:sz w:val="24"/>
              </w:rPr>
              <w:t>要求：</w:t>
            </w:r>
            <w:r>
              <w:rPr>
                <w:rFonts w:ascii="宋体" w:hAnsi="宋体" w:cs="宋体"/>
                <w:color w:val="auto"/>
                <w:sz w:val="24"/>
              </w:rPr>
              <w:t>5.2.3.2 孕育、变质、炉外精炼等金属液处理工序产尘点应安装集气罩，并配备除尘设施</w:t>
            </w:r>
            <w:r>
              <w:rPr>
                <w:rFonts w:hint="eastAsia" w:ascii="宋体" w:hAnsi="宋体" w:cs="宋体"/>
                <w:color w:val="auto"/>
                <w:sz w:val="24"/>
              </w:rPr>
              <w:t>。</w:t>
            </w:r>
            <w:r>
              <w:rPr>
                <w:rFonts w:ascii="宋体" w:hAnsi="宋体" w:cs="宋体"/>
                <w:color w:val="auto"/>
                <w:sz w:val="24"/>
              </w:rPr>
              <w:t>5.2.3.3 造型、制芯、浇注工序产尘点应安装集气罩并配备除尘设施，或采取喷淋（雾）等抑尘措施。 5.2.3.5 清理（去除浇冒口、铲飞边毛刺等）和浇包、渣包的维修工序应在封闭空间内操作，废气收集至除尘设施；未在封闭空间内操作的，应采用固定式、移动式集气设备并配备除尘设施，或采取喷淋</w:t>
            </w:r>
            <w:r>
              <w:rPr>
                <w:rFonts w:hint="eastAsia" w:ascii="宋体" w:hAnsi="宋体" w:cs="宋体"/>
                <w:color w:val="auto"/>
                <w:sz w:val="24"/>
              </w:rPr>
              <w:t>（雾）</w:t>
            </w:r>
            <w:r>
              <w:rPr>
                <w:rFonts w:ascii="宋体" w:hAnsi="宋体" w:cs="宋体"/>
                <w:color w:val="auto"/>
                <w:sz w:val="24"/>
              </w:rPr>
              <w:t>等抑尘措施。颗粒物无组织排放特别控制要求</w:t>
            </w:r>
            <w:r>
              <w:rPr>
                <w:rFonts w:hint="eastAsia" w:ascii="宋体" w:hAnsi="宋体" w:cs="宋体"/>
                <w:color w:val="auto"/>
                <w:sz w:val="24"/>
              </w:rPr>
              <w:t>：</w:t>
            </w:r>
            <w:r>
              <w:rPr>
                <w:rFonts w:ascii="宋体" w:hAnsi="宋体" w:cs="宋体"/>
                <w:color w:val="auto"/>
                <w:sz w:val="24"/>
              </w:rPr>
              <w:t xml:space="preserve"> 5.2.4.1 生铁、废钢、焦炭和铁合金等粒状、块状散装物料应储存于封闭储库、料仓中，或储存于半封闭料场（堆棚）中。半封闭料场（堆棚）应至少两面有围墙（围挡）及屋顶，并对物料采取覆盖、喷淋（雾）等抑尘措施。5.2.4.3 废钢、回炉料等原料加工工序应设置集气罩，并配备除尘设施。 5.2.4.4 清理（去除浇冒口、铲飞边毛刺等）和浇包、渣包的维修工序在封闭空间内操作，废气收集 至除尘设施；未在封闭空间内操作的，应采用固定式、移动式集气设备并配备除尘设施</w:t>
            </w:r>
            <w:r>
              <w:rPr>
                <w:rFonts w:hint="eastAsia" w:ascii="宋体" w:hAnsi="宋体" w:cs="宋体"/>
                <w:color w:val="auto"/>
                <w:sz w:val="24"/>
              </w:rPr>
              <w:t>。此项目工艺过程的无组织废气有熔炼颗粒物、</w:t>
            </w:r>
            <w:r>
              <w:rPr>
                <w:rFonts w:hint="eastAsia"/>
                <w:bCs/>
                <w:color w:val="auto"/>
                <w:sz w:val="24"/>
              </w:rPr>
              <w:t>浇筑颗粒物及</w:t>
            </w:r>
            <w:r>
              <w:rPr>
                <w:rFonts w:hint="eastAsia"/>
                <w:color w:val="auto"/>
                <w:sz w:val="24"/>
              </w:rPr>
              <w:t>焊接颗粒物，废气产生的原因是集气罩并不能将废气完全收集进入袋式除尘器，会有部分废气散出。</w:t>
            </w:r>
          </w:p>
          <w:p w14:paraId="733A58E0">
            <w:pPr>
              <w:pStyle w:val="100"/>
              <w:spacing w:line="360" w:lineRule="auto"/>
              <w:ind w:firstLine="480" w:firstLineChars="200"/>
              <w:jc w:val="both"/>
              <w:rPr>
                <w:rFonts w:ascii="Times New Roman" w:hAnsi="Times New Roman" w:cs="Times New Roman"/>
                <w:color w:val="auto"/>
                <w:sz w:val="24"/>
                <w:szCs w:val="24"/>
              </w:rPr>
            </w:pPr>
            <w:r>
              <w:rPr>
                <w:rFonts w:ascii="Times New Roman" w:hAnsi="Times New Roman" w:cs="Times New Roman"/>
                <w:color w:val="auto"/>
                <w:sz w:val="24"/>
                <w:szCs w:val="24"/>
              </w:rPr>
              <w:t>本项目生产</w:t>
            </w:r>
            <w:r>
              <w:rPr>
                <w:rFonts w:hint="eastAsia" w:ascii="Times New Roman" w:hAnsi="Times New Roman" w:cs="Times New Roman"/>
                <w:color w:val="auto"/>
                <w:sz w:val="24"/>
                <w:szCs w:val="24"/>
              </w:rPr>
              <w:t>光伏管桩端板头67805</w:t>
            </w:r>
            <w:r>
              <w:rPr>
                <w:rFonts w:ascii="Times New Roman" w:hAnsi="Times New Roman" w:cs="Times New Roman"/>
                <w:color w:val="auto"/>
                <w:sz w:val="24"/>
                <w:szCs w:val="24"/>
              </w:rPr>
              <w:t>t/a，</w:t>
            </w:r>
            <w:r>
              <w:rPr>
                <w:rFonts w:hint="eastAsia" w:ascii="Times New Roman" w:hAnsi="Times New Roman" w:cs="Times New Roman"/>
                <w:color w:val="auto"/>
                <w:sz w:val="24"/>
                <w:szCs w:val="24"/>
              </w:rPr>
              <w:t>熔炼</w:t>
            </w:r>
            <w:r>
              <w:rPr>
                <w:rFonts w:ascii="Times New Roman" w:hAnsi="Times New Roman" w:cs="Times New Roman"/>
                <w:color w:val="auto"/>
                <w:sz w:val="24"/>
                <w:szCs w:val="24"/>
              </w:rPr>
              <w:t>颗粒物</w:t>
            </w:r>
            <w:r>
              <w:rPr>
                <w:rFonts w:hint="eastAsia" w:ascii="Times New Roman" w:hAnsi="Times New Roman" w:cs="Times New Roman"/>
                <w:color w:val="auto"/>
                <w:sz w:val="24"/>
                <w:szCs w:val="24"/>
              </w:rPr>
              <w:t>产生量</w:t>
            </w:r>
            <w:r>
              <w:rPr>
                <w:rFonts w:ascii="Times New Roman" w:hAnsi="Times New Roman" w:cs="Times New Roman"/>
                <w:color w:val="auto"/>
                <w:sz w:val="24"/>
                <w:szCs w:val="24"/>
              </w:rPr>
              <w:t>：</w:t>
            </w:r>
            <w:r>
              <w:rPr>
                <w:rFonts w:hint="eastAsia" w:ascii="Times New Roman" w:hAnsi="Times New Roman" w:cs="Times New Roman"/>
                <w:color w:val="auto"/>
                <w:sz w:val="24"/>
                <w:szCs w:val="24"/>
              </w:rPr>
              <w:t>32.48</w:t>
            </w:r>
            <w:r>
              <w:rPr>
                <w:rFonts w:ascii="Times New Roman" w:hAnsi="Times New Roman" w:cs="Times New Roman"/>
                <w:color w:val="auto"/>
                <w:sz w:val="24"/>
                <w:szCs w:val="24"/>
              </w:rPr>
              <w:t xml:space="preserve">t/a </w:t>
            </w:r>
            <w:r>
              <w:rPr>
                <w:rFonts w:hint="eastAsia" w:ascii="Times New Roman" w:hAnsi="Times New Roman" w:cs="Times New Roman"/>
                <w:color w:val="auto"/>
                <w:sz w:val="24"/>
                <w:szCs w:val="24"/>
              </w:rPr>
              <w:t>，</w:t>
            </w:r>
            <w:r>
              <w:rPr>
                <w:rFonts w:ascii="Times New Roman" w:hAnsi="Times New Roman" w:cs="Times New Roman"/>
                <w:color w:val="auto"/>
                <w:sz w:val="24"/>
                <w:szCs w:val="24"/>
              </w:rPr>
              <w:t>产生速率：</w:t>
            </w:r>
            <w:r>
              <w:rPr>
                <w:rFonts w:hint="eastAsia" w:ascii="Times New Roman" w:hAnsi="Times New Roman" w:cs="Times New Roman"/>
                <w:color w:val="auto"/>
                <w:sz w:val="24"/>
                <w:szCs w:val="24"/>
                <w:lang w:val="en-US" w:eastAsia="zh-CN"/>
              </w:rPr>
              <w:t>16.24</w:t>
            </w:r>
            <w:r>
              <w:rPr>
                <w:rFonts w:ascii="Times New Roman" w:hAnsi="Times New Roman" w:cs="Times New Roman"/>
                <w:color w:val="auto"/>
                <w:sz w:val="24"/>
                <w:szCs w:val="24"/>
              </w:rPr>
              <w:t xml:space="preserve">kg/h </w:t>
            </w:r>
            <w:r>
              <w:rPr>
                <w:rFonts w:hint="eastAsia" w:ascii="Times New Roman" w:hAnsi="Times New Roman" w:cs="Times New Roman"/>
                <w:color w:val="auto"/>
                <w:sz w:val="24"/>
                <w:szCs w:val="24"/>
              </w:rPr>
              <w:t>；浇注</w:t>
            </w:r>
            <w:r>
              <w:rPr>
                <w:rFonts w:ascii="Times New Roman" w:hAnsi="Times New Roman" w:cs="Times New Roman"/>
                <w:color w:val="auto"/>
                <w:sz w:val="24"/>
                <w:szCs w:val="24"/>
              </w:rPr>
              <w:t>颗粒物</w:t>
            </w:r>
            <w:r>
              <w:rPr>
                <w:rFonts w:hint="eastAsia" w:ascii="Times New Roman" w:hAnsi="Times New Roman" w:cs="Times New Roman"/>
                <w:color w:val="auto"/>
                <w:sz w:val="24"/>
                <w:szCs w:val="24"/>
              </w:rPr>
              <w:t>产生量</w:t>
            </w:r>
            <w:r>
              <w:rPr>
                <w:rFonts w:ascii="Times New Roman" w:hAnsi="Times New Roman" w:cs="Times New Roman"/>
                <w:color w:val="auto"/>
                <w:sz w:val="24"/>
                <w:szCs w:val="24"/>
              </w:rPr>
              <w:t>：</w:t>
            </w:r>
            <w:r>
              <w:rPr>
                <w:rFonts w:hint="eastAsia" w:ascii="Times New Roman" w:hAnsi="Times New Roman" w:cs="Times New Roman"/>
                <w:color w:val="auto"/>
                <w:sz w:val="24"/>
                <w:szCs w:val="24"/>
              </w:rPr>
              <w:t>16.75</w:t>
            </w:r>
            <w:r>
              <w:rPr>
                <w:rFonts w:ascii="Times New Roman" w:hAnsi="Times New Roman" w:cs="Times New Roman"/>
                <w:color w:val="auto"/>
                <w:sz w:val="24"/>
                <w:szCs w:val="24"/>
              </w:rPr>
              <w:t xml:space="preserve">t/a </w:t>
            </w:r>
            <w:r>
              <w:rPr>
                <w:rFonts w:hint="eastAsia" w:ascii="Times New Roman" w:hAnsi="Times New Roman" w:cs="Times New Roman"/>
                <w:color w:val="auto"/>
                <w:sz w:val="24"/>
                <w:szCs w:val="24"/>
              </w:rPr>
              <w:t>，</w:t>
            </w:r>
            <w:r>
              <w:rPr>
                <w:rFonts w:ascii="Times New Roman" w:hAnsi="Times New Roman" w:cs="Times New Roman"/>
                <w:color w:val="auto"/>
                <w:sz w:val="24"/>
                <w:szCs w:val="24"/>
              </w:rPr>
              <w:t>产生速率：</w:t>
            </w:r>
            <w:r>
              <w:rPr>
                <w:rFonts w:hint="eastAsia" w:ascii="Times New Roman" w:hAnsi="Times New Roman" w:cs="Times New Roman"/>
                <w:color w:val="auto"/>
                <w:sz w:val="24"/>
                <w:szCs w:val="24"/>
                <w:lang w:val="en-US" w:eastAsia="zh-CN"/>
              </w:rPr>
              <w:t>8.37</w:t>
            </w:r>
            <w:r>
              <w:rPr>
                <w:rFonts w:ascii="Times New Roman" w:hAnsi="Times New Roman" w:cs="Times New Roman"/>
                <w:color w:val="auto"/>
                <w:sz w:val="24"/>
                <w:szCs w:val="24"/>
              </w:rPr>
              <w:t xml:space="preserve">kg/h </w:t>
            </w:r>
            <w:r>
              <w:rPr>
                <w:rFonts w:hint="eastAsia" w:ascii="Times New Roman" w:hAnsi="Times New Roman" w:cs="Times New Roman"/>
                <w:color w:val="auto"/>
                <w:sz w:val="24"/>
                <w:szCs w:val="24"/>
              </w:rPr>
              <w:t>；焊接</w:t>
            </w:r>
            <w:r>
              <w:rPr>
                <w:rFonts w:ascii="Times New Roman" w:hAnsi="Times New Roman" w:cs="Times New Roman"/>
                <w:color w:val="auto"/>
                <w:sz w:val="24"/>
                <w:szCs w:val="24"/>
              </w:rPr>
              <w:t>颗粒物</w:t>
            </w:r>
            <w:r>
              <w:rPr>
                <w:rFonts w:hint="eastAsia" w:ascii="Times New Roman" w:hAnsi="Times New Roman" w:cs="Times New Roman"/>
                <w:color w:val="auto"/>
                <w:sz w:val="24"/>
                <w:szCs w:val="24"/>
              </w:rPr>
              <w:t>产生量</w:t>
            </w:r>
            <w:r>
              <w:rPr>
                <w:rFonts w:ascii="Times New Roman" w:hAnsi="Times New Roman" w:cs="Times New Roman"/>
                <w:color w:val="auto"/>
                <w:sz w:val="24"/>
                <w:szCs w:val="24"/>
              </w:rPr>
              <w:t>：</w:t>
            </w:r>
            <w:r>
              <w:rPr>
                <w:rFonts w:hint="eastAsia" w:ascii="Times New Roman" w:hAnsi="Times New Roman" w:cs="Times New Roman"/>
                <w:color w:val="auto"/>
                <w:sz w:val="24"/>
                <w:szCs w:val="24"/>
              </w:rPr>
              <w:t>6.9</w:t>
            </w:r>
            <w:r>
              <w:rPr>
                <w:rFonts w:ascii="Times New Roman" w:hAnsi="Times New Roman" w:cs="Times New Roman"/>
                <w:color w:val="auto"/>
                <w:sz w:val="24"/>
                <w:szCs w:val="24"/>
              </w:rPr>
              <w:t xml:space="preserve">t/a </w:t>
            </w:r>
            <w:r>
              <w:rPr>
                <w:rFonts w:hint="eastAsia" w:ascii="Times New Roman" w:hAnsi="Times New Roman" w:cs="Times New Roman"/>
                <w:color w:val="auto"/>
                <w:sz w:val="24"/>
                <w:szCs w:val="24"/>
              </w:rPr>
              <w:t>，</w:t>
            </w:r>
            <w:r>
              <w:rPr>
                <w:rFonts w:ascii="Times New Roman" w:hAnsi="Times New Roman" w:cs="Times New Roman"/>
                <w:color w:val="auto"/>
                <w:sz w:val="24"/>
                <w:szCs w:val="24"/>
              </w:rPr>
              <w:t>产生速率：</w:t>
            </w:r>
            <w:r>
              <w:rPr>
                <w:rFonts w:hint="eastAsia" w:ascii="Times New Roman" w:hAnsi="Times New Roman" w:cs="Times New Roman"/>
                <w:color w:val="auto"/>
                <w:sz w:val="24"/>
                <w:szCs w:val="24"/>
                <w:lang w:val="en-US" w:eastAsia="zh-CN"/>
              </w:rPr>
              <w:t>3.43</w:t>
            </w:r>
            <w:r>
              <w:rPr>
                <w:rFonts w:ascii="Times New Roman" w:hAnsi="Times New Roman" w:cs="Times New Roman"/>
                <w:color w:val="auto"/>
                <w:sz w:val="24"/>
                <w:szCs w:val="24"/>
              </w:rPr>
              <w:t xml:space="preserve">kg/h </w:t>
            </w:r>
            <w:r>
              <w:rPr>
                <w:rFonts w:hint="eastAsia" w:ascii="Times New Roman" w:hAnsi="Times New Roman" w:cs="Times New Roman"/>
                <w:color w:val="auto"/>
                <w:sz w:val="24"/>
                <w:szCs w:val="24"/>
              </w:rPr>
              <w:t>。各工段产生的颗粒物被集气罩收集后进入袋式除尘器进行处理，集气罩的收集率为90%，则各工段的无组织排放量为：熔炼</w:t>
            </w:r>
            <w:r>
              <w:rPr>
                <w:rFonts w:ascii="Times New Roman" w:hAnsi="Times New Roman" w:cs="Times New Roman"/>
                <w:color w:val="auto"/>
                <w:sz w:val="24"/>
                <w:szCs w:val="24"/>
              </w:rPr>
              <w:t>颗粒物</w:t>
            </w:r>
            <w:r>
              <w:rPr>
                <w:rFonts w:hint="eastAsia" w:ascii="Times New Roman" w:hAnsi="Times New Roman" w:cs="Times New Roman"/>
                <w:color w:val="auto"/>
                <w:sz w:val="24"/>
                <w:szCs w:val="24"/>
              </w:rPr>
              <w:t>排放量</w:t>
            </w:r>
            <w:r>
              <w:rPr>
                <w:rFonts w:ascii="Times New Roman" w:hAnsi="Times New Roman" w:cs="Times New Roman"/>
                <w:color w:val="auto"/>
                <w:sz w:val="24"/>
                <w:szCs w:val="24"/>
              </w:rPr>
              <w:t>：</w:t>
            </w:r>
            <w:r>
              <w:rPr>
                <w:rFonts w:hint="eastAsia" w:ascii="Times New Roman" w:hAnsi="Times New Roman" w:cs="Times New Roman"/>
                <w:color w:val="auto"/>
                <w:sz w:val="24"/>
                <w:szCs w:val="24"/>
              </w:rPr>
              <w:t>3.2</w:t>
            </w:r>
            <w:r>
              <w:rPr>
                <w:rFonts w:ascii="Times New Roman" w:hAnsi="Times New Roman" w:cs="Times New Roman"/>
                <w:color w:val="auto"/>
                <w:sz w:val="24"/>
                <w:szCs w:val="24"/>
              </w:rPr>
              <w:t>t/a</w:t>
            </w:r>
            <w:r>
              <w:rPr>
                <w:rFonts w:hint="eastAsia" w:ascii="Times New Roman" w:hAnsi="Times New Roman" w:cs="Times New Roman"/>
                <w:color w:val="auto"/>
                <w:sz w:val="24"/>
                <w:szCs w:val="24"/>
              </w:rPr>
              <w:t>；浇注</w:t>
            </w:r>
            <w:r>
              <w:rPr>
                <w:rFonts w:ascii="Times New Roman" w:hAnsi="Times New Roman" w:cs="Times New Roman"/>
                <w:color w:val="auto"/>
                <w:sz w:val="24"/>
                <w:szCs w:val="24"/>
              </w:rPr>
              <w:t>颗粒物</w:t>
            </w:r>
            <w:r>
              <w:rPr>
                <w:rFonts w:hint="eastAsia" w:ascii="Times New Roman" w:hAnsi="Times New Roman" w:cs="Times New Roman"/>
                <w:color w:val="auto"/>
                <w:sz w:val="24"/>
                <w:szCs w:val="24"/>
              </w:rPr>
              <w:t>排放量</w:t>
            </w:r>
            <w:r>
              <w:rPr>
                <w:rFonts w:ascii="Times New Roman" w:hAnsi="Times New Roman" w:cs="Times New Roman"/>
                <w:color w:val="auto"/>
                <w:sz w:val="24"/>
                <w:szCs w:val="24"/>
              </w:rPr>
              <w:t>：</w:t>
            </w:r>
            <w:r>
              <w:rPr>
                <w:rFonts w:hint="eastAsia" w:ascii="Times New Roman" w:hAnsi="Times New Roman" w:cs="Times New Roman"/>
                <w:color w:val="auto"/>
                <w:sz w:val="24"/>
                <w:szCs w:val="24"/>
              </w:rPr>
              <w:t>1.7</w:t>
            </w:r>
            <w:r>
              <w:rPr>
                <w:rFonts w:ascii="Times New Roman" w:hAnsi="Times New Roman" w:cs="Times New Roman"/>
                <w:color w:val="auto"/>
                <w:sz w:val="24"/>
                <w:szCs w:val="24"/>
              </w:rPr>
              <w:t>t/a</w:t>
            </w:r>
            <w:r>
              <w:rPr>
                <w:rFonts w:hint="eastAsia" w:ascii="Times New Roman" w:hAnsi="Times New Roman" w:cs="Times New Roman"/>
                <w:color w:val="auto"/>
                <w:sz w:val="24"/>
                <w:szCs w:val="24"/>
              </w:rPr>
              <w:t>；焊接</w:t>
            </w:r>
            <w:r>
              <w:rPr>
                <w:rFonts w:ascii="Times New Roman" w:hAnsi="Times New Roman" w:cs="Times New Roman"/>
                <w:color w:val="auto"/>
                <w:sz w:val="24"/>
                <w:szCs w:val="24"/>
              </w:rPr>
              <w:t>颗粒物</w:t>
            </w:r>
            <w:r>
              <w:rPr>
                <w:rFonts w:hint="eastAsia" w:ascii="Times New Roman" w:hAnsi="Times New Roman" w:cs="Times New Roman"/>
                <w:color w:val="auto"/>
                <w:sz w:val="24"/>
                <w:szCs w:val="24"/>
              </w:rPr>
              <w:t>排放量</w:t>
            </w:r>
            <w:r>
              <w:rPr>
                <w:rFonts w:ascii="Times New Roman" w:hAnsi="Times New Roman" w:cs="Times New Roman"/>
                <w:color w:val="auto"/>
                <w:sz w:val="24"/>
                <w:szCs w:val="24"/>
              </w:rPr>
              <w:t>：</w:t>
            </w:r>
            <w:r>
              <w:rPr>
                <w:rFonts w:hint="eastAsia" w:ascii="Times New Roman" w:hAnsi="Times New Roman" w:cs="Times New Roman"/>
                <w:color w:val="auto"/>
                <w:sz w:val="24"/>
                <w:szCs w:val="24"/>
              </w:rPr>
              <w:t>0.69</w:t>
            </w:r>
            <w:r>
              <w:rPr>
                <w:rFonts w:ascii="Times New Roman" w:hAnsi="Times New Roman" w:cs="Times New Roman"/>
                <w:color w:val="auto"/>
                <w:sz w:val="24"/>
                <w:szCs w:val="24"/>
              </w:rPr>
              <w:t>t/a</w:t>
            </w:r>
            <w:r>
              <w:rPr>
                <w:rFonts w:hint="eastAsia" w:ascii="Times New Roman" w:hAnsi="Times New Roman" w:cs="Times New Roman"/>
                <w:color w:val="auto"/>
                <w:sz w:val="24"/>
                <w:szCs w:val="24"/>
              </w:rPr>
              <w:t>。</w:t>
            </w:r>
          </w:p>
          <w:p w14:paraId="558AEDD0">
            <w:pPr>
              <w:spacing w:line="360" w:lineRule="auto"/>
              <w:ind w:firstLine="480" w:firstLineChars="200"/>
              <w:rPr>
                <w:color w:val="auto"/>
                <w:sz w:val="24"/>
              </w:rPr>
            </w:pPr>
            <w:r>
              <w:rPr>
                <w:rFonts w:hint="eastAsia"/>
                <w:color w:val="auto"/>
                <w:sz w:val="24"/>
              </w:rPr>
              <w:t>综上，</w:t>
            </w:r>
            <w:r>
              <w:rPr>
                <w:color w:val="auto"/>
                <w:sz w:val="24"/>
              </w:rPr>
              <w:t>本项目大气污染物排放基本情况如</w:t>
            </w:r>
            <w:r>
              <w:rPr>
                <w:rFonts w:hint="eastAsia"/>
                <w:color w:val="auto"/>
                <w:sz w:val="24"/>
              </w:rPr>
              <w:t>下：</w:t>
            </w:r>
          </w:p>
          <w:p w14:paraId="75E08FEA">
            <w:pPr>
              <w:spacing w:line="360" w:lineRule="auto"/>
              <w:jc w:val="center"/>
              <w:rPr>
                <w:b/>
                <w:bCs/>
                <w:color w:val="auto"/>
                <w:szCs w:val="21"/>
              </w:rPr>
            </w:pPr>
            <w:r>
              <w:rPr>
                <w:b/>
                <w:bCs/>
                <w:color w:val="auto"/>
                <w:szCs w:val="21"/>
              </w:rPr>
              <w:t>表4-</w:t>
            </w:r>
            <w:r>
              <w:rPr>
                <w:rFonts w:hint="eastAsia"/>
                <w:b/>
                <w:bCs/>
                <w:color w:val="auto"/>
                <w:szCs w:val="21"/>
              </w:rPr>
              <w:t>5</w:t>
            </w:r>
            <w:r>
              <w:rPr>
                <w:b/>
                <w:bCs/>
                <w:color w:val="auto"/>
                <w:szCs w:val="21"/>
              </w:rPr>
              <w:t xml:space="preserve"> 项目</w:t>
            </w:r>
            <w:r>
              <w:rPr>
                <w:b/>
                <w:color w:val="auto"/>
                <w:szCs w:val="21"/>
              </w:rPr>
              <w:t>有组织废气</w:t>
            </w:r>
            <w:r>
              <w:rPr>
                <w:b/>
                <w:bCs/>
                <w:color w:val="auto"/>
                <w:szCs w:val="21"/>
              </w:rPr>
              <w:t>产排情况一览表</w:t>
            </w:r>
          </w:p>
          <w:tbl>
            <w:tblPr>
              <w:tblStyle w:val="24"/>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777"/>
              <w:gridCol w:w="633"/>
              <w:gridCol w:w="676"/>
              <w:gridCol w:w="992"/>
              <w:gridCol w:w="636"/>
              <w:gridCol w:w="981"/>
              <w:gridCol w:w="875"/>
              <w:gridCol w:w="875"/>
              <w:gridCol w:w="790"/>
            </w:tblGrid>
            <w:tr w14:paraId="6B57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 w:type="pct"/>
                  <w:vAlign w:val="center"/>
                </w:tcPr>
                <w:p w14:paraId="6664C92D">
                  <w:pPr>
                    <w:pStyle w:val="112"/>
                    <w:spacing w:line="240" w:lineRule="auto"/>
                    <w:ind w:left="-105" w:leftChars="-50" w:right="-105" w:rightChars="-50"/>
                    <w:rPr>
                      <w:b/>
                      <w:bCs/>
                      <w:color w:val="auto"/>
                      <w:kern w:val="2"/>
                      <w:sz w:val="21"/>
                      <w:szCs w:val="21"/>
                    </w:rPr>
                  </w:pPr>
                  <w:r>
                    <w:rPr>
                      <w:b/>
                      <w:bCs/>
                      <w:color w:val="auto"/>
                      <w:kern w:val="2"/>
                      <w:sz w:val="21"/>
                      <w:szCs w:val="21"/>
                    </w:rPr>
                    <w:t>产排污环节</w:t>
                  </w:r>
                </w:p>
              </w:tc>
              <w:tc>
                <w:tcPr>
                  <w:tcW w:w="493" w:type="pct"/>
                  <w:vAlign w:val="center"/>
                </w:tcPr>
                <w:p w14:paraId="3D782F7D">
                  <w:pPr>
                    <w:pStyle w:val="112"/>
                    <w:spacing w:line="240" w:lineRule="auto"/>
                    <w:ind w:left="-105" w:leftChars="-50" w:right="-105" w:rightChars="-50"/>
                    <w:rPr>
                      <w:b/>
                      <w:bCs/>
                      <w:color w:val="auto"/>
                      <w:kern w:val="2"/>
                      <w:sz w:val="21"/>
                      <w:szCs w:val="21"/>
                    </w:rPr>
                  </w:pPr>
                  <w:r>
                    <w:rPr>
                      <w:b/>
                      <w:bCs/>
                      <w:color w:val="auto"/>
                      <w:kern w:val="2"/>
                      <w:sz w:val="21"/>
                      <w:szCs w:val="21"/>
                    </w:rPr>
                    <w:t>污染物种类</w:t>
                  </w:r>
                </w:p>
              </w:tc>
              <w:tc>
                <w:tcPr>
                  <w:tcW w:w="403" w:type="pct"/>
                  <w:vAlign w:val="center"/>
                </w:tcPr>
                <w:p w14:paraId="35CC981B">
                  <w:pPr>
                    <w:pStyle w:val="112"/>
                    <w:spacing w:line="240" w:lineRule="auto"/>
                    <w:ind w:left="-105" w:leftChars="-50" w:right="-105" w:rightChars="-50"/>
                    <w:rPr>
                      <w:b/>
                      <w:bCs/>
                      <w:color w:val="auto"/>
                      <w:kern w:val="2"/>
                      <w:sz w:val="21"/>
                      <w:szCs w:val="21"/>
                    </w:rPr>
                  </w:pPr>
                  <w:r>
                    <w:rPr>
                      <w:b/>
                      <w:bCs/>
                      <w:color w:val="auto"/>
                      <w:kern w:val="2"/>
                      <w:sz w:val="21"/>
                      <w:szCs w:val="21"/>
                    </w:rPr>
                    <w:t>产生量</w:t>
                  </w:r>
                </w:p>
                <w:p w14:paraId="59EC6F0F">
                  <w:pPr>
                    <w:pStyle w:val="112"/>
                    <w:spacing w:line="240" w:lineRule="auto"/>
                    <w:ind w:left="-105" w:leftChars="-50" w:right="-105" w:rightChars="-50"/>
                    <w:rPr>
                      <w:b/>
                      <w:bCs/>
                      <w:color w:val="auto"/>
                      <w:kern w:val="2"/>
                      <w:sz w:val="21"/>
                      <w:szCs w:val="21"/>
                    </w:rPr>
                  </w:pPr>
                  <w:r>
                    <w:rPr>
                      <w:b/>
                      <w:bCs/>
                      <w:color w:val="auto"/>
                      <w:kern w:val="2"/>
                      <w:sz w:val="21"/>
                      <w:szCs w:val="21"/>
                    </w:rPr>
                    <w:t>(t/a)</w:t>
                  </w:r>
                </w:p>
              </w:tc>
              <w:tc>
                <w:tcPr>
                  <w:tcW w:w="430" w:type="pct"/>
                  <w:vAlign w:val="center"/>
                </w:tcPr>
                <w:p w14:paraId="1AA4E9CB">
                  <w:pPr>
                    <w:pStyle w:val="112"/>
                    <w:spacing w:line="240" w:lineRule="auto"/>
                    <w:ind w:left="-105" w:leftChars="-50" w:right="-105" w:rightChars="-50"/>
                    <w:rPr>
                      <w:b/>
                      <w:bCs/>
                      <w:color w:val="auto"/>
                      <w:kern w:val="2"/>
                      <w:sz w:val="21"/>
                      <w:szCs w:val="21"/>
                    </w:rPr>
                  </w:pPr>
                  <w:r>
                    <w:rPr>
                      <w:b/>
                      <w:bCs/>
                      <w:color w:val="auto"/>
                      <w:kern w:val="2"/>
                      <w:sz w:val="21"/>
                      <w:szCs w:val="21"/>
                    </w:rPr>
                    <w:t>产生速率(kg/h)</w:t>
                  </w:r>
                </w:p>
              </w:tc>
              <w:tc>
                <w:tcPr>
                  <w:tcW w:w="628" w:type="pct"/>
                  <w:vAlign w:val="center"/>
                </w:tcPr>
                <w:p w14:paraId="13338B96">
                  <w:pPr>
                    <w:pStyle w:val="112"/>
                    <w:spacing w:line="240" w:lineRule="auto"/>
                    <w:ind w:left="-105" w:leftChars="-50" w:right="-105" w:rightChars="-50"/>
                    <w:rPr>
                      <w:b/>
                      <w:bCs/>
                      <w:color w:val="auto"/>
                      <w:kern w:val="2"/>
                      <w:sz w:val="21"/>
                      <w:szCs w:val="21"/>
                    </w:rPr>
                  </w:pPr>
                  <w:r>
                    <w:rPr>
                      <w:b/>
                      <w:bCs/>
                      <w:color w:val="auto"/>
                      <w:kern w:val="2"/>
                      <w:sz w:val="21"/>
                      <w:szCs w:val="21"/>
                    </w:rPr>
                    <w:t>产生浓(mg/m</w:t>
                  </w:r>
                  <w:r>
                    <w:rPr>
                      <w:b/>
                      <w:bCs/>
                      <w:color w:val="auto"/>
                      <w:kern w:val="2"/>
                      <w:sz w:val="21"/>
                      <w:szCs w:val="21"/>
                      <w:vertAlign w:val="superscript"/>
                    </w:rPr>
                    <w:t>3</w:t>
                  </w:r>
                  <w:r>
                    <w:rPr>
                      <w:b/>
                      <w:bCs/>
                      <w:color w:val="auto"/>
                      <w:kern w:val="2"/>
                      <w:sz w:val="21"/>
                      <w:szCs w:val="21"/>
                    </w:rPr>
                    <w:t>)</w:t>
                  </w:r>
                </w:p>
              </w:tc>
              <w:tc>
                <w:tcPr>
                  <w:tcW w:w="344" w:type="pct"/>
                  <w:vAlign w:val="center"/>
                </w:tcPr>
                <w:p w14:paraId="0D140E2E">
                  <w:pPr>
                    <w:pStyle w:val="112"/>
                    <w:spacing w:line="240" w:lineRule="auto"/>
                    <w:ind w:left="-105" w:leftChars="-50" w:right="-105" w:rightChars="-50"/>
                    <w:rPr>
                      <w:b/>
                      <w:bCs/>
                      <w:color w:val="auto"/>
                      <w:kern w:val="2"/>
                      <w:sz w:val="21"/>
                      <w:szCs w:val="21"/>
                    </w:rPr>
                  </w:pPr>
                  <w:r>
                    <w:rPr>
                      <w:b/>
                      <w:bCs/>
                      <w:color w:val="auto"/>
                      <w:kern w:val="2"/>
                      <w:sz w:val="21"/>
                      <w:szCs w:val="21"/>
                    </w:rPr>
                    <w:t>风量</w:t>
                  </w:r>
                </w:p>
                <w:p w14:paraId="536CAE3F">
                  <w:pPr>
                    <w:pStyle w:val="112"/>
                    <w:spacing w:line="240" w:lineRule="auto"/>
                    <w:ind w:left="-105" w:leftChars="-50" w:right="-105" w:rightChars="-50"/>
                    <w:rPr>
                      <w:b/>
                      <w:bCs/>
                      <w:color w:val="auto"/>
                      <w:kern w:val="2"/>
                      <w:sz w:val="21"/>
                      <w:szCs w:val="21"/>
                    </w:rPr>
                  </w:pPr>
                  <w:r>
                    <w:rPr>
                      <w:b/>
                      <w:bCs/>
                      <w:color w:val="auto"/>
                      <w:kern w:val="2"/>
                      <w:sz w:val="21"/>
                      <w:szCs w:val="21"/>
                    </w:rPr>
                    <w:t>(m</w:t>
                  </w:r>
                  <w:r>
                    <w:rPr>
                      <w:b/>
                      <w:bCs/>
                      <w:color w:val="auto"/>
                      <w:kern w:val="2"/>
                      <w:sz w:val="21"/>
                      <w:szCs w:val="21"/>
                      <w:vertAlign w:val="superscript"/>
                    </w:rPr>
                    <w:t>3</w:t>
                  </w:r>
                  <w:r>
                    <w:rPr>
                      <w:b/>
                      <w:bCs/>
                      <w:color w:val="auto"/>
                      <w:kern w:val="2"/>
                      <w:sz w:val="21"/>
                      <w:szCs w:val="21"/>
                    </w:rPr>
                    <w:t>/h)</w:t>
                  </w:r>
                </w:p>
              </w:tc>
              <w:tc>
                <w:tcPr>
                  <w:tcW w:w="621" w:type="pct"/>
                  <w:vAlign w:val="center"/>
                </w:tcPr>
                <w:p w14:paraId="02D81632">
                  <w:pPr>
                    <w:pStyle w:val="112"/>
                    <w:spacing w:line="240" w:lineRule="auto"/>
                    <w:ind w:left="-105" w:leftChars="-50" w:right="-105" w:rightChars="-50"/>
                    <w:rPr>
                      <w:b/>
                      <w:bCs/>
                      <w:color w:val="auto"/>
                      <w:kern w:val="2"/>
                      <w:sz w:val="21"/>
                      <w:szCs w:val="21"/>
                    </w:rPr>
                  </w:pPr>
                  <w:r>
                    <w:rPr>
                      <w:b/>
                      <w:bCs/>
                      <w:color w:val="auto"/>
                      <w:kern w:val="2"/>
                      <w:sz w:val="21"/>
                      <w:szCs w:val="21"/>
                    </w:rPr>
                    <w:t>治理</w:t>
                  </w:r>
                </w:p>
                <w:p w14:paraId="569A68DF">
                  <w:pPr>
                    <w:pStyle w:val="112"/>
                    <w:spacing w:line="240" w:lineRule="auto"/>
                    <w:ind w:left="-105" w:leftChars="-50" w:right="-105" w:rightChars="-50"/>
                    <w:rPr>
                      <w:b/>
                      <w:bCs/>
                      <w:color w:val="auto"/>
                      <w:kern w:val="2"/>
                      <w:sz w:val="21"/>
                      <w:szCs w:val="21"/>
                    </w:rPr>
                  </w:pPr>
                  <w:r>
                    <w:rPr>
                      <w:b/>
                      <w:bCs/>
                      <w:color w:val="auto"/>
                      <w:kern w:val="2"/>
                      <w:sz w:val="21"/>
                      <w:szCs w:val="21"/>
                    </w:rPr>
                    <w:t>措施</w:t>
                  </w:r>
                </w:p>
              </w:tc>
              <w:tc>
                <w:tcPr>
                  <w:tcW w:w="554" w:type="pct"/>
                  <w:vAlign w:val="center"/>
                </w:tcPr>
                <w:p w14:paraId="3BFB9F4F">
                  <w:pPr>
                    <w:pStyle w:val="112"/>
                    <w:spacing w:line="240" w:lineRule="auto"/>
                    <w:ind w:left="-105" w:leftChars="-50" w:right="-105" w:rightChars="-50"/>
                    <w:rPr>
                      <w:b/>
                      <w:bCs/>
                      <w:color w:val="auto"/>
                      <w:kern w:val="2"/>
                      <w:sz w:val="21"/>
                      <w:szCs w:val="21"/>
                    </w:rPr>
                  </w:pPr>
                  <w:r>
                    <w:rPr>
                      <w:b/>
                      <w:bCs/>
                      <w:color w:val="auto"/>
                      <w:kern w:val="2"/>
                      <w:sz w:val="21"/>
                      <w:szCs w:val="21"/>
                    </w:rPr>
                    <w:t>排放量</w:t>
                  </w:r>
                </w:p>
                <w:p w14:paraId="58769435">
                  <w:pPr>
                    <w:pStyle w:val="112"/>
                    <w:spacing w:line="240" w:lineRule="auto"/>
                    <w:ind w:left="-105" w:leftChars="-50" w:right="-105" w:rightChars="-50"/>
                    <w:rPr>
                      <w:b/>
                      <w:bCs/>
                      <w:color w:val="auto"/>
                      <w:kern w:val="2"/>
                      <w:sz w:val="21"/>
                      <w:szCs w:val="21"/>
                    </w:rPr>
                  </w:pPr>
                  <w:r>
                    <w:rPr>
                      <w:b/>
                      <w:bCs/>
                      <w:color w:val="auto"/>
                      <w:kern w:val="2"/>
                      <w:sz w:val="21"/>
                      <w:szCs w:val="21"/>
                    </w:rPr>
                    <w:t>(t/a)</w:t>
                  </w:r>
                </w:p>
              </w:tc>
              <w:tc>
                <w:tcPr>
                  <w:tcW w:w="554" w:type="pct"/>
                  <w:vAlign w:val="center"/>
                </w:tcPr>
                <w:p w14:paraId="4D65CB17">
                  <w:pPr>
                    <w:pStyle w:val="112"/>
                    <w:spacing w:line="240" w:lineRule="auto"/>
                    <w:ind w:left="-105" w:leftChars="-50" w:right="-105" w:rightChars="-50"/>
                    <w:rPr>
                      <w:b/>
                      <w:bCs/>
                      <w:color w:val="auto"/>
                      <w:kern w:val="2"/>
                      <w:sz w:val="21"/>
                      <w:szCs w:val="21"/>
                    </w:rPr>
                  </w:pPr>
                  <w:bookmarkStart w:id="7" w:name="OLE_LINK76"/>
                  <w:r>
                    <w:rPr>
                      <w:b/>
                      <w:bCs/>
                      <w:color w:val="auto"/>
                      <w:kern w:val="2"/>
                      <w:sz w:val="21"/>
                      <w:szCs w:val="21"/>
                    </w:rPr>
                    <w:t>排放速率(kg/h)</w:t>
                  </w:r>
                  <w:bookmarkEnd w:id="7"/>
                </w:p>
              </w:tc>
              <w:tc>
                <w:tcPr>
                  <w:tcW w:w="501" w:type="pct"/>
                  <w:vAlign w:val="center"/>
                </w:tcPr>
                <w:p w14:paraId="33B03B01">
                  <w:pPr>
                    <w:pStyle w:val="112"/>
                    <w:spacing w:line="240" w:lineRule="auto"/>
                    <w:ind w:left="-105" w:leftChars="-50" w:right="-105" w:rightChars="-50"/>
                    <w:rPr>
                      <w:b/>
                      <w:bCs/>
                      <w:color w:val="auto"/>
                      <w:kern w:val="2"/>
                      <w:sz w:val="21"/>
                      <w:szCs w:val="21"/>
                    </w:rPr>
                  </w:pPr>
                  <w:r>
                    <w:rPr>
                      <w:b/>
                      <w:bCs/>
                      <w:color w:val="auto"/>
                      <w:kern w:val="2"/>
                      <w:sz w:val="21"/>
                      <w:szCs w:val="21"/>
                    </w:rPr>
                    <w:t>排放浓度</w:t>
                  </w:r>
                </w:p>
                <w:p w14:paraId="26D9CA6D">
                  <w:pPr>
                    <w:pStyle w:val="112"/>
                    <w:spacing w:line="240" w:lineRule="auto"/>
                    <w:ind w:left="-105" w:leftChars="-50" w:right="-105" w:rightChars="-50"/>
                    <w:rPr>
                      <w:b/>
                      <w:bCs/>
                      <w:color w:val="auto"/>
                      <w:kern w:val="2"/>
                      <w:sz w:val="21"/>
                      <w:szCs w:val="21"/>
                    </w:rPr>
                  </w:pPr>
                  <w:r>
                    <w:rPr>
                      <w:b/>
                      <w:bCs/>
                      <w:color w:val="auto"/>
                      <w:kern w:val="2"/>
                      <w:sz w:val="21"/>
                      <w:szCs w:val="21"/>
                    </w:rPr>
                    <w:t>(mg/m</w:t>
                  </w:r>
                  <w:r>
                    <w:rPr>
                      <w:b/>
                      <w:bCs/>
                      <w:color w:val="auto"/>
                      <w:kern w:val="2"/>
                      <w:sz w:val="21"/>
                      <w:szCs w:val="21"/>
                      <w:vertAlign w:val="superscript"/>
                    </w:rPr>
                    <w:t>3</w:t>
                  </w:r>
                  <w:r>
                    <w:rPr>
                      <w:b/>
                      <w:bCs/>
                      <w:color w:val="auto"/>
                      <w:kern w:val="2"/>
                      <w:sz w:val="21"/>
                      <w:szCs w:val="21"/>
                    </w:rPr>
                    <w:t>)</w:t>
                  </w:r>
                </w:p>
              </w:tc>
            </w:tr>
            <w:tr w14:paraId="3A1C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 w:type="pct"/>
                  <w:vAlign w:val="center"/>
                </w:tcPr>
                <w:p w14:paraId="1BD6F238">
                  <w:pPr>
                    <w:pStyle w:val="76"/>
                    <w:spacing w:line="240" w:lineRule="atLeast"/>
                    <w:rPr>
                      <w:rFonts w:ascii="Times New Roman" w:hAnsi="Times New Roman"/>
                      <w:color w:val="auto"/>
                      <w:szCs w:val="21"/>
                    </w:rPr>
                  </w:pPr>
                  <w:r>
                    <w:rPr>
                      <w:rFonts w:hint="eastAsia" w:ascii="Times New Roman" w:hAnsi="Times New Roman"/>
                      <w:color w:val="auto"/>
                      <w:szCs w:val="21"/>
                    </w:rPr>
                    <w:t>熔炼</w:t>
                  </w:r>
                </w:p>
              </w:tc>
              <w:tc>
                <w:tcPr>
                  <w:tcW w:w="493" w:type="pct"/>
                  <w:vMerge w:val="restart"/>
                  <w:vAlign w:val="center"/>
                </w:tcPr>
                <w:p w14:paraId="329B4B10">
                  <w:pPr>
                    <w:pStyle w:val="112"/>
                    <w:spacing w:line="240" w:lineRule="auto"/>
                    <w:ind w:left="-105" w:leftChars="-50" w:right="-105" w:rightChars="-50"/>
                    <w:rPr>
                      <w:color w:val="auto"/>
                      <w:kern w:val="2"/>
                      <w:sz w:val="21"/>
                      <w:szCs w:val="21"/>
                    </w:rPr>
                  </w:pPr>
                  <w:r>
                    <w:rPr>
                      <w:color w:val="auto"/>
                      <w:kern w:val="2"/>
                      <w:sz w:val="21"/>
                      <w:szCs w:val="21"/>
                    </w:rPr>
                    <w:t>颗粒物</w:t>
                  </w:r>
                </w:p>
              </w:tc>
              <w:tc>
                <w:tcPr>
                  <w:tcW w:w="403" w:type="pct"/>
                  <w:vAlign w:val="center"/>
                </w:tcPr>
                <w:p w14:paraId="5E5C09BD">
                  <w:pPr>
                    <w:pStyle w:val="112"/>
                    <w:spacing w:line="240" w:lineRule="auto"/>
                    <w:ind w:left="-105" w:leftChars="-50" w:right="-105" w:rightChars="-50"/>
                    <w:rPr>
                      <w:color w:val="auto"/>
                      <w:kern w:val="2"/>
                      <w:sz w:val="21"/>
                      <w:szCs w:val="21"/>
                    </w:rPr>
                  </w:pPr>
                  <w:r>
                    <w:rPr>
                      <w:rFonts w:hint="eastAsia"/>
                      <w:color w:val="auto"/>
                      <w:kern w:val="2"/>
                      <w:sz w:val="21"/>
                      <w:szCs w:val="21"/>
                    </w:rPr>
                    <w:t>32.48</w:t>
                  </w:r>
                </w:p>
              </w:tc>
              <w:tc>
                <w:tcPr>
                  <w:tcW w:w="430" w:type="pct"/>
                  <w:vAlign w:val="center"/>
                </w:tcPr>
                <w:p w14:paraId="7E78040C">
                  <w:pPr>
                    <w:pStyle w:val="112"/>
                    <w:spacing w:line="240" w:lineRule="auto"/>
                    <w:ind w:left="-105" w:leftChars="-50" w:right="-105" w:rightChars="-50"/>
                    <w:rPr>
                      <w:rFonts w:hint="default" w:eastAsia="宋体"/>
                      <w:color w:val="auto"/>
                      <w:kern w:val="2"/>
                      <w:sz w:val="21"/>
                      <w:szCs w:val="21"/>
                      <w:lang w:val="en-US" w:eastAsia="zh-CN"/>
                    </w:rPr>
                  </w:pPr>
                  <w:r>
                    <w:rPr>
                      <w:rFonts w:hint="eastAsia"/>
                      <w:color w:val="auto"/>
                      <w:kern w:val="2"/>
                      <w:sz w:val="21"/>
                      <w:szCs w:val="21"/>
                      <w:lang w:val="en-US" w:eastAsia="zh-CN"/>
                    </w:rPr>
                    <w:t>16.24</w:t>
                  </w:r>
                </w:p>
              </w:tc>
              <w:tc>
                <w:tcPr>
                  <w:tcW w:w="628" w:type="pct"/>
                  <w:vAlign w:val="center"/>
                </w:tcPr>
                <w:p w14:paraId="385B5E18">
                  <w:pPr>
                    <w:pStyle w:val="112"/>
                    <w:spacing w:line="240" w:lineRule="auto"/>
                    <w:ind w:left="-105" w:leftChars="-50" w:right="-105" w:rightChars="-50"/>
                    <w:rPr>
                      <w:rFonts w:hint="default" w:eastAsia="宋体"/>
                      <w:color w:val="auto"/>
                      <w:kern w:val="2"/>
                      <w:sz w:val="21"/>
                      <w:szCs w:val="21"/>
                      <w:lang w:val="en-US" w:eastAsia="zh-CN"/>
                    </w:rPr>
                  </w:pPr>
                  <w:r>
                    <w:rPr>
                      <w:rFonts w:hint="eastAsia"/>
                      <w:color w:val="auto"/>
                      <w:kern w:val="2"/>
                      <w:sz w:val="21"/>
                      <w:szCs w:val="21"/>
                      <w:lang w:val="en-US" w:eastAsia="zh-CN"/>
                    </w:rPr>
                    <w:t>64.01</w:t>
                  </w:r>
                </w:p>
              </w:tc>
              <w:tc>
                <w:tcPr>
                  <w:tcW w:w="344" w:type="pct"/>
                  <w:vMerge w:val="restart"/>
                  <w:vAlign w:val="center"/>
                </w:tcPr>
                <w:p w14:paraId="1070B86D">
                  <w:pPr>
                    <w:pStyle w:val="112"/>
                    <w:spacing w:line="240" w:lineRule="auto"/>
                    <w:ind w:left="-105" w:leftChars="-50" w:right="-105" w:rightChars="-50"/>
                    <w:rPr>
                      <w:color w:val="auto"/>
                      <w:kern w:val="2"/>
                      <w:sz w:val="21"/>
                      <w:szCs w:val="21"/>
                    </w:rPr>
                  </w:pPr>
                  <w:r>
                    <w:rPr>
                      <w:rFonts w:hint="eastAsia"/>
                      <w:color w:val="auto"/>
                      <w:kern w:val="2"/>
                      <w:sz w:val="21"/>
                      <w:szCs w:val="21"/>
                    </w:rPr>
                    <w:t>220000</w:t>
                  </w:r>
                </w:p>
              </w:tc>
              <w:tc>
                <w:tcPr>
                  <w:tcW w:w="621" w:type="pct"/>
                  <w:vMerge w:val="restart"/>
                  <w:vAlign w:val="center"/>
                </w:tcPr>
                <w:p w14:paraId="20D835D2">
                  <w:pPr>
                    <w:pStyle w:val="112"/>
                    <w:spacing w:line="240" w:lineRule="auto"/>
                    <w:ind w:left="-105" w:leftChars="-50" w:right="-105" w:rightChars="-50"/>
                    <w:rPr>
                      <w:color w:val="auto"/>
                      <w:kern w:val="2"/>
                      <w:sz w:val="21"/>
                      <w:szCs w:val="21"/>
                    </w:rPr>
                  </w:pPr>
                  <w:r>
                    <w:rPr>
                      <w:rFonts w:hint="eastAsia"/>
                      <w:color w:val="auto"/>
                      <w:kern w:val="2"/>
                      <w:sz w:val="21"/>
                      <w:szCs w:val="21"/>
                    </w:rPr>
                    <w:t>袋式除尘器+15m高排气筒排放</w:t>
                  </w:r>
                </w:p>
              </w:tc>
              <w:tc>
                <w:tcPr>
                  <w:tcW w:w="554" w:type="pct"/>
                  <w:vMerge w:val="restart"/>
                  <w:vAlign w:val="center"/>
                </w:tcPr>
                <w:p w14:paraId="219BA14B">
                  <w:pPr>
                    <w:pStyle w:val="112"/>
                    <w:spacing w:line="240" w:lineRule="auto"/>
                    <w:ind w:left="-105" w:leftChars="-50" w:right="-105" w:rightChars="-50"/>
                    <w:rPr>
                      <w:color w:val="auto"/>
                      <w:kern w:val="2"/>
                      <w:sz w:val="21"/>
                      <w:szCs w:val="21"/>
                    </w:rPr>
                  </w:pPr>
                  <w:r>
                    <w:rPr>
                      <w:rFonts w:hint="eastAsia"/>
                      <w:color w:val="auto"/>
                      <w:kern w:val="2"/>
                      <w:sz w:val="21"/>
                      <w:szCs w:val="21"/>
                    </w:rPr>
                    <w:t>2.2</w:t>
                  </w:r>
                </w:p>
              </w:tc>
              <w:tc>
                <w:tcPr>
                  <w:tcW w:w="554" w:type="pct"/>
                  <w:vMerge w:val="restart"/>
                  <w:vAlign w:val="center"/>
                </w:tcPr>
                <w:p w14:paraId="77078C50">
                  <w:pPr>
                    <w:pStyle w:val="112"/>
                    <w:spacing w:line="240" w:lineRule="auto"/>
                    <w:ind w:left="-105" w:leftChars="-50" w:right="-105" w:rightChars="-50"/>
                    <w:rPr>
                      <w:rFonts w:hint="default" w:eastAsia="宋体"/>
                      <w:color w:val="auto"/>
                      <w:kern w:val="2"/>
                      <w:sz w:val="21"/>
                      <w:szCs w:val="21"/>
                      <w:lang w:val="en-US" w:eastAsia="zh-CN"/>
                    </w:rPr>
                  </w:pPr>
                  <w:r>
                    <w:rPr>
                      <w:rFonts w:hint="eastAsia"/>
                      <w:color w:val="auto"/>
                      <w:kern w:val="2"/>
                      <w:sz w:val="21"/>
                      <w:szCs w:val="21"/>
                      <w:lang w:val="en-US" w:eastAsia="zh-CN"/>
                    </w:rPr>
                    <w:t>1.11</w:t>
                  </w:r>
                </w:p>
              </w:tc>
              <w:tc>
                <w:tcPr>
                  <w:tcW w:w="501" w:type="pct"/>
                  <w:vMerge w:val="restart"/>
                  <w:vAlign w:val="center"/>
                </w:tcPr>
                <w:p w14:paraId="12CC4478">
                  <w:pPr>
                    <w:pStyle w:val="112"/>
                    <w:spacing w:line="240" w:lineRule="auto"/>
                    <w:ind w:left="-105" w:leftChars="-50" w:right="-105" w:rightChars="-50"/>
                    <w:rPr>
                      <w:color w:val="auto"/>
                      <w:kern w:val="2"/>
                      <w:sz w:val="21"/>
                      <w:szCs w:val="21"/>
                    </w:rPr>
                  </w:pPr>
                  <w:r>
                    <w:rPr>
                      <w:rFonts w:hint="eastAsia"/>
                      <w:color w:val="auto"/>
                      <w:kern w:val="2"/>
                      <w:sz w:val="21"/>
                      <w:szCs w:val="21"/>
                      <w:lang w:val="en-US" w:eastAsia="zh-CN"/>
                    </w:rPr>
                    <w:t>5</w:t>
                  </w:r>
                  <w:r>
                    <w:rPr>
                      <w:rFonts w:hint="eastAsia"/>
                      <w:color w:val="auto"/>
                      <w:kern w:val="2"/>
                      <w:sz w:val="21"/>
                      <w:szCs w:val="21"/>
                    </w:rPr>
                    <w:t>.03</w:t>
                  </w:r>
                </w:p>
              </w:tc>
            </w:tr>
            <w:tr w14:paraId="5C1F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 w:type="pct"/>
                  <w:vAlign w:val="center"/>
                </w:tcPr>
                <w:p w14:paraId="700E14CB">
                  <w:pPr>
                    <w:pStyle w:val="76"/>
                    <w:spacing w:line="240" w:lineRule="atLeast"/>
                    <w:rPr>
                      <w:rFonts w:ascii="Times New Roman" w:hAnsi="Times New Roman"/>
                      <w:color w:val="auto"/>
                      <w:szCs w:val="21"/>
                    </w:rPr>
                  </w:pPr>
                  <w:r>
                    <w:rPr>
                      <w:rFonts w:hint="eastAsia" w:ascii="Times New Roman" w:hAnsi="Times New Roman"/>
                      <w:color w:val="auto"/>
                      <w:szCs w:val="21"/>
                    </w:rPr>
                    <w:t>浇筑</w:t>
                  </w:r>
                </w:p>
              </w:tc>
              <w:tc>
                <w:tcPr>
                  <w:tcW w:w="493" w:type="pct"/>
                  <w:vMerge w:val="continue"/>
                  <w:vAlign w:val="center"/>
                </w:tcPr>
                <w:p w14:paraId="369B20CC">
                  <w:pPr>
                    <w:widowControl/>
                    <w:jc w:val="center"/>
                    <w:textAlignment w:val="bottom"/>
                    <w:rPr>
                      <w:color w:val="auto"/>
                      <w:kern w:val="0"/>
                      <w:szCs w:val="21"/>
                      <w:lang w:bidi="ar"/>
                    </w:rPr>
                  </w:pPr>
                </w:p>
              </w:tc>
              <w:tc>
                <w:tcPr>
                  <w:tcW w:w="403" w:type="pct"/>
                  <w:vAlign w:val="center"/>
                </w:tcPr>
                <w:p w14:paraId="458385FF">
                  <w:pPr>
                    <w:pStyle w:val="112"/>
                    <w:spacing w:line="240" w:lineRule="auto"/>
                    <w:ind w:left="-105" w:leftChars="-50" w:right="-105" w:rightChars="-50"/>
                    <w:rPr>
                      <w:color w:val="auto"/>
                      <w:kern w:val="2"/>
                      <w:sz w:val="21"/>
                      <w:szCs w:val="21"/>
                    </w:rPr>
                  </w:pPr>
                  <w:r>
                    <w:rPr>
                      <w:rFonts w:hint="eastAsia"/>
                      <w:color w:val="auto"/>
                      <w:kern w:val="2"/>
                      <w:sz w:val="21"/>
                      <w:szCs w:val="21"/>
                    </w:rPr>
                    <w:t>16.75</w:t>
                  </w:r>
                </w:p>
              </w:tc>
              <w:tc>
                <w:tcPr>
                  <w:tcW w:w="430" w:type="pct"/>
                  <w:vAlign w:val="center"/>
                </w:tcPr>
                <w:p w14:paraId="0AE59232">
                  <w:pPr>
                    <w:pStyle w:val="112"/>
                    <w:spacing w:line="240" w:lineRule="auto"/>
                    <w:ind w:left="-105" w:leftChars="-50" w:right="-105" w:rightChars="-50"/>
                    <w:rPr>
                      <w:rFonts w:hint="default" w:eastAsia="宋体"/>
                      <w:color w:val="auto"/>
                      <w:kern w:val="2"/>
                      <w:sz w:val="21"/>
                      <w:szCs w:val="21"/>
                      <w:lang w:val="en-US" w:eastAsia="zh-CN"/>
                    </w:rPr>
                  </w:pPr>
                  <w:r>
                    <w:rPr>
                      <w:rFonts w:hint="eastAsia"/>
                      <w:color w:val="auto"/>
                      <w:kern w:val="2"/>
                      <w:sz w:val="21"/>
                      <w:szCs w:val="21"/>
                      <w:lang w:val="en-US" w:eastAsia="zh-CN"/>
                    </w:rPr>
                    <w:t>8.37</w:t>
                  </w:r>
                </w:p>
              </w:tc>
              <w:tc>
                <w:tcPr>
                  <w:tcW w:w="628" w:type="pct"/>
                  <w:vAlign w:val="center"/>
                </w:tcPr>
                <w:p w14:paraId="182C259C">
                  <w:pPr>
                    <w:pStyle w:val="112"/>
                    <w:spacing w:line="240" w:lineRule="auto"/>
                    <w:ind w:left="-105" w:leftChars="-50" w:right="-105" w:rightChars="-50"/>
                    <w:rPr>
                      <w:rFonts w:hint="default" w:eastAsia="宋体"/>
                      <w:color w:val="auto"/>
                      <w:kern w:val="2"/>
                      <w:sz w:val="21"/>
                      <w:szCs w:val="21"/>
                      <w:lang w:val="en-US" w:eastAsia="zh-CN"/>
                    </w:rPr>
                  </w:pPr>
                  <w:r>
                    <w:rPr>
                      <w:rFonts w:hint="eastAsia"/>
                      <w:color w:val="auto"/>
                      <w:kern w:val="2"/>
                      <w:sz w:val="21"/>
                      <w:szCs w:val="21"/>
                      <w:lang w:val="en-US" w:eastAsia="zh-CN"/>
                    </w:rPr>
                    <w:t>41.17</w:t>
                  </w:r>
                </w:p>
              </w:tc>
              <w:tc>
                <w:tcPr>
                  <w:tcW w:w="344" w:type="pct"/>
                  <w:vMerge w:val="continue"/>
                  <w:vAlign w:val="center"/>
                </w:tcPr>
                <w:p w14:paraId="7A0A690C">
                  <w:pPr>
                    <w:pStyle w:val="112"/>
                    <w:spacing w:line="240" w:lineRule="auto"/>
                    <w:ind w:left="-105" w:leftChars="-50" w:right="-105" w:rightChars="-50"/>
                    <w:rPr>
                      <w:color w:val="auto"/>
                      <w:kern w:val="2"/>
                      <w:sz w:val="21"/>
                      <w:szCs w:val="21"/>
                    </w:rPr>
                  </w:pPr>
                </w:p>
              </w:tc>
              <w:tc>
                <w:tcPr>
                  <w:tcW w:w="621" w:type="pct"/>
                  <w:vMerge w:val="continue"/>
                  <w:vAlign w:val="center"/>
                </w:tcPr>
                <w:p w14:paraId="6D7ACCBF">
                  <w:pPr>
                    <w:pStyle w:val="112"/>
                    <w:spacing w:line="240" w:lineRule="auto"/>
                    <w:ind w:left="-105" w:leftChars="-50" w:right="-105" w:rightChars="-50"/>
                    <w:rPr>
                      <w:color w:val="auto"/>
                      <w:kern w:val="2"/>
                      <w:sz w:val="21"/>
                      <w:szCs w:val="21"/>
                    </w:rPr>
                  </w:pPr>
                </w:p>
              </w:tc>
              <w:tc>
                <w:tcPr>
                  <w:tcW w:w="554" w:type="pct"/>
                  <w:vMerge w:val="continue"/>
                  <w:vAlign w:val="center"/>
                </w:tcPr>
                <w:p w14:paraId="4F8D2CFD">
                  <w:pPr>
                    <w:pStyle w:val="112"/>
                    <w:spacing w:line="240" w:lineRule="auto"/>
                    <w:ind w:left="-105" w:leftChars="-50" w:right="-105" w:rightChars="-50"/>
                    <w:rPr>
                      <w:color w:val="auto"/>
                      <w:kern w:val="2"/>
                      <w:sz w:val="21"/>
                      <w:szCs w:val="21"/>
                    </w:rPr>
                  </w:pPr>
                </w:p>
              </w:tc>
              <w:tc>
                <w:tcPr>
                  <w:tcW w:w="554" w:type="pct"/>
                  <w:vMerge w:val="continue"/>
                  <w:vAlign w:val="center"/>
                </w:tcPr>
                <w:p w14:paraId="68B92144">
                  <w:pPr>
                    <w:pStyle w:val="112"/>
                    <w:spacing w:line="240" w:lineRule="auto"/>
                    <w:ind w:left="-105" w:leftChars="-50" w:right="-105" w:rightChars="-50"/>
                    <w:rPr>
                      <w:color w:val="auto"/>
                      <w:kern w:val="2"/>
                      <w:sz w:val="21"/>
                      <w:szCs w:val="21"/>
                    </w:rPr>
                  </w:pPr>
                </w:p>
              </w:tc>
              <w:tc>
                <w:tcPr>
                  <w:tcW w:w="501" w:type="pct"/>
                  <w:vMerge w:val="continue"/>
                  <w:vAlign w:val="center"/>
                </w:tcPr>
                <w:p w14:paraId="65DF9F20">
                  <w:pPr>
                    <w:pStyle w:val="112"/>
                    <w:spacing w:line="240" w:lineRule="auto"/>
                    <w:ind w:left="-105" w:leftChars="-50" w:right="-105" w:rightChars="-50"/>
                    <w:rPr>
                      <w:color w:val="auto"/>
                      <w:kern w:val="2"/>
                      <w:sz w:val="21"/>
                      <w:szCs w:val="21"/>
                    </w:rPr>
                  </w:pPr>
                </w:p>
              </w:tc>
            </w:tr>
            <w:tr w14:paraId="2143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 w:type="pct"/>
                  <w:vAlign w:val="center"/>
                </w:tcPr>
                <w:p w14:paraId="0C4CD164">
                  <w:pPr>
                    <w:pStyle w:val="76"/>
                    <w:spacing w:line="240" w:lineRule="atLeast"/>
                    <w:rPr>
                      <w:rFonts w:ascii="Times New Roman" w:hAnsi="Times New Roman"/>
                      <w:color w:val="auto"/>
                      <w:szCs w:val="21"/>
                    </w:rPr>
                  </w:pPr>
                  <w:r>
                    <w:rPr>
                      <w:rFonts w:hint="eastAsia" w:ascii="Times New Roman" w:hAnsi="Times New Roman"/>
                      <w:color w:val="auto"/>
                      <w:szCs w:val="21"/>
                    </w:rPr>
                    <w:t>焊接</w:t>
                  </w:r>
                </w:p>
              </w:tc>
              <w:tc>
                <w:tcPr>
                  <w:tcW w:w="493" w:type="pct"/>
                  <w:vMerge w:val="continue"/>
                  <w:vAlign w:val="center"/>
                </w:tcPr>
                <w:p w14:paraId="48B30E63">
                  <w:pPr>
                    <w:widowControl/>
                    <w:jc w:val="center"/>
                    <w:textAlignment w:val="bottom"/>
                    <w:rPr>
                      <w:color w:val="auto"/>
                      <w:kern w:val="0"/>
                      <w:szCs w:val="21"/>
                      <w:lang w:bidi="ar"/>
                    </w:rPr>
                  </w:pPr>
                </w:p>
              </w:tc>
              <w:tc>
                <w:tcPr>
                  <w:tcW w:w="403" w:type="pct"/>
                  <w:vAlign w:val="center"/>
                </w:tcPr>
                <w:p w14:paraId="15744328">
                  <w:pPr>
                    <w:pStyle w:val="112"/>
                    <w:spacing w:line="240" w:lineRule="auto"/>
                    <w:ind w:right="-105" w:rightChars="-50"/>
                    <w:jc w:val="both"/>
                    <w:rPr>
                      <w:color w:val="auto"/>
                      <w:kern w:val="2"/>
                      <w:sz w:val="21"/>
                      <w:szCs w:val="21"/>
                    </w:rPr>
                  </w:pPr>
                  <w:r>
                    <w:rPr>
                      <w:rFonts w:hint="eastAsia"/>
                      <w:color w:val="auto"/>
                      <w:kern w:val="2"/>
                      <w:sz w:val="21"/>
                      <w:szCs w:val="21"/>
                    </w:rPr>
                    <w:t>6.9</w:t>
                  </w:r>
                </w:p>
              </w:tc>
              <w:tc>
                <w:tcPr>
                  <w:tcW w:w="430" w:type="pct"/>
                  <w:vAlign w:val="center"/>
                </w:tcPr>
                <w:p w14:paraId="58FC0718">
                  <w:pPr>
                    <w:pStyle w:val="112"/>
                    <w:spacing w:line="240" w:lineRule="auto"/>
                    <w:ind w:left="-105" w:leftChars="-50" w:right="-105" w:rightChars="-50"/>
                    <w:rPr>
                      <w:rFonts w:hint="default" w:eastAsia="宋体"/>
                      <w:color w:val="auto"/>
                      <w:kern w:val="2"/>
                      <w:sz w:val="21"/>
                      <w:szCs w:val="21"/>
                      <w:lang w:val="en-US" w:eastAsia="zh-CN"/>
                    </w:rPr>
                  </w:pPr>
                  <w:r>
                    <w:rPr>
                      <w:rFonts w:hint="eastAsia"/>
                      <w:color w:val="auto"/>
                      <w:kern w:val="2"/>
                      <w:sz w:val="21"/>
                      <w:szCs w:val="21"/>
                      <w:lang w:val="en-US" w:eastAsia="zh-CN"/>
                    </w:rPr>
                    <w:t>3.43</w:t>
                  </w:r>
                </w:p>
              </w:tc>
              <w:tc>
                <w:tcPr>
                  <w:tcW w:w="628" w:type="pct"/>
                  <w:vAlign w:val="center"/>
                </w:tcPr>
                <w:p w14:paraId="2833531B">
                  <w:pPr>
                    <w:pStyle w:val="112"/>
                    <w:spacing w:line="240" w:lineRule="auto"/>
                    <w:ind w:left="-105" w:leftChars="-50" w:right="-105" w:rightChars="-50"/>
                    <w:rPr>
                      <w:rFonts w:hint="default" w:eastAsia="宋体"/>
                      <w:color w:val="auto"/>
                      <w:kern w:val="2"/>
                      <w:sz w:val="21"/>
                      <w:szCs w:val="21"/>
                      <w:lang w:val="en-US" w:eastAsia="zh-CN"/>
                    </w:rPr>
                  </w:pPr>
                  <w:r>
                    <w:rPr>
                      <w:rFonts w:hint="eastAsia"/>
                      <w:color w:val="auto"/>
                      <w:kern w:val="2"/>
                      <w:sz w:val="21"/>
                      <w:szCs w:val="21"/>
                      <w:lang w:val="en-US" w:eastAsia="zh-CN"/>
                    </w:rPr>
                    <w:t>15.61</w:t>
                  </w:r>
                </w:p>
              </w:tc>
              <w:tc>
                <w:tcPr>
                  <w:tcW w:w="344" w:type="pct"/>
                  <w:vMerge w:val="continue"/>
                  <w:vAlign w:val="center"/>
                </w:tcPr>
                <w:p w14:paraId="2A2C3CF8">
                  <w:pPr>
                    <w:pStyle w:val="112"/>
                    <w:spacing w:line="240" w:lineRule="auto"/>
                    <w:ind w:left="-105" w:leftChars="-50" w:right="-105" w:rightChars="-50"/>
                    <w:rPr>
                      <w:color w:val="auto"/>
                      <w:kern w:val="2"/>
                      <w:sz w:val="21"/>
                      <w:szCs w:val="21"/>
                    </w:rPr>
                  </w:pPr>
                </w:p>
              </w:tc>
              <w:tc>
                <w:tcPr>
                  <w:tcW w:w="621" w:type="pct"/>
                  <w:vMerge w:val="continue"/>
                  <w:vAlign w:val="center"/>
                </w:tcPr>
                <w:p w14:paraId="0BB6E8FB">
                  <w:pPr>
                    <w:pStyle w:val="112"/>
                    <w:spacing w:line="240" w:lineRule="auto"/>
                    <w:ind w:left="-105" w:leftChars="-50" w:right="-105" w:rightChars="-50"/>
                    <w:rPr>
                      <w:color w:val="auto"/>
                      <w:kern w:val="2"/>
                      <w:sz w:val="21"/>
                      <w:szCs w:val="21"/>
                    </w:rPr>
                  </w:pPr>
                </w:p>
              </w:tc>
              <w:tc>
                <w:tcPr>
                  <w:tcW w:w="554" w:type="pct"/>
                  <w:vAlign w:val="center"/>
                </w:tcPr>
                <w:p w14:paraId="0EB1B8D9">
                  <w:pPr>
                    <w:pStyle w:val="112"/>
                    <w:spacing w:line="240" w:lineRule="auto"/>
                    <w:ind w:left="-105" w:leftChars="-50" w:right="-105" w:rightChars="-50"/>
                    <w:rPr>
                      <w:color w:val="auto"/>
                      <w:kern w:val="2"/>
                      <w:sz w:val="21"/>
                      <w:szCs w:val="21"/>
                    </w:rPr>
                  </w:pPr>
                  <w:r>
                    <w:rPr>
                      <w:rFonts w:hint="eastAsia"/>
                      <w:color w:val="auto"/>
                      <w:kern w:val="2"/>
                      <w:sz w:val="21"/>
                      <w:szCs w:val="21"/>
                    </w:rPr>
                    <w:t>0.31</w:t>
                  </w:r>
                </w:p>
              </w:tc>
              <w:tc>
                <w:tcPr>
                  <w:tcW w:w="554" w:type="pct"/>
                  <w:vAlign w:val="center"/>
                </w:tcPr>
                <w:p w14:paraId="1B899E7F">
                  <w:pPr>
                    <w:pStyle w:val="112"/>
                    <w:spacing w:line="240" w:lineRule="auto"/>
                    <w:ind w:left="-105" w:leftChars="-50" w:right="-105" w:rightChars="-50"/>
                    <w:rPr>
                      <w:rFonts w:hint="default" w:eastAsia="宋体"/>
                      <w:color w:val="auto"/>
                      <w:kern w:val="2"/>
                      <w:sz w:val="21"/>
                      <w:szCs w:val="21"/>
                      <w:lang w:val="en-US" w:eastAsia="zh-CN"/>
                    </w:rPr>
                  </w:pPr>
                  <w:r>
                    <w:rPr>
                      <w:rFonts w:hint="eastAsia"/>
                      <w:color w:val="auto"/>
                      <w:kern w:val="2"/>
                      <w:sz w:val="21"/>
                      <w:szCs w:val="21"/>
                      <w:lang w:val="en-US" w:eastAsia="zh-CN"/>
                    </w:rPr>
                    <w:t>0.15</w:t>
                  </w:r>
                </w:p>
              </w:tc>
              <w:tc>
                <w:tcPr>
                  <w:tcW w:w="501" w:type="pct"/>
                  <w:vAlign w:val="center"/>
                </w:tcPr>
                <w:p w14:paraId="6E7E2572">
                  <w:pPr>
                    <w:pStyle w:val="112"/>
                    <w:spacing w:line="240" w:lineRule="auto"/>
                    <w:ind w:left="-105" w:leftChars="-50" w:right="-105" w:rightChars="-50"/>
                    <w:rPr>
                      <w:rFonts w:hint="default" w:eastAsia="宋体"/>
                      <w:color w:val="auto"/>
                      <w:kern w:val="2"/>
                      <w:sz w:val="21"/>
                      <w:szCs w:val="21"/>
                      <w:lang w:val="en-US" w:eastAsia="zh-CN"/>
                    </w:rPr>
                  </w:pPr>
                  <w:r>
                    <w:rPr>
                      <w:rFonts w:hint="eastAsia"/>
                      <w:color w:val="auto"/>
                      <w:kern w:val="2"/>
                      <w:sz w:val="21"/>
                      <w:szCs w:val="21"/>
                    </w:rPr>
                    <w:t>0.</w:t>
                  </w:r>
                  <w:r>
                    <w:rPr>
                      <w:rFonts w:hint="eastAsia"/>
                      <w:color w:val="auto"/>
                      <w:kern w:val="2"/>
                      <w:sz w:val="21"/>
                      <w:szCs w:val="21"/>
                      <w:lang w:val="en-US" w:eastAsia="zh-CN"/>
                    </w:rPr>
                    <w:t>70</w:t>
                  </w:r>
                </w:p>
              </w:tc>
            </w:tr>
          </w:tbl>
          <w:p w14:paraId="6EA9C29E">
            <w:pPr>
              <w:rPr>
                <w:color w:val="auto"/>
              </w:rPr>
            </w:pPr>
          </w:p>
          <w:p w14:paraId="06DD602F">
            <w:pPr>
              <w:snapToGrid w:val="0"/>
              <w:jc w:val="center"/>
              <w:rPr>
                <w:b/>
                <w:bCs/>
                <w:color w:val="auto"/>
                <w:szCs w:val="21"/>
              </w:rPr>
            </w:pPr>
            <w:r>
              <w:rPr>
                <w:b/>
                <w:bCs/>
                <w:color w:val="auto"/>
                <w:szCs w:val="21"/>
              </w:rPr>
              <w:t>表4-</w:t>
            </w:r>
            <w:r>
              <w:rPr>
                <w:rFonts w:hint="eastAsia"/>
                <w:b/>
                <w:bCs/>
                <w:color w:val="auto"/>
                <w:szCs w:val="21"/>
              </w:rPr>
              <w:t>6</w:t>
            </w:r>
            <w:r>
              <w:rPr>
                <w:b/>
                <w:bCs/>
                <w:color w:val="auto"/>
                <w:szCs w:val="21"/>
              </w:rPr>
              <w:t xml:space="preserve">  大气污染物无组织排放基本情况一览表</w:t>
            </w:r>
          </w:p>
          <w:tbl>
            <w:tblPr>
              <w:tblStyle w:val="24"/>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570"/>
              <w:gridCol w:w="963"/>
              <w:gridCol w:w="1351"/>
              <w:gridCol w:w="1500"/>
              <w:gridCol w:w="1799"/>
            </w:tblGrid>
            <w:tr w14:paraId="49A9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73" w:type="pct"/>
                  <w:vMerge w:val="restart"/>
                  <w:vAlign w:val="center"/>
                </w:tcPr>
                <w:p w14:paraId="276BF96B">
                  <w:pPr>
                    <w:pStyle w:val="11"/>
                    <w:tabs>
                      <w:tab w:val="left" w:pos="0"/>
                    </w:tabs>
                    <w:spacing w:line="360" w:lineRule="exact"/>
                    <w:jc w:val="center"/>
                    <w:rPr>
                      <w:rFonts w:hint="default" w:ascii="Times New Roman" w:hAnsi="Times New Roman"/>
                      <w:b/>
                      <w:color w:val="auto"/>
                      <w:szCs w:val="21"/>
                    </w:rPr>
                  </w:pPr>
                  <w:r>
                    <w:rPr>
                      <w:rFonts w:hint="default" w:ascii="Times New Roman" w:hAnsi="Times New Roman"/>
                      <w:b/>
                      <w:color w:val="auto"/>
                      <w:szCs w:val="21"/>
                    </w:rPr>
                    <w:t>污染源</w:t>
                  </w:r>
                </w:p>
              </w:tc>
              <w:tc>
                <w:tcPr>
                  <w:tcW w:w="967" w:type="pct"/>
                  <w:vMerge w:val="restart"/>
                  <w:vAlign w:val="center"/>
                </w:tcPr>
                <w:p w14:paraId="5A4472A9">
                  <w:pPr>
                    <w:pStyle w:val="11"/>
                    <w:tabs>
                      <w:tab w:val="left" w:pos="0"/>
                    </w:tabs>
                    <w:spacing w:line="360" w:lineRule="exact"/>
                    <w:jc w:val="center"/>
                    <w:rPr>
                      <w:rFonts w:hint="default" w:ascii="Times New Roman" w:hAnsi="Times New Roman"/>
                      <w:b/>
                      <w:color w:val="auto"/>
                      <w:szCs w:val="21"/>
                    </w:rPr>
                  </w:pPr>
                  <w:r>
                    <w:rPr>
                      <w:rFonts w:hint="default" w:ascii="Times New Roman" w:hAnsi="Times New Roman"/>
                      <w:b/>
                      <w:color w:val="auto"/>
                      <w:szCs w:val="21"/>
                    </w:rPr>
                    <w:t>污染工序</w:t>
                  </w:r>
                </w:p>
              </w:tc>
              <w:tc>
                <w:tcPr>
                  <w:tcW w:w="593" w:type="pct"/>
                  <w:vMerge w:val="restart"/>
                  <w:vAlign w:val="center"/>
                </w:tcPr>
                <w:p w14:paraId="2E469A60">
                  <w:pPr>
                    <w:pStyle w:val="11"/>
                    <w:tabs>
                      <w:tab w:val="left" w:pos="0"/>
                    </w:tabs>
                    <w:spacing w:line="360" w:lineRule="exact"/>
                    <w:jc w:val="center"/>
                    <w:rPr>
                      <w:rFonts w:hint="default" w:ascii="Times New Roman" w:hAnsi="Times New Roman"/>
                      <w:b/>
                      <w:color w:val="auto"/>
                      <w:szCs w:val="21"/>
                    </w:rPr>
                  </w:pPr>
                  <w:r>
                    <w:rPr>
                      <w:rFonts w:hint="default" w:ascii="Times New Roman" w:hAnsi="Times New Roman"/>
                      <w:b/>
                      <w:color w:val="auto"/>
                      <w:szCs w:val="21"/>
                    </w:rPr>
                    <w:t>污染物</w:t>
                  </w:r>
                </w:p>
              </w:tc>
              <w:tc>
                <w:tcPr>
                  <w:tcW w:w="832" w:type="pct"/>
                  <w:vMerge w:val="restart"/>
                  <w:vAlign w:val="center"/>
                </w:tcPr>
                <w:p w14:paraId="7B1EC728">
                  <w:pPr>
                    <w:pStyle w:val="11"/>
                    <w:tabs>
                      <w:tab w:val="left" w:pos="0"/>
                    </w:tabs>
                    <w:spacing w:line="360" w:lineRule="exact"/>
                    <w:jc w:val="center"/>
                    <w:rPr>
                      <w:rFonts w:hint="default" w:ascii="Times New Roman" w:hAnsi="Times New Roman"/>
                      <w:b/>
                      <w:color w:val="auto"/>
                      <w:szCs w:val="21"/>
                    </w:rPr>
                  </w:pPr>
                  <w:r>
                    <w:rPr>
                      <w:rFonts w:hint="default" w:ascii="Times New Roman" w:hAnsi="Times New Roman"/>
                      <w:b/>
                      <w:color w:val="auto"/>
                      <w:szCs w:val="21"/>
                    </w:rPr>
                    <w:t>产生量（</w:t>
                  </w:r>
                  <w:r>
                    <w:rPr>
                      <w:rFonts w:hint="default" w:ascii="Times New Roman" w:hAnsi="Times New Roman"/>
                      <w:b/>
                      <w:bCs/>
                      <w:color w:val="auto"/>
                      <w:szCs w:val="21"/>
                    </w:rPr>
                    <w:t>t/a）</w:t>
                  </w:r>
                </w:p>
              </w:tc>
              <w:tc>
                <w:tcPr>
                  <w:tcW w:w="924" w:type="pct"/>
                  <w:vMerge w:val="restart"/>
                  <w:vAlign w:val="center"/>
                </w:tcPr>
                <w:p w14:paraId="15040F23">
                  <w:pPr>
                    <w:pStyle w:val="11"/>
                    <w:tabs>
                      <w:tab w:val="left" w:pos="0"/>
                    </w:tabs>
                    <w:spacing w:line="360" w:lineRule="exact"/>
                    <w:jc w:val="center"/>
                    <w:rPr>
                      <w:rFonts w:hint="default" w:ascii="Times New Roman" w:hAnsi="Times New Roman"/>
                      <w:b/>
                      <w:color w:val="auto"/>
                      <w:szCs w:val="21"/>
                    </w:rPr>
                  </w:pPr>
                  <w:r>
                    <w:rPr>
                      <w:rFonts w:hint="default" w:ascii="Times New Roman" w:hAnsi="Times New Roman"/>
                      <w:b/>
                      <w:color w:val="auto"/>
                      <w:szCs w:val="21"/>
                    </w:rPr>
                    <w:t>治理措施</w:t>
                  </w:r>
                </w:p>
              </w:tc>
              <w:tc>
                <w:tcPr>
                  <w:tcW w:w="1108" w:type="pct"/>
                  <w:vMerge w:val="restart"/>
                  <w:vAlign w:val="center"/>
                </w:tcPr>
                <w:p w14:paraId="66C2117A">
                  <w:pPr>
                    <w:pStyle w:val="11"/>
                    <w:tabs>
                      <w:tab w:val="left" w:pos="0"/>
                    </w:tabs>
                    <w:spacing w:line="360" w:lineRule="exact"/>
                    <w:jc w:val="center"/>
                    <w:rPr>
                      <w:rFonts w:hint="default" w:ascii="Times New Roman" w:hAnsi="Times New Roman"/>
                      <w:b/>
                      <w:color w:val="auto"/>
                      <w:szCs w:val="21"/>
                    </w:rPr>
                  </w:pPr>
                  <w:r>
                    <w:rPr>
                      <w:rFonts w:hint="default" w:ascii="Times New Roman" w:hAnsi="Times New Roman"/>
                      <w:b/>
                      <w:color w:val="auto"/>
                      <w:szCs w:val="21"/>
                    </w:rPr>
                    <w:t>排放量（</w:t>
                  </w:r>
                  <w:r>
                    <w:rPr>
                      <w:rFonts w:hint="default" w:ascii="Times New Roman" w:hAnsi="Times New Roman"/>
                      <w:b/>
                      <w:bCs/>
                      <w:color w:val="auto"/>
                      <w:szCs w:val="21"/>
                    </w:rPr>
                    <w:t>t/a）</w:t>
                  </w:r>
                </w:p>
              </w:tc>
            </w:tr>
            <w:tr w14:paraId="28C1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73" w:type="pct"/>
                  <w:vMerge w:val="continue"/>
                  <w:vAlign w:val="center"/>
                </w:tcPr>
                <w:p w14:paraId="2245180E">
                  <w:pPr>
                    <w:pStyle w:val="11"/>
                    <w:tabs>
                      <w:tab w:val="left" w:pos="0"/>
                    </w:tabs>
                    <w:spacing w:line="360" w:lineRule="exact"/>
                    <w:jc w:val="center"/>
                    <w:rPr>
                      <w:rFonts w:hint="default" w:ascii="Times New Roman" w:hAnsi="Times New Roman"/>
                      <w:b/>
                      <w:color w:val="auto"/>
                      <w:szCs w:val="21"/>
                    </w:rPr>
                  </w:pPr>
                </w:p>
              </w:tc>
              <w:tc>
                <w:tcPr>
                  <w:tcW w:w="967" w:type="pct"/>
                  <w:vMerge w:val="continue"/>
                  <w:vAlign w:val="center"/>
                </w:tcPr>
                <w:p w14:paraId="30AF4152">
                  <w:pPr>
                    <w:pStyle w:val="11"/>
                    <w:tabs>
                      <w:tab w:val="left" w:pos="0"/>
                    </w:tabs>
                    <w:spacing w:line="360" w:lineRule="exact"/>
                    <w:jc w:val="center"/>
                    <w:rPr>
                      <w:rFonts w:hint="default" w:ascii="Times New Roman" w:hAnsi="Times New Roman"/>
                      <w:b/>
                      <w:color w:val="auto"/>
                      <w:szCs w:val="21"/>
                    </w:rPr>
                  </w:pPr>
                </w:p>
              </w:tc>
              <w:tc>
                <w:tcPr>
                  <w:tcW w:w="593" w:type="pct"/>
                  <w:vMerge w:val="continue"/>
                  <w:vAlign w:val="center"/>
                </w:tcPr>
                <w:p w14:paraId="1F2EE721">
                  <w:pPr>
                    <w:pStyle w:val="11"/>
                    <w:tabs>
                      <w:tab w:val="left" w:pos="0"/>
                    </w:tabs>
                    <w:spacing w:line="360" w:lineRule="exact"/>
                    <w:jc w:val="center"/>
                    <w:rPr>
                      <w:rFonts w:hint="default" w:ascii="Times New Roman" w:hAnsi="Times New Roman"/>
                      <w:b/>
                      <w:color w:val="auto"/>
                      <w:szCs w:val="21"/>
                    </w:rPr>
                  </w:pPr>
                </w:p>
              </w:tc>
              <w:tc>
                <w:tcPr>
                  <w:tcW w:w="832" w:type="pct"/>
                  <w:vMerge w:val="continue"/>
                  <w:vAlign w:val="center"/>
                </w:tcPr>
                <w:p w14:paraId="07FD3710">
                  <w:pPr>
                    <w:pStyle w:val="11"/>
                    <w:tabs>
                      <w:tab w:val="left" w:pos="0"/>
                    </w:tabs>
                    <w:spacing w:line="360" w:lineRule="exact"/>
                    <w:jc w:val="center"/>
                    <w:rPr>
                      <w:rFonts w:hint="default" w:ascii="Times New Roman" w:hAnsi="Times New Roman"/>
                      <w:b/>
                      <w:color w:val="auto"/>
                      <w:szCs w:val="21"/>
                    </w:rPr>
                  </w:pPr>
                </w:p>
              </w:tc>
              <w:tc>
                <w:tcPr>
                  <w:tcW w:w="924" w:type="pct"/>
                  <w:vMerge w:val="continue"/>
                  <w:vAlign w:val="center"/>
                </w:tcPr>
                <w:p w14:paraId="450B9585">
                  <w:pPr>
                    <w:pStyle w:val="11"/>
                    <w:tabs>
                      <w:tab w:val="left" w:pos="0"/>
                    </w:tabs>
                    <w:spacing w:line="360" w:lineRule="exact"/>
                    <w:jc w:val="center"/>
                    <w:rPr>
                      <w:rFonts w:hint="default" w:ascii="Times New Roman" w:hAnsi="Times New Roman"/>
                      <w:b/>
                      <w:color w:val="auto"/>
                      <w:szCs w:val="21"/>
                    </w:rPr>
                  </w:pPr>
                </w:p>
              </w:tc>
              <w:tc>
                <w:tcPr>
                  <w:tcW w:w="1108" w:type="pct"/>
                  <w:vMerge w:val="continue"/>
                  <w:vAlign w:val="center"/>
                </w:tcPr>
                <w:p w14:paraId="748D5936">
                  <w:pPr>
                    <w:pStyle w:val="11"/>
                    <w:tabs>
                      <w:tab w:val="left" w:pos="0"/>
                    </w:tabs>
                    <w:spacing w:line="360" w:lineRule="exact"/>
                    <w:jc w:val="center"/>
                    <w:rPr>
                      <w:rFonts w:hint="default" w:ascii="Times New Roman" w:hAnsi="Times New Roman"/>
                      <w:b/>
                      <w:color w:val="auto"/>
                      <w:szCs w:val="21"/>
                    </w:rPr>
                  </w:pPr>
                </w:p>
              </w:tc>
            </w:tr>
            <w:tr w14:paraId="7B73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73" w:type="pct"/>
                  <w:vMerge w:val="continue"/>
                  <w:vAlign w:val="center"/>
                </w:tcPr>
                <w:p w14:paraId="7E301F5A">
                  <w:pPr>
                    <w:pStyle w:val="11"/>
                    <w:tabs>
                      <w:tab w:val="left" w:pos="0"/>
                    </w:tabs>
                    <w:spacing w:line="360" w:lineRule="exact"/>
                    <w:jc w:val="center"/>
                    <w:rPr>
                      <w:rFonts w:hint="default" w:ascii="Times New Roman" w:hAnsi="Times New Roman"/>
                      <w:b/>
                      <w:color w:val="auto"/>
                      <w:szCs w:val="21"/>
                    </w:rPr>
                  </w:pPr>
                </w:p>
              </w:tc>
              <w:tc>
                <w:tcPr>
                  <w:tcW w:w="967" w:type="pct"/>
                  <w:vMerge w:val="continue"/>
                  <w:vAlign w:val="center"/>
                </w:tcPr>
                <w:p w14:paraId="39A7AD91">
                  <w:pPr>
                    <w:pStyle w:val="11"/>
                    <w:tabs>
                      <w:tab w:val="left" w:pos="0"/>
                    </w:tabs>
                    <w:spacing w:line="360" w:lineRule="exact"/>
                    <w:jc w:val="center"/>
                    <w:rPr>
                      <w:rFonts w:hint="default" w:ascii="Times New Roman" w:hAnsi="Times New Roman"/>
                      <w:b/>
                      <w:color w:val="auto"/>
                      <w:szCs w:val="21"/>
                    </w:rPr>
                  </w:pPr>
                </w:p>
              </w:tc>
              <w:tc>
                <w:tcPr>
                  <w:tcW w:w="593" w:type="pct"/>
                  <w:vMerge w:val="continue"/>
                  <w:vAlign w:val="center"/>
                </w:tcPr>
                <w:p w14:paraId="1C1D9E35">
                  <w:pPr>
                    <w:pStyle w:val="11"/>
                    <w:tabs>
                      <w:tab w:val="left" w:pos="0"/>
                    </w:tabs>
                    <w:spacing w:line="360" w:lineRule="exact"/>
                    <w:jc w:val="center"/>
                    <w:rPr>
                      <w:rFonts w:hint="default" w:ascii="Times New Roman" w:hAnsi="Times New Roman"/>
                      <w:b/>
                      <w:color w:val="auto"/>
                      <w:szCs w:val="21"/>
                    </w:rPr>
                  </w:pPr>
                </w:p>
              </w:tc>
              <w:tc>
                <w:tcPr>
                  <w:tcW w:w="832" w:type="pct"/>
                  <w:vMerge w:val="continue"/>
                  <w:vAlign w:val="center"/>
                </w:tcPr>
                <w:p w14:paraId="0A3E2A2F">
                  <w:pPr>
                    <w:pStyle w:val="11"/>
                    <w:tabs>
                      <w:tab w:val="left" w:pos="0"/>
                    </w:tabs>
                    <w:spacing w:line="360" w:lineRule="exact"/>
                    <w:jc w:val="center"/>
                    <w:rPr>
                      <w:rFonts w:hint="default" w:ascii="Times New Roman" w:hAnsi="Times New Roman"/>
                      <w:b/>
                      <w:color w:val="auto"/>
                      <w:szCs w:val="21"/>
                    </w:rPr>
                  </w:pPr>
                </w:p>
              </w:tc>
              <w:tc>
                <w:tcPr>
                  <w:tcW w:w="924" w:type="pct"/>
                  <w:vMerge w:val="continue"/>
                  <w:vAlign w:val="center"/>
                </w:tcPr>
                <w:p w14:paraId="29A31E87">
                  <w:pPr>
                    <w:pStyle w:val="11"/>
                    <w:tabs>
                      <w:tab w:val="left" w:pos="0"/>
                    </w:tabs>
                    <w:spacing w:line="360" w:lineRule="exact"/>
                    <w:jc w:val="center"/>
                    <w:rPr>
                      <w:rFonts w:hint="default" w:ascii="Times New Roman" w:hAnsi="Times New Roman"/>
                      <w:b/>
                      <w:color w:val="auto"/>
                      <w:szCs w:val="21"/>
                    </w:rPr>
                  </w:pPr>
                </w:p>
              </w:tc>
              <w:tc>
                <w:tcPr>
                  <w:tcW w:w="1108" w:type="pct"/>
                  <w:vMerge w:val="continue"/>
                  <w:vAlign w:val="center"/>
                </w:tcPr>
                <w:p w14:paraId="0C33133C">
                  <w:pPr>
                    <w:pStyle w:val="11"/>
                    <w:tabs>
                      <w:tab w:val="left" w:pos="0"/>
                    </w:tabs>
                    <w:spacing w:line="360" w:lineRule="exact"/>
                    <w:jc w:val="center"/>
                    <w:rPr>
                      <w:rFonts w:hint="default" w:ascii="Times New Roman" w:hAnsi="Times New Roman"/>
                      <w:b/>
                      <w:color w:val="auto"/>
                      <w:szCs w:val="21"/>
                    </w:rPr>
                  </w:pPr>
                </w:p>
              </w:tc>
            </w:tr>
            <w:tr w14:paraId="3E18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3" w:type="pct"/>
                  <w:vMerge w:val="restart"/>
                  <w:vAlign w:val="center"/>
                </w:tcPr>
                <w:p w14:paraId="24EF2797">
                  <w:pPr>
                    <w:pStyle w:val="112"/>
                    <w:spacing w:line="240" w:lineRule="auto"/>
                    <w:ind w:left="-105" w:leftChars="-50" w:right="-105" w:rightChars="-50"/>
                    <w:rPr>
                      <w:color w:val="auto"/>
                      <w:kern w:val="2"/>
                      <w:sz w:val="21"/>
                      <w:szCs w:val="21"/>
                    </w:rPr>
                  </w:pPr>
                  <w:r>
                    <w:rPr>
                      <w:color w:val="auto"/>
                      <w:kern w:val="2"/>
                      <w:sz w:val="21"/>
                      <w:szCs w:val="21"/>
                    </w:rPr>
                    <w:t>生产车间</w:t>
                  </w:r>
                </w:p>
              </w:tc>
              <w:tc>
                <w:tcPr>
                  <w:tcW w:w="967" w:type="pct"/>
                  <w:vAlign w:val="center"/>
                </w:tcPr>
                <w:p w14:paraId="436DCC75">
                  <w:pPr>
                    <w:pStyle w:val="11"/>
                    <w:tabs>
                      <w:tab w:val="left" w:pos="0"/>
                    </w:tabs>
                    <w:spacing w:line="360" w:lineRule="exact"/>
                    <w:jc w:val="center"/>
                    <w:rPr>
                      <w:rFonts w:hint="default" w:ascii="Times New Roman" w:hAnsi="Times New Roman"/>
                      <w:bCs/>
                      <w:color w:val="auto"/>
                      <w:szCs w:val="21"/>
                    </w:rPr>
                  </w:pPr>
                  <w:r>
                    <w:rPr>
                      <w:rFonts w:ascii="Times New Roman" w:hAnsi="Times New Roman"/>
                      <w:bCs/>
                      <w:color w:val="auto"/>
                      <w:szCs w:val="21"/>
                    </w:rPr>
                    <w:t>熔炼</w:t>
                  </w:r>
                </w:p>
              </w:tc>
              <w:tc>
                <w:tcPr>
                  <w:tcW w:w="593" w:type="pct"/>
                  <w:vAlign w:val="center"/>
                </w:tcPr>
                <w:p w14:paraId="3B8384C6">
                  <w:pPr>
                    <w:pStyle w:val="112"/>
                    <w:spacing w:line="240" w:lineRule="auto"/>
                    <w:ind w:left="-105" w:leftChars="-50" w:right="-105" w:rightChars="-50"/>
                    <w:rPr>
                      <w:bCs/>
                      <w:color w:val="auto"/>
                      <w:kern w:val="2"/>
                      <w:sz w:val="21"/>
                      <w:szCs w:val="21"/>
                    </w:rPr>
                  </w:pPr>
                  <w:r>
                    <w:rPr>
                      <w:bCs/>
                      <w:color w:val="auto"/>
                      <w:kern w:val="2"/>
                      <w:sz w:val="21"/>
                      <w:szCs w:val="21"/>
                    </w:rPr>
                    <w:t>颗粒物</w:t>
                  </w:r>
                </w:p>
              </w:tc>
              <w:tc>
                <w:tcPr>
                  <w:tcW w:w="832" w:type="pct"/>
                  <w:vAlign w:val="center"/>
                </w:tcPr>
                <w:p w14:paraId="384872B8">
                  <w:pPr>
                    <w:pStyle w:val="11"/>
                    <w:tabs>
                      <w:tab w:val="left" w:pos="0"/>
                    </w:tabs>
                    <w:spacing w:line="360" w:lineRule="exact"/>
                    <w:jc w:val="center"/>
                    <w:rPr>
                      <w:rFonts w:hint="default" w:ascii="Times New Roman" w:hAnsi="Times New Roman" w:eastAsia="宋体"/>
                      <w:bCs/>
                      <w:color w:val="auto"/>
                      <w:szCs w:val="21"/>
                      <w:lang w:val="en-US" w:eastAsia="zh-CN"/>
                    </w:rPr>
                  </w:pPr>
                  <w:r>
                    <w:rPr>
                      <w:rFonts w:hint="eastAsia" w:ascii="Times New Roman" w:hAnsi="Times New Roman"/>
                      <w:color w:val="auto"/>
                      <w:szCs w:val="21"/>
                      <w:lang w:val="en-US" w:eastAsia="zh-CN"/>
                    </w:rPr>
                    <w:t>3.2</w:t>
                  </w:r>
                </w:p>
              </w:tc>
              <w:tc>
                <w:tcPr>
                  <w:tcW w:w="924" w:type="pct"/>
                  <w:vMerge w:val="restart"/>
                  <w:vAlign w:val="center"/>
                </w:tcPr>
                <w:p w14:paraId="4F9B4B46">
                  <w:pPr>
                    <w:pStyle w:val="11"/>
                    <w:tabs>
                      <w:tab w:val="left" w:pos="0"/>
                    </w:tabs>
                    <w:spacing w:line="360" w:lineRule="exact"/>
                    <w:jc w:val="center"/>
                    <w:rPr>
                      <w:rFonts w:hint="default" w:ascii="Times New Roman" w:hAnsi="Times New Roman"/>
                      <w:bCs/>
                      <w:color w:val="auto"/>
                      <w:szCs w:val="21"/>
                    </w:rPr>
                  </w:pPr>
                  <w:r>
                    <w:rPr>
                      <w:rFonts w:ascii="Times New Roman" w:hAnsi="Times New Roman"/>
                      <w:bCs/>
                      <w:color w:val="auto"/>
                      <w:szCs w:val="21"/>
                    </w:rPr>
                    <w:t>/</w:t>
                  </w:r>
                </w:p>
              </w:tc>
              <w:tc>
                <w:tcPr>
                  <w:tcW w:w="1108" w:type="pct"/>
                  <w:vAlign w:val="center"/>
                </w:tcPr>
                <w:p w14:paraId="695AEE5F">
                  <w:pPr>
                    <w:pStyle w:val="11"/>
                    <w:tabs>
                      <w:tab w:val="left" w:pos="0"/>
                    </w:tabs>
                    <w:spacing w:line="360" w:lineRule="exact"/>
                    <w:jc w:val="center"/>
                    <w:rPr>
                      <w:rFonts w:hint="default" w:ascii="Times New Roman" w:hAnsi="Times New Roman"/>
                      <w:bCs/>
                      <w:color w:val="auto"/>
                      <w:szCs w:val="21"/>
                    </w:rPr>
                  </w:pPr>
                  <w:r>
                    <w:rPr>
                      <w:rFonts w:ascii="Times New Roman" w:hAnsi="Times New Roman"/>
                      <w:bCs/>
                      <w:color w:val="auto"/>
                      <w:szCs w:val="21"/>
                    </w:rPr>
                    <w:t>3.2</w:t>
                  </w:r>
                </w:p>
              </w:tc>
            </w:tr>
            <w:tr w14:paraId="1D38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3" w:type="pct"/>
                  <w:vMerge w:val="continue"/>
                  <w:vAlign w:val="center"/>
                </w:tcPr>
                <w:p w14:paraId="31FB4014">
                  <w:pPr>
                    <w:pStyle w:val="11"/>
                    <w:tabs>
                      <w:tab w:val="left" w:pos="0"/>
                    </w:tabs>
                    <w:spacing w:line="360" w:lineRule="exact"/>
                    <w:jc w:val="center"/>
                    <w:rPr>
                      <w:rFonts w:hint="default" w:ascii="Times New Roman" w:hAnsi="Times New Roman"/>
                      <w:b/>
                      <w:color w:val="auto"/>
                      <w:szCs w:val="21"/>
                    </w:rPr>
                  </w:pPr>
                </w:p>
              </w:tc>
              <w:tc>
                <w:tcPr>
                  <w:tcW w:w="967" w:type="pct"/>
                  <w:vAlign w:val="center"/>
                </w:tcPr>
                <w:p w14:paraId="68B27F79">
                  <w:pPr>
                    <w:pStyle w:val="11"/>
                    <w:tabs>
                      <w:tab w:val="left" w:pos="0"/>
                    </w:tabs>
                    <w:spacing w:line="360" w:lineRule="exact"/>
                    <w:jc w:val="center"/>
                    <w:rPr>
                      <w:rFonts w:hint="default" w:ascii="Times New Roman" w:hAnsi="Times New Roman"/>
                      <w:bCs/>
                      <w:color w:val="auto"/>
                      <w:szCs w:val="21"/>
                    </w:rPr>
                  </w:pPr>
                  <w:r>
                    <w:rPr>
                      <w:rFonts w:ascii="Times New Roman" w:hAnsi="Times New Roman"/>
                      <w:bCs/>
                      <w:color w:val="auto"/>
                      <w:szCs w:val="21"/>
                    </w:rPr>
                    <w:t>浇筑</w:t>
                  </w:r>
                </w:p>
              </w:tc>
              <w:tc>
                <w:tcPr>
                  <w:tcW w:w="593" w:type="pct"/>
                  <w:vAlign w:val="center"/>
                </w:tcPr>
                <w:p w14:paraId="6DB37970">
                  <w:pPr>
                    <w:pStyle w:val="112"/>
                    <w:spacing w:line="240" w:lineRule="auto"/>
                    <w:ind w:left="-105" w:leftChars="-50" w:right="-105" w:rightChars="-50"/>
                    <w:rPr>
                      <w:bCs/>
                      <w:color w:val="auto"/>
                      <w:kern w:val="2"/>
                      <w:sz w:val="21"/>
                      <w:szCs w:val="21"/>
                    </w:rPr>
                  </w:pPr>
                  <w:r>
                    <w:rPr>
                      <w:bCs/>
                      <w:color w:val="auto"/>
                      <w:kern w:val="2"/>
                      <w:sz w:val="21"/>
                      <w:szCs w:val="21"/>
                    </w:rPr>
                    <w:t>颗粒物</w:t>
                  </w:r>
                </w:p>
              </w:tc>
              <w:tc>
                <w:tcPr>
                  <w:tcW w:w="832" w:type="pct"/>
                  <w:vAlign w:val="center"/>
                </w:tcPr>
                <w:p w14:paraId="141C5303">
                  <w:pPr>
                    <w:pStyle w:val="11"/>
                    <w:tabs>
                      <w:tab w:val="left" w:pos="0"/>
                    </w:tabs>
                    <w:spacing w:line="360" w:lineRule="exact"/>
                    <w:jc w:val="center"/>
                    <w:rPr>
                      <w:rFonts w:hint="default" w:ascii="Times New Roman" w:hAnsi="Times New Roman" w:eastAsia="宋体"/>
                      <w:bCs/>
                      <w:color w:val="auto"/>
                      <w:szCs w:val="21"/>
                      <w:lang w:val="en-US" w:eastAsia="zh-CN"/>
                    </w:rPr>
                  </w:pPr>
                  <w:r>
                    <w:rPr>
                      <w:rFonts w:hint="eastAsia" w:ascii="Times New Roman" w:hAnsi="Times New Roman"/>
                      <w:bCs/>
                      <w:color w:val="auto"/>
                      <w:szCs w:val="21"/>
                      <w:lang w:val="en-US" w:eastAsia="zh-CN"/>
                    </w:rPr>
                    <w:t>1.7</w:t>
                  </w:r>
                </w:p>
              </w:tc>
              <w:tc>
                <w:tcPr>
                  <w:tcW w:w="924" w:type="pct"/>
                  <w:vMerge w:val="continue"/>
                  <w:vAlign w:val="center"/>
                </w:tcPr>
                <w:p w14:paraId="69556E6F">
                  <w:pPr>
                    <w:pStyle w:val="11"/>
                    <w:tabs>
                      <w:tab w:val="left" w:pos="0"/>
                    </w:tabs>
                    <w:spacing w:line="360" w:lineRule="exact"/>
                    <w:jc w:val="center"/>
                    <w:rPr>
                      <w:rFonts w:hint="default" w:ascii="Times New Roman" w:hAnsi="Times New Roman"/>
                      <w:bCs/>
                      <w:color w:val="auto"/>
                      <w:szCs w:val="21"/>
                    </w:rPr>
                  </w:pPr>
                </w:p>
              </w:tc>
              <w:tc>
                <w:tcPr>
                  <w:tcW w:w="1108" w:type="pct"/>
                  <w:vAlign w:val="center"/>
                </w:tcPr>
                <w:p w14:paraId="2B2DF432">
                  <w:pPr>
                    <w:pStyle w:val="11"/>
                    <w:tabs>
                      <w:tab w:val="left" w:pos="0"/>
                    </w:tabs>
                    <w:spacing w:line="360" w:lineRule="exact"/>
                    <w:jc w:val="center"/>
                    <w:rPr>
                      <w:rFonts w:hint="default" w:ascii="Times New Roman" w:hAnsi="Times New Roman"/>
                      <w:bCs/>
                      <w:color w:val="auto"/>
                      <w:szCs w:val="21"/>
                    </w:rPr>
                  </w:pPr>
                  <w:r>
                    <w:rPr>
                      <w:rFonts w:ascii="Times New Roman" w:hAnsi="Times New Roman"/>
                      <w:bCs/>
                      <w:color w:val="auto"/>
                      <w:szCs w:val="21"/>
                    </w:rPr>
                    <w:t>1.7</w:t>
                  </w:r>
                </w:p>
              </w:tc>
            </w:tr>
            <w:tr w14:paraId="72D7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73" w:type="pct"/>
                  <w:vMerge w:val="continue"/>
                  <w:vAlign w:val="center"/>
                </w:tcPr>
                <w:p w14:paraId="7B03D765">
                  <w:pPr>
                    <w:pStyle w:val="112"/>
                    <w:spacing w:line="240" w:lineRule="auto"/>
                    <w:ind w:left="-105" w:leftChars="-50" w:right="-105" w:rightChars="-50"/>
                    <w:rPr>
                      <w:color w:val="auto"/>
                      <w:kern w:val="2"/>
                      <w:sz w:val="21"/>
                      <w:szCs w:val="21"/>
                    </w:rPr>
                  </w:pPr>
                </w:p>
              </w:tc>
              <w:tc>
                <w:tcPr>
                  <w:tcW w:w="967" w:type="pct"/>
                  <w:vAlign w:val="center"/>
                </w:tcPr>
                <w:p w14:paraId="42E4ADF4">
                  <w:pPr>
                    <w:pStyle w:val="11"/>
                    <w:tabs>
                      <w:tab w:val="left" w:pos="0"/>
                    </w:tabs>
                    <w:spacing w:line="360" w:lineRule="exact"/>
                    <w:jc w:val="center"/>
                    <w:rPr>
                      <w:rFonts w:hint="default" w:ascii="Times New Roman" w:hAnsi="Times New Roman"/>
                      <w:bCs/>
                      <w:color w:val="auto"/>
                      <w:szCs w:val="21"/>
                    </w:rPr>
                  </w:pPr>
                  <w:r>
                    <w:rPr>
                      <w:rFonts w:ascii="Times New Roman" w:hAnsi="Times New Roman"/>
                      <w:bCs/>
                      <w:color w:val="auto"/>
                      <w:szCs w:val="21"/>
                    </w:rPr>
                    <w:t>焊接</w:t>
                  </w:r>
                </w:p>
              </w:tc>
              <w:tc>
                <w:tcPr>
                  <w:tcW w:w="593" w:type="pct"/>
                  <w:vAlign w:val="center"/>
                </w:tcPr>
                <w:p w14:paraId="5D7E156C">
                  <w:pPr>
                    <w:pStyle w:val="112"/>
                    <w:spacing w:line="240" w:lineRule="auto"/>
                    <w:ind w:left="-105" w:leftChars="-50" w:right="-105" w:rightChars="-50"/>
                    <w:rPr>
                      <w:color w:val="auto"/>
                      <w:kern w:val="2"/>
                      <w:sz w:val="21"/>
                      <w:szCs w:val="21"/>
                    </w:rPr>
                  </w:pPr>
                  <w:r>
                    <w:rPr>
                      <w:color w:val="auto"/>
                      <w:kern w:val="2"/>
                      <w:sz w:val="21"/>
                      <w:szCs w:val="21"/>
                    </w:rPr>
                    <w:t>颗粒物</w:t>
                  </w:r>
                </w:p>
              </w:tc>
              <w:tc>
                <w:tcPr>
                  <w:tcW w:w="832" w:type="pct"/>
                  <w:vAlign w:val="center"/>
                </w:tcPr>
                <w:p w14:paraId="529AF031">
                  <w:pPr>
                    <w:pStyle w:val="112"/>
                    <w:spacing w:line="240" w:lineRule="auto"/>
                    <w:ind w:left="-105" w:leftChars="-50" w:right="-105" w:rightChars="-50"/>
                    <w:rPr>
                      <w:rFonts w:hint="default" w:eastAsia="宋体"/>
                      <w:color w:val="auto"/>
                      <w:kern w:val="2"/>
                      <w:sz w:val="21"/>
                      <w:szCs w:val="21"/>
                      <w:lang w:val="en-US" w:eastAsia="zh-CN"/>
                    </w:rPr>
                  </w:pPr>
                  <w:r>
                    <w:rPr>
                      <w:rFonts w:hint="eastAsia"/>
                      <w:color w:val="auto"/>
                      <w:kern w:val="2"/>
                      <w:sz w:val="21"/>
                      <w:szCs w:val="21"/>
                      <w:lang w:val="en-US" w:eastAsia="zh-CN"/>
                    </w:rPr>
                    <w:t>0.69</w:t>
                  </w:r>
                </w:p>
              </w:tc>
              <w:tc>
                <w:tcPr>
                  <w:tcW w:w="924" w:type="pct"/>
                  <w:vMerge w:val="continue"/>
                  <w:vAlign w:val="center"/>
                </w:tcPr>
                <w:p w14:paraId="197CED60">
                  <w:pPr>
                    <w:pStyle w:val="112"/>
                    <w:spacing w:line="240" w:lineRule="auto"/>
                    <w:ind w:left="-105" w:leftChars="-50" w:right="-105" w:rightChars="-50"/>
                    <w:rPr>
                      <w:color w:val="auto"/>
                      <w:kern w:val="2"/>
                      <w:sz w:val="21"/>
                      <w:szCs w:val="21"/>
                    </w:rPr>
                  </w:pPr>
                </w:p>
              </w:tc>
              <w:tc>
                <w:tcPr>
                  <w:tcW w:w="1108" w:type="pct"/>
                  <w:vAlign w:val="center"/>
                </w:tcPr>
                <w:p w14:paraId="1836559B">
                  <w:pPr>
                    <w:pStyle w:val="112"/>
                    <w:spacing w:line="240" w:lineRule="auto"/>
                    <w:ind w:left="-105" w:leftChars="-50" w:right="-105" w:rightChars="-50"/>
                    <w:rPr>
                      <w:color w:val="auto"/>
                      <w:kern w:val="2"/>
                      <w:sz w:val="21"/>
                      <w:szCs w:val="21"/>
                    </w:rPr>
                  </w:pPr>
                  <w:r>
                    <w:rPr>
                      <w:rFonts w:hint="eastAsia"/>
                      <w:color w:val="auto"/>
                      <w:kern w:val="2"/>
                      <w:sz w:val="21"/>
                      <w:szCs w:val="21"/>
                    </w:rPr>
                    <w:t>0.69</w:t>
                  </w:r>
                </w:p>
              </w:tc>
            </w:tr>
            <w:tr w14:paraId="5D6D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40" w:type="pct"/>
                  <w:gridSpan w:val="2"/>
                  <w:vAlign w:val="center"/>
                </w:tcPr>
                <w:p w14:paraId="5134366E">
                  <w:pPr>
                    <w:pStyle w:val="112"/>
                    <w:spacing w:line="240" w:lineRule="auto"/>
                    <w:ind w:left="-105" w:leftChars="-50" w:right="-105" w:rightChars="-50"/>
                    <w:rPr>
                      <w:color w:val="auto"/>
                      <w:kern w:val="2"/>
                      <w:sz w:val="21"/>
                      <w:szCs w:val="21"/>
                    </w:rPr>
                  </w:pPr>
                  <w:r>
                    <w:rPr>
                      <w:color w:val="auto"/>
                      <w:kern w:val="2"/>
                      <w:sz w:val="21"/>
                      <w:szCs w:val="21"/>
                    </w:rPr>
                    <w:t>合计</w:t>
                  </w:r>
                </w:p>
              </w:tc>
              <w:tc>
                <w:tcPr>
                  <w:tcW w:w="593" w:type="pct"/>
                  <w:vAlign w:val="center"/>
                </w:tcPr>
                <w:p w14:paraId="6E94F61E">
                  <w:pPr>
                    <w:pStyle w:val="112"/>
                    <w:spacing w:line="240" w:lineRule="auto"/>
                    <w:ind w:left="-105" w:leftChars="-50" w:right="-105" w:rightChars="-50"/>
                    <w:rPr>
                      <w:color w:val="auto"/>
                      <w:kern w:val="2"/>
                      <w:sz w:val="21"/>
                      <w:szCs w:val="21"/>
                    </w:rPr>
                  </w:pPr>
                  <w:r>
                    <w:rPr>
                      <w:color w:val="auto"/>
                      <w:kern w:val="2"/>
                      <w:sz w:val="21"/>
                      <w:szCs w:val="21"/>
                    </w:rPr>
                    <w:t>颗粒物</w:t>
                  </w:r>
                </w:p>
              </w:tc>
              <w:tc>
                <w:tcPr>
                  <w:tcW w:w="832" w:type="pct"/>
                  <w:vAlign w:val="center"/>
                </w:tcPr>
                <w:p w14:paraId="464F75D9">
                  <w:pPr>
                    <w:pStyle w:val="112"/>
                    <w:spacing w:line="240" w:lineRule="auto"/>
                    <w:ind w:left="-105" w:leftChars="-50" w:right="-105" w:rightChars="-50"/>
                    <w:rPr>
                      <w:rFonts w:hint="default" w:eastAsia="宋体"/>
                      <w:color w:val="auto"/>
                      <w:kern w:val="2"/>
                      <w:sz w:val="21"/>
                      <w:szCs w:val="21"/>
                      <w:lang w:val="en-US" w:eastAsia="zh-CN"/>
                    </w:rPr>
                  </w:pPr>
                  <w:r>
                    <w:rPr>
                      <w:rFonts w:hint="eastAsia"/>
                      <w:color w:val="auto"/>
                      <w:kern w:val="2"/>
                      <w:sz w:val="21"/>
                      <w:szCs w:val="21"/>
                      <w:lang w:val="en-US" w:eastAsia="zh-CN"/>
                    </w:rPr>
                    <w:t>5.59</w:t>
                  </w:r>
                </w:p>
              </w:tc>
              <w:tc>
                <w:tcPr>
                  <w:tcW w:w="924" w:type="pct"/>
                  <w:vAlign w:val="center"/>
                </w:tcPr>
                <w:p w14:paraId="4F5DDFF4">
                  <w:pPr>
                    <w:pStyle w:val="112"/>
                    <w:spacing w:line="240" w:lineRule="auto"/>
                    <w:ind w:left="-105" w:leftChars="-50" w:right="-105" w:rightChars="-50"/>
                    <w:rPr>
                      <w:color w:val="auto"/>
                      <w:kern w:val="2"/>
                      <w:sz w:val="21"/>
                      <w:szCs w:val="21"/>
                    </w:rPr>
                  </w:pPr>
                  <w:r>
                    <w:rPr>
                      <w:color w:val="auto"/>
                      <w:kern w:val="2"/>
                      <w:sz w:val="21"/>
                      <w:szCs w:val="21"/>
                    </w:rPr>
                    <w:t>/</w:t>
                  </w:r>
                </w:p>
              </w:tc>
              <w:tc>
                <w:tcPr>
                  <w:tcW w:w="1108" w:type="pct"/>
                  <w:vAlign w:val="center"/>
                </w:tcPr>
                <w:p w14:paraId="73B60495">
                  <w:pPr>
                    <w:pStyle w:val="112"/>
                    <w:spacing w:line="240" w:lineRule="auto"/>
                    <w:ind w:left="-105" w:leftChars="-50" w:right="-105" w:rightChars="-50"/>
                    <w:rPr>
                      <w:color w:val="auto"/>
                      <w:kern w:val="2"/>
                      <w:sz w:val="21"/>
                      <w:szCs w:val="21"/>
                    </w:rPr>
                  </w:pPr>
                  <w:r>
                    <w:rPr>
                      <w:rFonts w:hint="eastAsia"/>
                      <w:color w:val="auto"/>
                      <w:kern w:val="2"/>
                      <w:sz w:val="21"/>
                      <w:szCs w:val="21"/>
                    </w:rPr>
                    <w:t>5.59</w:t>
                  </w:r>
                </w:p>
              </w:tc>
            </w:tr>
          </w:tbl>
          <w:p w14:paraId="36CCF30E">
            <w:pPr>
              <w:spacing w:line="360" w:lineRule="auto"/>
              <w:jc w:val="center"/>
              <w:rPr>
                <w:b/>
                <w:bCs/>
                <w:color w:val="auto"/>
                <w:szCs w:val="21"/>
              </w:rPr>
            </w:pPr>
          </w:p>
          <w:p w14:paraId="7A6912C9">
            <w:pPr>
              <w:spacing w:line="360" w:lineRule="auto"/>
              <w:jc w:val="center"/>
              <w:rPr>
                <w:b/>
                <w:bCs/>
                <w:color w:val="auto"/>
                <w:szCs w:val="21"/>
              </w:rPr>
            </w:pPr>
            <w:r>
              <w:rPr>
                <w:b/>
                <w:bCs/>
                <w:color w:val="auto"/>
                <w:szCs w:val="21"/>
              </w:rPr>
              <w:t>表</w:t>
            </w:r>
            <w:r>
              <w:rPr>
                <w:b/>
                <w:color w:val="auto"/>
                <w:szCs w:val="21"/>
              </w:rPr>
              <w:t>4-</w:t>
            </w:r>
            <w:r>
              <w:rPr>
                <w:rFonts w:hint="eastAsia"/>
                <w:b/>
                <w:color w:val="auto"/>
                <w:szCs w:val="21"/>
              </w:rPr>
              <w:t>7</w:t>
            </w:r>
            <w:r>
              <w:rPr>
                <w:b/>
                <w:bCs/>
                <w:color w:val="auto"/>
                <w:szCs w:val="21"/>
              </w:rPr>
              <w:tab/>
            </w:r>
            <w:r>
              <w:rPr>
                <w:b/>
                <w:bCs/>
                <w:color w:val="auto"/>
                <w:szCs w:val="21"/>
              </w:rPr>
              <w:t>项目有组织废气排放口基本信息一览表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296"/>
              <w:gridCol w:w="1589"/>
              <w:gridCol w:w="1454"/>
              <w:gridCol w:w="579"/>
              <w:gridCol w:w="863"/>
              <w:gridCol w:w="688"/>
              <w:gridCol w:w="569"/>
            </w:tblGrid>
            <w:tr w14:paraId="355B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 w:hRule="atLeast"/>
                <w:jc w:val="center"/>
              </w:trPr>
              <w:tc>
                <w:tcPr>
                  <w:tcW w:w="607" w:type="pct"/>
                  <w:vMerge w:val="restart"/>
                  <w:tcBorders>
                    <w:top w:val="single" w:color="auto" w:sz="4" w:space="0"/>
                    <w:left w:val="single" w:color="auto" w:sz="4" w:space="0"/>
                    <w:bottom w:val="single" w:color="auto" w:sz="4" w:space="0"/>
                    <w:right w:val="single" w:color="auto" w:sz="4" w:space="0"/>
                  </w:tcBorders>
                  <w:vAlign w:val="center"/>
                </w:tcPr>
                <w:p w14:paraId="3C19CFAB">
                  <w:pPr>
                    <w:spacing w:line="360" w:lineRule="exact"/>
                    <w:jc w:val="center"/>
                    <w:rPr>
                      <w:b/>
                      <w:color w:val="auto"/>
                      <w:szCs w:val="21"/>
                    </w:rPr>
                  </w:pPr>
                  <w:r>
                    <w:rPr>
                      <w:b/>
                      <w:color w:val="auto"/>
                      <w:szCs w:val="21"/>
                    </w:rPr>
                    <w:t>编号</w:t>
                  </w:r>
                </w:p>
              </w:tc>
              <w:tc>
                <w:tcPr>
                  <w:tcW w:w="808" w:type="pct"/>
                  <w:vMerge w:val="restart"/>
                  <w:tcBorders>
                    <w:top w:val="single" w:color="auto" w:sz="4" w:space="0"/>
                    <w:left w:val="single" w:color="auto" w:sz="4" w:space="0"/>
                    <w:bottom w:val="single" w:color="auto" w:sz="4" w:space="0"/>
                    <w:right w:val="single" w:color="auto" w:sz="4" w:space="0"/>
                  </w:tcBorders>
                  <w:vAlign w:val="center"/>
                </w:tcPr>
                <w:p w14:paraId="15903106">
                  <w:pPr>
                    <w:spacing w:line="360" w:lineRule="exact"/>
                    <w:jc w:val="center"/>
                    <w:rPr>
                      <w:b/>
                      <w:color w:val="auto"/>
                      <w:szCs w:val="21"/>
                    </w:rPr>
                  </w:pPr>
                  <w:r>
                    <w:rPr>
                      <w:b/>
                      <w:color w:val="auto"/>
                      <w:szCs w:val="21"/>
                    </w:rPr>
                    <w:t>名称</w:t>
                  </w:r>
                </w:p>
              </w:tc>
              <w:tc>
                <w:tcPr>
                  <w:tcW w:w="1898" w:type="pct"/>
                  <w:gridSpan w:val="2"/>
                  <w:tcBorders>
                    <w:top w:val="single" w:color="auto" w:sz="4" w:space="0"/>
                    <w:left w:val="single" w:color="auto" w:sz="4" w:space="0"/>
                    <w:bottom w:val="single" w:color="auto" w:sz="4" w:space="0"/>
                    <w:right w:val="single" w:color="auto" w:sz="4" w:space="0"/>
                  </w:tcBorders>
                  <w:vAlign w:val="center"/>
                </w:tcPr>
                <w:p w14:paraId="62B186D1">
                  <w:pPr>
                    <w:spacing w:line="360" w:lineRule="exact"/>
                    <w:ind w:left="-63" w:leftChars="-30" w:right="-63" w:rightChars="-30"/>
                    <w:jc w:val="center"/>
                    <w:rPr>
                      <w:b/>
                      <w:color w:val="auto"/>
                      <w:szCs w:val="21"/>
                    </w:rPr>
                  </w:pPr>
                </w:p>
              </w:tc>
              <w:tc>
                <w:tcPr>
                  <w:tcW w:w="361" w:type="pct"/>
                  <w:vMerge w:val="restart"/>
                  <w:tcBorders>
                    <w:top w:val="single" w:color="auto" w:sz="4" w:space="0"/>
                    <w:left w:val="single" w:color="auto" w:sz="4" w:space="0"/>
                    <w:bottom w:val="single" w:color="auto" w:sz="4" w:space="0"/>
                    <w:right w:val="single" w:color="auto" w:sz="4" w:space="0"/>
                  </w:tcBorders>
                  <w:vAlign w:val="center"/>
                </w:tcPr>
                <w:p w14:paraId="1774BBAD">
                  <w:pPr>
                    <w:spacing w:line="360" w:lineRule="exact"/>
                    <w:ind w:left="-105" w:leftChars="-50" w:right="-105" w:rightChars="-50"/>
                    <w:jc w:val="center"/>
                    <w:rPr>
                      <w:b/>
                      <w:color w:val="auto"/>
                      <w:szCs w:val="21"/>
                    </w:rPr>
                  </w:pPr>
                  <w:r>
                    <w:rPr>
                      <w:b/>
                      <w:color w:val="auto"/>
                      <w:szCs w:val="21"/>
                    </w:rPr>
                    <w:t>排气筒高度/m</w:t>
                  </w:r>
                </w:p>
              </w:tc>
              <w:tc>
                <w:tcPr>
                  <w:tcW w:w="538" w:type="pct"/>
                  <w:vMerge w:val="restart"/>
                  <w:tcBorders>
                    <w:top w:val="single" w:color="auto" w:sz="4" w:space="0"/>
                    <w:left w:val="single" w:color="auto" w:sz="4" w:space="0"/>
                    <w:bottom w:val="single" w:color="auto" w:sz="4" w:space="0"/>
                    <w:right w:val="single" w:color="auto" w:sz="4" w:space="0"/>
                  </w:tcBorders>
                  <w:vAlign w:val="center"/>
                </w:tcPr>
                <w:p w14:paraId="38CA1A64">
                  <w:pPr>
                    <w:spacing w:line="360" w:lineRule="exact"/>
                    <w:ind w:left="-63" w:leftChars="-30" w:right="-63" w:rightChars="-30"/>
                    <w:jc w:val="center"/>
                    <w:rPr>
                      <w:b/>
                      <w:color w:val="auto"/>
                      <w:szCs w:val="21"/>
                    </w:rPr>
                  </w:pPr>
                  <w:r>
                    <w:rPr>
                      <w:b/>
                      <w:color w:val="auto"/>
                      <w:szCs w:val="21"/>
                    </w:rPr>
                    <w:t>排气筒出口内径/m</w:t>
                  </w:r>
                </w:p>
              </w:tc>
              <w:tc>
                <w:tcPr>
                  <w:tcW w:w="429" w:type="pct"/>
                  <w:vMerge w:val="restart"/>
                  <w:tcBorders>
                    <w:top w:val="single" w:color="auto" w:sz="4" w:space="0"/>
                    <w:left w:val="single" w:color="auto" w:sz="4" w:space="0"/>
                    <w:bottom w:val="single" w:color="auto" w:sz="4" w:space="0"/>
                    <w:right w:val="single" w:color="auto" w:sz="4" w:space="0"/>
                  </w:tcBorders>
                  <w:vAlign w:val="center"/>
                </w:tcPr>
                <w:p w14:paraId="1E3FF587">
                  <w:pPr>
                    <w:spacing w:line="360" w:lineRule="exact"/>
                    <w:ind w:left="-63" w:leftChars="-30" w:right="-63" w:rightChars="-30"/>
                    <w:jc w:val="center"/>
                    <w:rPr>
                      <w:b/>
                      <w:color w:val="auto"/>
                      <w:szCs w:val="21"/>
                    </w:rPr>
                  </w:pPr>
                  <w:r>
                    <w:rPr>
                      <w:b/>
                      <w:color w:val="auto"/>
                      <w:szCs w:val="21"/>
                    </w:rPr>
                    <w:t>烟气温度/℃</w:t>
                  </w:r>
                </w:p>
              </w:tc>
              <w:tc>
                <w:tcPr>
                  <w:tcW w:w="355" w:type="pct"/>
                  <w:vMerge w:val="restart"/>
                  <w:tcBorders>
                    <w:top w:val="single" w:color="auto" w:sz="4" w:space="0"/>
                    <w:left w:val="single" w:color="auto" w:sz="4" w:space="0"/>
                    <w:bottom w:val="single" w:color="auto" w:sz="4" w:space="0"/>
                    <w:right w:val="single" w:color="auto" w:sz="4" w:space="0"/>
                  </w:tcBorders>
                  <w:vAlign w:val="center"/>
                </w:tcPr>
                <w:p w14:paraId="4CAFFF09">
                  <w:pPr>
                    <w:spacing w:line="360" w:lineRule="exact"/>
                    <w:ind w:left="-63" w:leftChars="-30" w:right="-63" w:rightChars="-30"/>
                    <w:jc w:val="center"/>
                    <w:rPr>
                      <w:b/>
                      <w:color w:val="auto"/>
                      <w:szCs w:val="21"/>
                    </w:rPr>
                  </w:pPr>
                  <w:r>
                    <w:rPr>
                      <w:b/>
                      <w:color w:val="auto"/>
                      <w:szCs w:val="21"/>
                    </w:rPr>
                    <w:t>排放口类型</w:t>
                  </w:r>
                </w:p>
              </w:tc>
            </w:tr>
            <w:tr w14:paraId="3865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607" w:type="pct"/>
                  <w:vMerge w:val="continue"/>
                  <w:tcBorders>
                    <w:top w:val="single" w:color="auto" w:sz="4" w:space="0"/>
                    <w:left w:val="single" w:color="auto" w:sz="4" w:space="0"/>
                    <w:bottom w:val="single" w:color="auto" w:sz="4" w:space="0"/>
                    <w:right w:val="single" w:color="auto" w:sz="4" w:space="0"/>
                  </w:tcBorders>
                  <w:vAlign w:val="center"/>
                </w:tcPr>
                <w:p w14:paraId="7A403375">
                  <w:pPr>
                    <w:widowControl/>
                    <w:spacing w:line="360" w:lineRule="exact"/>
                    <w:jc w:val="left"/>
                    <w:rPr>
                      <w:b/>
                      <w:color w:val="auto"/>
                      <w:szCs w:val="21"/>
                    </w:rPr>
                  </w:pPr>
                </w:p>
              </w:tc>
              <w:tc>
                <w:tcPr>
                  <w:tcW w:w="808" w:type="pct"/>
                  <w:vMerge w:val="continue"/>
                  <w:tcBorders>
                    <w:top w:val="single" w:color="auto" w:sz="4" w:space="0"/>
                    <w:left w:val="single" w:color="auto" w:sz="4" w:space="0"/>
                    <w:bottom w:val="single" w:color="auto" w:sz="4" w:space="0"/>
                    <w:right w:val="single" w:color="auto" w:sz="4" w:space="0"/>
                  </w:tcBorders>
                  <w:vAlign w:val="center"/>
                </w:tcPr>
                <w:p w14:paraId="4FB7BC93">
                  <w:pPr>
                    <w:widowControl/>
                    <w:spacing w:line="360" w:lineRule="exact"/>
                    <w:jc w:val="left"/>
                    <w:rPr>
                      <w:b/>
                      <w:color w:val="auto"/>
                      <w:szCs w:val="21"/>
                    </w:rPr>
                  </w:pPr>
                </w:p>
              </w:tc>
              <w:tc>
                <w:tcPr>
                  <w:tcW w:w="991" w:type="pct"/>
                  <w:tcBorders>
                    <w:top w:val="single" w:color="auto" w:sz="4" w:space="0"/>
                    <w:left w:val="single" w:color="auto" w:sz="4" w:space="0"/>
                    <w:bottom w:val="single" w:color="auto" w:sz="4" w:space="0"/>
                    <w:right w:val="single" w:color="auto" w:sz="4" w:space="0"/>
                  </w:tcBorders>
                </w:tcPr>
                <w:p w14:paraId="2A5CBAE1">
                  <w:pPr>
                    <w:spacing w:line="360" w:lineRule="exact"/>
                    <w:jc w:val="center"/>
                    <w:rPr>
                      <w:b/>
                      <w:color w:val="auto"/>
                      <w:szCs w:val="21"/>
                    </w:rPr>
                  </w:pPr>
                </w:p>
              </w:tc>
              <w:tc>
                <w:tcPr>
                  <w:tcW w:w="906" w:type="pct"/>
                  <w:tcBorders>
                    <w:top w:val="single" w:color="auto" w:sz="4" w:space="0"/>
                    <w:left w:val="single" w:color="auto" w:sz="4" w:space="0"/>
                    <w:bottom w:val="single" w:color="auto" w:sz="4" w:space="0"/>
                    <w:right w:val="single" w:color="auto" w:sz="4" w:space="0"/>
                  </w:tcBorders>
                </w:tcPr>
                <w:p w14:paraId="28015029">
                  <w:pPr>
                    <w:spacing w:line="360" w:lineRule="exact"/>
                    <w:jc w:val="center"/>
                    <w:rPr>
                      <w:b/>
                      <w:color w:val="auto"/>
                      <w:szCs w:val="21"/>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5DD173FE">
                  <w:pPr>
                    <w:widowControl/>
                    <w:spacing w:line="360" w:lineRule="exact"/>
                    <w:jc w:val="left"/>
                    <w:rPr>
                      <w:b/>
                      <w:color w:val="auto"/>
                      <w:szCs w:val="21"/>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14:paraId="04346C3E">
                  <w:pPr>
                    <w:widowControl/>
                    <w:spacing w:line="360" w:lineRule="exact"/>
                    <w:jc w:val="left"/>
                    <w:rPr>
                      <w:b/>
                      <w:color w:val="auto"/>
                      <w:szCs w:val="21"/>
                    </w:rPr>
                  </w:pPr>
                </w:p>
              </w:tc>
              <w:tc>
                <w:tcPr>
                  <w:tcW w:w="429" w:type="pct"/>
                  <w:vMerge w:val="continue"/>
                  <w:tcBorders>
                    <w:top w:val="single" w:color="auto" w:sz="4" w:space="0"/>
                    <w:left w:val="single" w:color="auto" w:sz="4" w:space="0"/>
                    <w:bottom w:val="single" w:color="auto" w:sz="4" w:space="0"/>
                    <w:right w:val="single" w:color="auto" w:sz="4" w:space="0"/>
                  </w:tcBorders>
                  <w:vAlign w:val="center"/>
                </w:tcPr>
                <w:p w14:paraId="1DF421EC">
                  <w:pPr>
                    <w:widowControl/>
                    <w:spacing w:line="360" w:lineRule="exact"/>
                    <w:jc w:val="left"/>
                    <w:rPr>
                      <w:b/>
                      <w:color w:val="auto"/>
                      <w:szCs w:val="21"/>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14:paraId="10E4FFD9">
                  <w:pPr>
                    <w:widowControl/>
                    <w:spacing w:line="360" w:lineRule="exact"/>
                    <w:jc w:val="left"/>
                    <w:rPr>
                      <w:b/>
                      <w:color w:val="auto"/>
                      <w:szCs w:val="21"/>
                    </w:rPr>
                  </w:pPr>
                </w:p>
              </w:tc>
            </w:tr>
            <w:tr w14:paraId="62A2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7" w:type="pct"/>
                  <w:tcBorders>
                    <w:left w:val="single" w:color="auto" w:sz="4" w:space="0"/>
                    <w:right w:val="single" w:color="auto" w:sz="4" w:space="0"/>
                  </w:tcBorders>
                  <w:vAlign w:val="center"/>
                </w:tcPr>
                <w:p w14:paraId="37F020BC">
                  <w:pPr>
                    <w:jc w:val="center"/>
                    <w:rPr>
                      <w:color w:val="auto"/>
                      <w:szCs w:val="21"/>
                    </w:rPr>
                  </w:pPr>
                  <w:r>
                    <w:rPr>
                      <w:color w:val="auto"/>
                      <w:szCs w:val="21"/>
                    </w:rPr>
                    <w:t>DA00</w:t>
                  </w:r>
                  <w:r>
                    <w:rPr>
                      <w:rFonts w:hint="eastAsia"/>
                      <w:color w:val="auto"/>
                      <w:szCs w:val="21"/>
                    </w:rPr>
                    <w:t>1</w:t>
                  </w:r>
                </w:p>
              </w:tc>
              <w:tc>
                <w:tcPr>
                  <w:tcW w:w="808" w:type="pct"/>
                  <w:vMerge w:val="restart"/>
                  <w:tcBorders>
                    <w:left w:val="single" w:color="auto" w:sz="4" w:space="0"/>
                    <w:right w:val="single" w:color="auto" w:sz="4" w:space="0"/>
                  </w:tcBorders>
                  <w:vAlign w:val="center"/>
                </w:tcPr>
                <w:p w14:paraId="5B1630D6">
                  <w:pPr>
                    <w:jc w:val="center"/>
                    <w:rPr>
                      <w:color w:val="auto"/>
                      <w:szCs w:val="21"/>
                    </w:rPr>
                  </w:pPr>
                  <w:r>
                    <w:rPr>
                      <w:color w:val="auto"/>
                      <w:szCs w:val="21"/>
                    </w:rPr>
                    <w:t>排气筒</w:t>
                  </w:r>
                </w:p>
              </w:tc>
              <w:tc>
                <w:tcPr>
                  <w:tcW w:w="991" w:type="pct"/>
                  <w:tcBorders>
                    <w:left w:val="single" w:color="auto" w:sz="4" w:space="0"/>
                    <w:right w:val="single" w:color="auto" w:sz="4" w:space="0"/>
                  </w:tcBorders>
                  <w:vAlign w:val="center"/>
                </w:tcPr>
                <w:p w14:paraId="0F575B98">
                  <w:pPr>
                    <w:pStyle w:val="112"/>
                    <w:spacing w:line="240" w:lineRule="auto"/>
                    <w:ind w:left="-105" w:leftChars="-50" w:right="-105" w:rightChars="-50"/>
                    <w:rPr>
                      <w:color w:val="auto"/>
                      <w:kern w:val="2"/>
                      <w:sz w:val="21"/>
                      <w:szCs w:val="21"/>
                    </w:rPr>
                  </w:pPr>
                </w:p>
              </w:tc>
              <w:tc>
                <w:tcPr>
                  <w:tcW w:w="906" w:type="pct"/>
                  <w:tcBorders>
                    <w:left w:val="single" w:color="auto" w:sz="4" w:space="0"/>
                    <w:right w:val="single" w:color="auto" w:sz="4" w:space="0"/>
                  </w:tcBorders>
                  <w:vAlign w:val="center"/>
                </w:tcPr>
                <w:p w14:paraId="57C9FC3C">
                  <w:pPr>
                    <w:pStyle w:val="112"/>
                    <w:spacing w:line="240" w:lineRule="auto"/>
                    <w:ind w:left="-105" w:leftChars="-50" w:right="-105" w:rightChars="-50"/>
                    <w:rPr>
                      <w:color w:val="auto"/>
                      <w:kern w:val="2"/>
                      <w:sz w:val="21"/>
                      <w:szCs w:val="21"/>
                    </w:rPr>
                  </w:pPr>
                </w:p>
              </w:tc>
              <w:tc>
                <w:tcPr>
                  <w:tcW w:w="361" w:type="pct"/>
                  <w:vMerge w:val="restart"/>
                  <w:tcBorders>
                    <w:left w:val="single" w:color="auto" w:sz="4" w:space="0"/>
                    <w:right w:val="single" w:color="auto" w:sz="4" w:space="0"/>
                  </w:tcBorders>
                  <w:vAlign w:val="center"/>
                </w:tcPr>
                <w:p w14:paraId="5E336A80">
                  <w:pPr>
                    <w:pStyle w:val="112"/>
                    <w:spacing w:line="240" w:lineRule="auto"/>
                    <w:ind w:left="-105" w:leftChars="-50" w:right="-105" w:rightChars="-50"/>
                    <w:rPr>
                      <w:color w:val="auto"/>
                      <w:kern w:val="2"/>
                      <w:sz w:val="21"/>
                      <w:szCs w:val="21"/>
                    </w:rPr>
                  </w:pPr>
                  <w:r>
                    <w:rPr>
                      <w:rFonts w:hint="eastAsia"/>
                      <w:color w:val="auto"/>
                      <w:kern w:val="2"/>
                      <w:sz w:val="21"/>
                      <w:szCs w:val="21"/>
                    </w:rPr>
                    <w:t>15</w:t>
                  </w:r>
                </w:p>
              </w:tc>
              <w:tc>
                <w:tcPr>
                  <w:tcW w:w="538" w:type="pct"/>
                  <w:tcBorders>
                    <w:left w:val="single" w:color="auto" w:sz="4" w:space="0"/>
                    <w:right w:val="single" w:color="auto" w:sz="4" w:space="0"/>
                  </w:tcBorders>
                  <w:vAlign w:val="center"/>
                </w:tcPr>
                <w:p w14:paraId="50487638">
                  <w:pPr>
                    <w:pStyle w:val="112"/>
                    <w:spacing w:line="240" w:lineRule="auto"/>
                    <w:ind w:left="-105" w:leftChars="-50" w:right="-105" w:rightChars="-50"/>
                    <w:rPr>
                      <w:color w:val="auto"/>
                      <w:kern w:val="2"/>
                      <w:sz w:val="21"/>
                      <w:szCs w:val="21"/>
                    </w:rPr>
                  </w:pPr>
                  <w:r>
                    <w:rPr>
                      <w:color w:val="auto"/>
                      <w:kern w:val="2"/>
                      <w:sz w:val="21"/>
                      <w:szCs w:val="21"/>
                    </w:rPr>
                    <w:t>0.3</w:t>
                  </w:r>
                </w:p>
              </w:tc>
              <w:tc>
                <w:tcPr>
                  <w:tcW w:w="429" w:type="pct"/>
                  <w:tcBorders>
                    <w:left w:val="single" w:color="auto" w:sz="4" w:space="0"/>
                    <w:right w:val="single" w:color="auto" w:sz="4" w:space="0"/>
                  </w:tcBorders>
                  <w:vAlign w:val="center"/>
                </w:tcPr>
                <w:p w14:paraId="5C64BFED">
                  <w:pPr>
                    <w:pStyle w:val="112"/>
                    <w:spacing w:line="240" w:lineRule="auto"/>
                    <w:ind w:left="-105" w:leftChars="-50" w:right="-105" w:rightChars="-50"/>
                    <w:rPr>
                      <w:color w:val="auto"/>
                      <w:kern w:val="2"/>
                      <w:sz w:val="21"/>
                      <w:szCs w:val="21"/>
                    </w:rPr>
                  </w:pPr>
                  <w:r>
                    <w:rPr>
                      <w:rFonts w:hint="eastAsia"/>
                      <w:color w:val="auto"/>
                      <w:kern w:val="2"/>
                      <w:sz w:val="21"/>
                      <w:szCs w:val="21"/>
                    </w:rPr>
                    <w:t>3</w:t>
                  </w:r>
                  <w:r>
                    <w:rPr>
                      <w:color w:val="auto"/>
                      <w:kern w:val="2"/>
                      <w:sz w:val="21"/>
                      <w:szCs w:val="21"/>
                    </w:rPr>
                    <w:t>5</w:t>
                  </w:r>
                </w:p>
              </w:tc>
              <w:tc>
                <w:tcPr>
                  <w:tcW w:w="355" w:type="pct"/>
                  <w:vMerge w:val="restart"/>
                  <w:tcBorders>
                    <w:left w:val="single" w:color="auto" w:sz="4" w:space="0"/>
                    <w:right w:val="single" w:color="auto" w:sz="4" w:space="0"/>
                  </w:tcBorders>
                  <w:vAlign w:val="center"/>
                </w:tcPr>
                <w:p w14:paraId="236CFF06">
                  <w:pPr>
                    <w:pStyle w:val="112"/>
                    <w:spacing w:line="240" w:lineRule="auto"/>
                    <w:ind w:left="-105" w:leftChars="-50" w:right="-105" w:rightChars="-50"/>
                    <w:rPr>
                      <w:color w:val="auto"/>
                      <w:kern w:val="2"/>
                      <w:sz w:val="21"/>
                      <w:szCs w:val="21"/>
                    </w:rPr>
                  </w:pPr>
                  <w:r>
                    <w:rPr>
                      <w:color w:val="auto"/>
                      <w:kern w:val="2"/>
                      <w:sz w:val="21"/>
                      <w:szCs w:val="21"/>
                    </w:rPr>
                    <w:t>一般排放口</w:t>
                  </w:r>
                </w:p>
              </w:tc>
            </w:tr>
            <w:tr w14:paraId="4128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607" w:type="pct"/>
                  <w:tcBorders>
                    <w:left w:val="single" w:color="auto" w:sz="4" w:space="0"/>
                    <w:right w:val="single" w:color="auto" w:sz="4" w:space="0"/>
                  </w:tcBorders>
                  <w:vAlign w:val="center"/>
                </w:tcPr>
                <w:p w14:paraId="42D0E9B7">
                  <w:pPr>
                    <w:jc w:val="center"/>
                    <w:rPr>
                      <w:color w:val="auto"/>
                      <w:szCs w:val="21"/>
                    </w:rPr>
                  </w:pPr>
                  <w:r>
                    <w:rPr>
                      <w:color w:val="auto"/>
                      <w:szCs w:val="21"/>
                    </w:rPr>
                    <w:t>DA00</w:t>
                  </w:r>
                  <w:r>
                    <w:rPr>
                      <w:rFonts w:hint="eastAsia"/>
                      <w:color w:val="auto"/>
                      <w:szCs w:val="21"/>
                    </w:rPr>
                    <w:t>2</w:t>
                  </w:r>
                </w:p>
              </w:tc>
              <w:tc>
                <w:tcPr>
                  <w:tcW w:w="808" w:type="pct"/>
                  <w:vMerge w:val="continue"/>
                  <w:tcBorders>
                    <w:left w:val="single" w:color="auto" w:sz="4" w:space="0"/>
                    <w:right w:val="single" w:color="auto" w:sz="4" w:space="0"/>
                  </w:tcBorders>
                  <w:vAlign w:val="center"/>
                </w:tcPr>
                <w:p w14:paraId="34134F45">
                  <w:pPr>
                    <w:jc w:val="center"/>
                    <w:rPr>
                      <w:color w:val="auto"/>
                      <w:szCs w:val="21"/>
                    </w:rPr>
                  </w:pPr>
                </w:p>
              </w:tc>
              <w:tc>
                <w:tcPr>
                  <w:tcW w:w="991" w:type="pct"/>
                  <w:tcBorders>
                    <w:left w:val="single" w:color="auto" w:sz="4" w:space="0"/>
                    <w:right w:val="single" w:color="auto" w:sz="4" w:space="0"/>
                  </w:tcBorders>
                  <w:vAlign w:val="center"/>
                </w:tcPr>
                <w:p w14:paraId="43FACBBD">
                  <w:pPr>
                    <w:pStyle w:val="112"/>
                    <w:spacing w:line="240" w:lineRule="auto"/>
                    <w:ind w:left="-105" w:leftChars="-50" w:right="-105" w:rightChars="-50"/>
                    <w:rPr>
                      <w:color w:val="auto"/>
                      <w:kern w:val="2"/>
                      <w:sz w:val="21"/>
                      <w:szCs w:val="21"/>
                    </w:rPr>
                  </w:pPr>
                </w:p>
              </w:tc>
              <w:tc>
                <w:tcPr>
                  <w:tcW w:w="906" w:type="pct"/>
                  <w:tcBorders>
                    <w:left w:val="single" w:color="auto" w:sz="4" w:space="0"/>
                    <w:right w:val="single" w:color="auto" w:sz="4" w:space="0"/>
                  </w:tcBorders>
                  <w:vAlign w:val="center"/>
                </w:tcPr>
                <w:p w14:paraId="7D441279">
                  <w:pPr>
                    <w:pStyle w:val="112"/>
                    <w:spacing w:line="240" w:lineRule="auto"/>
                    <w:ind w:left="-105" w:leftChars="-50" w:right="-105" w:rightChars="-50"/>
                    <w:jc w:val="both"/>
                    <w:rPr>
                      <w:color w:val="auto"/>
                      <w:kern w:val="2"/>
                      <w:sz w:val="21"/>
                      <w:szCs w:val="21"/>
                    </w:rPr>
                  </w:pPr>
                </w:p>
              </w:tc>
              <w:tc>
                <w:tcPr>
                  <w:tcW w:w="361" w:type="pct"/>
                  <w:vMerge w:val="continue"/>
                  <w:tcBorders>
                    <w:left w:val="single" w:color="auto" w:sz="4" w:space="0"/>
                    <w:right w:val="single" w:color="auto" w:sz="4" w:space="0"/>
                  </w:tcBorders>
                  <w:vAlign w:val="center"/>
                </w:tcPr>
                <w:p w14:paraId="7569DB35">
                  <w:pPr>
                    <w:pStyle w:val="112"/>
                    <w:spacing w:line="240" w:lineRule="auto"/>
                    <w:ind w:left="-105" w:leftChars="-50" w:right="-105" w:rightChars="-50"/>
                    <w:rPr>
                      <w:color w:val="auto"/>
                      <w:kern w:val="2"/>
                      <w:sz w:val="21"/>
                      <w:szCs w:val="21"/>
                    </w:rPr>
                  </w:pPr>
                </w:p>
              </w:tc>
              <w:tc>
                <w:tcPr>
                  <w:tcW w:w="538" w:type="pct"/>
                  <w:tcBorders>
                    <w:left w:val="single" w:color="auto" w:sz="4" w:space="0"/>
                    <w:right w:val="single" w:color="auto" w:sz="4" w:space="0"/>
                  </w:tcBorders>
                  <w:vAlign w:val="center"/>
                </w:tcPr>
                <w:p w14:paraId="7EB6925A">
                  <w:pPr>
                    <w:pStyle w:val="112"/>
                    <w:spacing w:line="240" w:lineRule="auto"/>
                    <w:ind w:left="-105" w:leftChars="-50" w:right="-105" w:rightChars="-50"/>
                    <w:rPr>
                      <w:color w:val="auto"/>
                      <w:kern w:val="2"/>
                      <w:sz w:val="21"/>
                      <w:szCs w:val="21"/>
                    </w:rPr>
                  </w:pPr>
                  <w:r>
                    <w:rPr>
                      <w:rFonts w:hint="eastAsia"/>
                      <w:color w:val="auto"/>
                      <w:kern w:val="2"/>
                      <w:sz w:val="21"/>
                      <w:szCs w:val="21"/>
                    </w:rPr>
                    <w:t>0.3</w:t>
                  </w:r>
                </w:p>
              </w:tc>
              <w:tc>
                <w:tcPr>
                  <w:tcW w:w="429" w:type="pct"/>
                  <w:tcBorders>
                    <w:left w:val="single" w:color="auto" w:sz="4" w:space="0"/>
                    <w:right w:val="single" w:color="auto" w:sz="4" w:space="0"/>
                  </w:tcBorders>
                  <w:vAlign w:val="center"/>
                </w:tcPr>
                <w:p w14:paraId="62365E04">
                  <w:pPr>
                    <w:pStyle w:val="112"/>
                    <w:spacing w:line="240" w:lineRule="auto"/>
                    <w:ind w:left="-105" w:leftChars="-50" w:right="-105" w:rightChars="-50"/>
                    <w:rPr>
                      <w:color w:val="auto"/>
                      <w:kern w:val="2"/>
                      <w:sz w:val="21"/>
                      <w:szCs w:val="21"/>
                    </w:rPr>
                  </w:pPr>
                  <w:r>
                    <w:rPr>
                      <w:rFonts w:hint="eastAsia"/>
                      <w:color w:val="auto"/>
                      <w:kern w:val="2"/>
                      <w:sz w:val="21"/>
                      <w:szCs w:val="21"/>
                    </w:rPr>
                    <w:t>25</w:t>
                  </w:r>
                </w:p>
              </w:tc>
              <w:tc>
                <w:tcPr>
                  <w:tcW w:w="355" w:type="pct"/>
                  <w:vMerge w:val="continue"/>
                  <w:tcBorders>
                    <w:left w:val="single" w:color="auto" w:sz="4" w:space="0"/>
                    <w:right w:val="single" w:color="auto" w:sz="4" w:space="0"/>
                  </w:tcBorders>
                  <w:vAlign w:val="center"/>
                </w:tcPr>
                <w:p w14:paraId="4BA17CD2">
                  <w:pPr>
                    <w:pStyle w:val="112"/>
                    <w:spacing w:line="240" w:lineRule="auto"/>
                    <w:ind w:left="-105" w:leftChars="-50" w:right="-105" w:rightChars="-50"/>
                    <w:rPr>
                      <w:color w:val="auto"/>
                      <w:kern w:val="2"/>
                      <w:sz w:val="21"/>
                      <w:szCs w:val="21"/>
                    </w:rPr>
                  </w:pPr>
                </w:p>
              </w:tc>
            </w:tr>
          </w:tbl>
          <w:p w14:paraId="318C423F">
            <w:pPr>
              <w:spacing w:line="360" w:lineRule="auto"/>
              <w:ind w:firstLine="480" w:firstLineChars="200"/>
              <w:rPr>
                <w:bCs/>
                <w:color w:val="auto"/>
                <w:sz w:val="24"/>
                <w:highlight w:val="yellow"/>
              </w:rPr>
            </w:pPr>
          </w:p>
          <w:p w14:paraId="3B9CD21C">
            <w:pPr>
              <w:spacing w:line="360" w:lineRule="auto"/>
              <w:ind w:firstLine="480" w:firstLineChars="200"/>
              <w:rPr>
                <w:bCs/>
                <w:color w:val="auto"/>
                <w:sz w:val="24"/>
              </w:rPr>
            </w:pPr>
            <w:r>
              <w:rPr>
                <w:bCs/>
                <w:color w:val="auto"/>
                <w:sz w:val="24"/>
              </w:rPr>
              <w:t>1.</w:t>
            </w:r>
            <w:r>
              <w:rPr>
                <w:rFonts w:hint="eastAsia"/>
                <w:bCs/>
                <w:color w:val="auto"/>
                <w:sz w:val="24"/>
              </w:rPr>
              <w:t>3</w:t>
            </w:r>
            <w:r>
              <w:rPr>
                <w:bCs/>
                <w:color w:val="auto"/>
                <w:sz w:val="24"/>
              </w:rPr>
              <w:t xml:space="preserve"> 非正常工况</w:t>
            </w:r>
          </w:p>
          <w:p w14:paraId="25A52599">
            <w:pPr>
              <w:widowControl/>
              <w:adjustRightInd w:val="0"/>
              <w:snapToGrid w:val="0"/>
              <w:spacing w:line="360" w:lineRule="auto"/>
              <w:ind w:firstLine="476" w:firstLineChars="200"/>
              <w:rPr>
                <w:b/>
                <w:bCs/>
                <w:color w:val="auto"/>
              </w:rPr>
            </w:pPr>
            <w:r>
              <w:rPr>
                <w:color w:val="auto"/>
                <w:spacing w:val="-1"/>
                <w:sz w:val="24"/>
              </w:rPr>
              <w:t>根据《环境影响评价技术导则大气环境》（HJ2.2-2018</w:t>
            </w:r>
            <w:r>
              <w:rPr>
                <w:color w:val="auto"/>
                <w:spacing w:val="11"/>
                <w:sz w:val="24"/>
              </w:rPr>
              <w:t>），</w:t>
            </w:r>
            <w:r>
              <w:rPr>
                <w:color w:val="auto"/>
                <w:spacing w:val="-1"/>
                <w:sz w:val="24"/>
              </w:rPr>
              <w:t>非正常排放包括设备检修、污染物排放控制措施达不到应有效率、工艺设</w:t>
            </w:r>
            <w:r>
              <w:rPr>
                <w:color w:val="auto"/>
                <w:spacing w:val="-2"/>
                <w:sz w:val="24"/>
              </w:rPr>
              <w:t>备运转异常等本项</w:t>
            </w:r>
            <w:r>
              <w:rPr>
                <w:color w:val="auto"/>
                <w:spacing w:val="-1"/>
                <w:sz w:val="24"/>
              </w:rPr>
              <w:t>目非正常工况主要为袋式除尘装置失效。在此情景下，本项目废气污染物产生情况及排放情况，本项目非正常工况考虑所有除尘器（运行1h）失效考虑，由此计算，除尘器失效时产生的非正常粉尘产排情况见表</w:t>
            </w:r>
            <w:r>
              <w:rPr>
                <w:rFonts w:hint="eastAsia"/>
                <w:color w:val="auto"/>
                <w:spacing w:val="-1"/>
                <w:sz w:val="24"/>
              </w:rPr>
              <w:t>4-8</w:t>
            </w:r>
            <w:r>
              <w:rPr>
                <w:color w:val="auto"/>
                <w:spacing w:val="-1"/>
                <w:sz w:val="24"/>
              </w:rPr>
              <w:t>。</w:t>
            </w:r>
          </w:p>
          <w:p w14:paraId="70CEF535">
            <w:pPr>
              <w:snapToGrid w:val="0"/>
              <w:jc w:val="center"/>
              <w:rPr>
                <w:b/>
                <w:bCs/>
                <w:color w:val="auto"/>
              </w:rPr>
            </w:pPr>
          </w:p>
          <w:p w14:paraId="4038B1AE">
            <w:pPr>
              <w:snapToGrid w:val="0"/>
              <w:jc w:val="center"/>
              <w:rPr>
                <w:b/>
                <w:bCs/>
                <w:color w:val="auto"/>
                <w:szCs w:val="21"/>
              </w:rPr>
            </w:pPr>
            <w:r>
              <w:rPr>
                <w:b/>
                <w:bCs/>
                <w:color w:val="auto"/>
              </w:rPr>
              <w:t>表4-</w:t>
            </w:r>
            <w:r>
              <w:rPr>
                <w:rFonts w:hint="eastAsia"/>
                <w:b/>
                <w:bCs/>
                <w:color w:val="auto"/>
              </w:rPr>
              <w:t>8</w:t>
            </w:r>
            <w:r>
              <w:rPr>
                <w:b/>
                <w:bCs/>
                <w:color w:val="auto"/>
              </w:rPr>
              <w:t xml:space="preserve">   非正常工况污染物排放情况</w:t>
            </w:r>
          </w:p>
          <w:tbl>
            <w:tblPr>
              <w:tblStyle w:val="25"/>
              <w:tblW w:w="7936"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236"/>
              <w:gridCol w:w="1014"/>
              <w:gridCol w:w="985"/>
              <w:gridCol w:w="1246"/>
              <w:gridCol w:w="884"/>
              <w:gridCol w:w="871"/>
              <w:gridCol w:w="1045"/>
            </w:tblGrid>
            <w:tr w14:paraId="3ED5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55" w:type="dxa"/>
                  <w:tcBorders>
                    <w:tl2br w:val="nil"/>
                    <w:tr2bl w:val="nil"/>
                  </w:tcBorders>
                  <w:vAlign w:val="center"/>
                </w:tcPr>
                <w:p w14:paraId="3117EF47">
                  <w:pPr>
                    <w:snapToGrid w:val="0"/>
                    <w:jc w:val="center"/>
                    <w:rPr>
                      <w:b/>
                      <w:bCs/>
                      <w:color w:val="auto"/>
                      <w:szCs w:val="21"/>
                    </w:rPr>
                  </w:pPr>
                  <w:r>
                    <w:rPr>
                      <w:b/>
                      <w:bCs/>
                      <w:color w:val="auto"/>
                      <w:szCs w:val="21"/>
                    </w:rPr>
                    <w:t>序号</w:t>
                  </w:r>
                </w:p>
              </w:tc>
              <w:tc>
                <w:tcPr>
                  <w:tcW w:w="1236" w:type="dxa"/>
                  <w:tcBorders>
                    <w:tl2br w:val="nil"/>
                    <w:tr2bl w:val="nil"/>
                  </w:tcBorders>
                  <w:vAlign w:val="center"/>
                </w:tcPr>
                <w:p w14:paraId="0213F40E">
                  <w:pPr>
                    <w:snapToGrid w:val="0"/>
                    <w:jc w:val="center"/>
                    <w:rPr>
                      <w:b/>
                      <w:bCs/>
                      <w:color w:val="auto"/>
                      <w:szCs w:val="21"/>
                    </w:rPr>
                  </w:pPr>
                  <w:r>
                    <w:rPr>
                      <w:b/>
                      <w:bCs/>
                      <w:color w:val="auto"/>
                      <w:szCs w:val="21"/>
                    </w:rPr>
                    <w:t>污染源</w:t>
                  </w:r>
                </w:p>
              </w:tc>
              <w:tc>
                <w:tcPr>
                  <w:tcW w:w="1014" w:type="dxa"/>
                  <w:tcBorders>
                    <w:tl2br w:val="nil"/>
                    <w:tr2bl w:val="nil"/>
                  </w:tcBorders>
                  <w:vAlign w:val="center"/>
                </w:tcPr>
                <w:p w14:paraId="7BB812BE">
                  <w:pPr>
                    <w:snapToGrid w:val="0"/>
                    <w:jc w:val="center"/>
                    <w:rPr>
                      <w:b/>
                      <w:bCs/>
                      <w:color w:val="auto"/>
                      <w:szCs w:val="21"/>
                    </w:rPr>
                  </w:pPr>
                  <w:r>
                    <w:rPr>
                      <w:b/>
                      <w:bCs/>
                      <w:color w:val="auto"/>
                      <w:szCs w:val="21"/>
                    </w:rPr>
                    <w:t>非正常原因</w:t>
                  </w:r>
                </w:p>
              </w:tc>
              <w:tc>
                <w:tcPr>
                  <w:tcW w:w="985" w:type="dxa"/>
                  <w:tcBorders>
                    <w:tl2br w:val="nil"/>
                    <w:tr2bl w:val="nil"/>
                  </w:tcBorders>
                  <w:vAlign w:val="center"/>
                </w:tcPr>
                <w:p w14:paraId="5DADF803">
                  <w:pPr>
                    <w:snapToGrid w:val="0"/>
                    <w:jc w:val="center"/>
                    <w:rPr>
                      <w:b/>
                      <w:bCs/>
                      <w:color w:val="auto"/>
                      <w:szCs w:val="21"/>
                    </w:rPr>
                  </w:pPr>
                  <w:r>
                    <w:rPr>
                      <w:b/>
                      <w:bCs/>
                      <w:color w:val="auto"/>
                      <w:szCs w:val="21"/>
                    </w:rPr>
                    <w:t>污染物</w:t>
                  </w:r>
                </w:p>
              </w:tc>
              <w:tc>
                <w:tcPr>
                  <w:tcW w:w="1246" w:type="dxa"/>
                  <w:tcBorders>
                    <w:tl2br w:val="nil"/>
                    <w:tr2bl w:val="nil"/>
                  </w:tcBorders>
                  <w:vAlign w:val="center"/>
                </w:tcPr>
                <w:p w14:paraId="500FED58">
                  <w:pPr>
                    <w:snapToGrid w:val="0"/>
                    <w:jc w:val="center"/>
                    <w:rPr>
                      <w:b/>
                      <w:bCs/>
                      <w:color w:val="auto"/>
                      <w:szCs w:val="21"/>
                    </w:rPr>
                  </w:pPr>
                  <w:r>
                    <w:rPr>
                      <w:b/>
                      <w:bCs/>
                      <w:color w:val="auto"/>
                      <w:szCs w:val="21"/>
                    </w:rPr>
                    <w:t>非正常排放速率（kg/h）</w:t>
                  </w:r>
                </w:p>
              </w:tc>
              <w:tc>
                <w:tcPr>
                  <w:tcW w:w="884" w:type="dxa"/>
                  <w:tcBorders>
                    <w:tl2br w:val="nil"/>
                    <w:tr2bl w:val="nil"/>
                  </w:tcBorders>
                  <w:vAlign w:val="center"/>
                </w:tcPr>
                <w:p w14:paraId="6A489874">
                  <w:pPr>
                    <w:snapToGrid w:val="0"/>
                    <w:jc w:val="center"/>
                    <w:rPr>
                      <w:b/>
                      <w:bCs/>
                      <w:color w:val="auto"/>
                      <w:szCs w:val="21"/>
                    </w:rPr>
                  </w:pPr>
                  <w:r>
                    <w:rPr>
                      <w:b/>
                      <w:bCs/>
                      <w:color w:val="auto"/>
                      <w:szCs w:val="21"/>
                    </w:rPr>
                    <w:t>单次持续时间</w:t>
                  </w:r>
                </w:p>
              </w:tc>
              <w:tc>
                <w:tcPr>
                  <w:tcW w:w="871" w:type="dxa"/>
                  <w:tcBorders>
                    <w:tl2br w:val="nil"/>
                    <w:tr2bl w:val="nil"/>
                  </w:tcBorders>
                  <w:vAlign w:val="center"/>
                </w:tcPr>
                <w:p w14:paraId="038AEC63">
                  <w:pPr>
                    <w:snapToGrid w:val="0"/>
                    <w:jc w:val="center"/>
                    <w:rPr>
                      <w:b/>
                      <w:bCs/>
                      <w:color w:val="auto"/>
                      <w:szCs w:val="21"/>
                    </w:rPr>
                  </w:pPr>
                  <w:r>
                    <w:rPr>
                      <w:b/>
                      <w:bCs/>
                      <w:color w:val="auto"/>
                      <w:szCs w:val="21"/>
                    </w:rPr>
                    <w:t>年发生频次</w:t>
                  </w:r>
                </w:p>
              </w:tc>
              <w:tc>
                <w:tcPr>
                  <w:tcW w:w="1045" w:type="dxa"/>
                  <w:tcBorders>
                    <w:tl2br w:val="nil"/>
                    <w:tr2bl w:val="nil"/>
                  </w:tcBorders>
                  <w:vAlign w:val="center"/>
                </w:tcPr>
                <w:p w14:paraId="43854E34">
                  <w:pPr>
                    <w:snapToGrid w:val="0"/>
                    <w:jc w:val="center"/>
                    <w:rPr>
                      <w:b/>
                      <w:bCs/>
                      <w:color w:val="auto"/>
                      <w:szCs w:val="21"/>
                    </w:rPr>
                  </w:pPr>
                  <w:r>
                    <w:rPr>
                      <w:b/>
                      <w:bCs/>
                      <w:color w:val="auto"/>
                      <w:szCs w:val="21"/>
                    </w:rPr>
                    <w:t>应对</w:t>
                  </w:r>
                </w:p>
                <w:p w14:paraId="5A85B993">
                  <w:pPr>
                    <w:snapToGrid w:val="0"/>
                    <w:jc w:val="center"/>
                    <w:rPr>
                      <w:b/>
                      <w:bCs/>
                      <w:color w:val="auto"/>
                      <w:szCs w:val="21"/>
                    </w:rPr>
                  </w:pPr>
                  <w:r>
                    <w:rPr>
                      <w:b/>
                      <w:bCs/>
                      <w:color w:val="auto"/>
                      <w:szCs w:val="21"/>
                    </w:rPr>
                    <w:t>措施</w:t>
                  </w:r>
                </w:p>
              </w:tc>
            </w:tr>
            <w:tr w14:paraId="41C0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55" w:type="dxa"/>
                  <w:tcBorders>
                    <w:tl2br w:val="nil"/>
                    <w:tr2bl w:val="nil"/>
                  </w:tcBorders>
                  <w:vAlign w:val="center"/>
                </w:tcPr>
                <w:p w14:paraId="3354A278">
                  <w:pPr>
                    <w:snapToGrid w:val="0"/>
                    <w:jc w:val="center"/>
                    <w:rPr>
                      <w:color w:val="auto"/>
                      <w:szCs w:val="21"/>
                    </w:rPr>
                  </w:pPr>
                  <w:r>
                    <w:rPr>
                      <w:color w:val="auto"/>
                      <w:szCs w:val="21"/>
                    </w:rPr>
                    <w:t>1</w:t>
                  </w:r>
                </w:p>
              </w:tc>
              <w:tc>
                <w:tcPr>
                  <w:tcW w:w="1236" w:type="dxa"/>
                  <w:tcBorders>
                    <w:tl2br w:val="nil"/>
                    <w:tr2bl w:val="nil"/>
                  </w:tcBorders>
                  <w:vAlign w:val="center"/>
                </w:tcPr>
                <w:p w14:paraId="682310EC">
                  <w:pPr>
                    <w:snapToGrid w:val="0"/>
                    <w:jc w:val="center"/>
                    <w:rPr>
                      <w:color w:val="auto"/>
                      <w:szCs w:val="21"/>
                    </w:rPr>
                  </w:pPr>
                  <w:r>
                    <w:rPr>
                      <w:rFonts w:hint="eastAsia"/>
                      <w:color w:val="auto"/>
                      <w:szCs w:val="21"/>
                    </w:rPr>
                    <w:t>熔炼</w:t>
                  </w:r>
                </w:p>
              </w:tc>
              <w:tc>
                <w:tcPr>
                  <w:tcW w:w="1014" w:type="dxa"/>
                  <w:vMerge w:val="restart"/>
                  <w:tcBorders>
                    <w:tl2br w:val="nil"/>
                    <w:tr2bl w:val="nil"/>
                  </w:tcBorders>
                  <w:vAlign w:val="center"/>
                </w:tcPr>
                <w:p w14:paraId="6D568E50">
                  <w:pPr>
                    <w:snapToGrid w:val="0"/>
                    <w:jc w:val="center"/>
                    <w:rPr>
                      <w:color w:val="auto"/>
                      <w:szCs w:val="21"/>
                    </w:rPr>
                  </w:pPr>
                  <w:r>
                    <w:rPr>
                      <w:color w:val="auto"/>
                      <w:szCs w:val="21"/>
                    </w:rPr>
                    <w:t>除尘器失效</w:t>
                  </w:r>
                </w:p>
              </w:tc>
              <w:tc>
                <w:tcPr>
                  <w:tcW w:w="985" w:type="dxa"/>
                  <w:vMerge w:val="restart"/>
                  <w:tcBorders>
                    <w:tl2br w:val="nil"/>
                    <w:tr2bl w:val="nil"/>
                  </w:tcBorders>
                  <w:vAlign w:val="center"/>
                </w:tcPr>
                <w:p w14:paraId="78423FD0">
                  <w:pPr>
                    <w:snapToGrid w:val="0"/>
                    <w:jc w:val="center"/>
                    <w:rPr>
                      <w:color w:val="auto"/>
                      <w:szCs w:val="21"/>
                    </w:rPr>
                  </w:pPr>
                  <w:r>
                    <w:rPr>
                      <w:color w:val="auto"/>
                      <w:szCs w:val="21"/>
                    </w:rPr>
                    <w:t>颗粒物</w:t>
                  </w:r>
                </w:p>
              </w:tc>
              <w:tc>
                <w:tcPr>
                  <w:tcW w:w="1246" w:type="dxa"/>
                  <w:tcBorders>
                    <w:tl2br w:val="nil"/>
                    <w:tr2bl w:val="nil"/>
                  </w:tcBorders>
                  <w:vAlign w:val="center"/>
                </w:tcPr>
                <w:p w14:paraId="424EA35A">
                  <w:pPr>
                    <w:snapToGrid w:val="0"/>
                    <w:jc w:val="center"/>
                    <w:rPr>
                      <w:rFonts w:hint="default" w:eastAsia="宋体"/>
                      <w:color w:val="auto"/>
                      <w:szCs w:val="21"/>
                      <w:lang w:val="en-US" w:eastAsia="zh-CN"/>
                    </w:rPr>
                  </w:pPr>
                  <w:r>
                    <w:rPr>
                      <w:rFonts w:hint="eastAsia"/>
                      <w:color w:val="auto"/>
                      <w:szCs w:val="21"/>
                      <w:lang w:val="en-US" w:eastAsia="zh-CN"/>
                    </w:rPr>
                    <w:t>16.24</w:t>
                  </w:r>
                </w:p>
              </w:tc>
              <w:tc>
                <w:tcPr>
                  <w:tcW w:w="884" w:type="dxa"/>
                  <w:vMerge w:val="restart"/>
                  <w:tcBorders>
                    <w:tl2br w:val="nil"/>
                    <w:tr2bl w:val="nil"/>
                  </w:tcBorders>
                  <w:vAlign w:val="center"/>
                </w:tcPr>
                <w:p w14:paraId="302E4E24">
                  <w:pPr>
                    <w:snapToGrid w:val="0"/>
                    <w:jc w:val="center"/>
                    <w:rPr>
                      <w:color w:val="auto"/>
                      <w:szCs w:val="21"/>
                    </w:rPr>
                  </w:pPr>
                  <w:r>
                    <w:rPr>
                      <w:rFonts w:hint="eastAsia"/>
                      <w:color w:val="auto"/>
                      <w:szCs w:val="21"/>
                    </w:rPr>
                    <w:t>1</w:t>
                  </w:r>
                  <w:r>
                    <w:rPr>
                      <w:color w:val="auto"/>
                      <w:szCs w:val="21"/>
                    </w:rPr>
                    <w:t>h</w:t>
                  </w:r>
                </w:p>
              </w:tc>
              <w:tc>
                <w:tcPr>
                  <w:tcW w:w="871" w:type="dxa"/>
                  <w:vMerge w:val="restart"/>
                  <w:tcBorders>
                    <w:tl2br w:val="nil"/>
                    <w:tr2bl w:val="nil"/>
                  </w:tcBorders>
                  <w:vAlign w:val="center"/>
                </w:tcPr>
                <w:p w14:paraId="58217F88">
                  <w:pPr>
                    <w:snapToGrid w:val="0"/>
                    <w:jc w:val="center"/>
                    <w:rPr>
                      <w:color w:val="auto"/>
                      <w:szCs w:val="21"/>
                    </w:rPr>
                  </w:pPr>
                  <w:r>
                    <w:rPr>
                      <w:color w:val="auto"/>
                      <w:szCs w:val="21"/>
                    </w:rPr>
                    <w:t>1次</w:t>
                  </w:r>
                </w:p>
                <w:p w14:paraId="73326180">
                  <w:pPr>
                    <w:snapToGrid w:val="0"/>
                    <w:jc w:val="center"/>
                    <w:rPr>
                      <w:color w:val="auto"/>
                      <w:szCs w:val="21"/>
                    </w:rPr>
                  </w:pPr>
                </w:p>
              </w:tc>
              <w:tc>
                <w:tcPr>
                  <w:tcW w:w="1045" w:type="dxa"/>
                  <w:vMerge w:val="restart"/>
                  <w:tcBorders>
                    <w:tl2br w:val="nil"/>
                    <w:tr2bl w:val="nil"/>
                  </w:tcBorders>
                  <w:vAlign w:val="center"/>
                </w:tcPr>
                <w:p w14:paraId="7FAF8C67">
                  <w:pPr>
                    <w:snapToGrid w:val="0"/>
                    <w:jc w:val="center"/>
                    <w:rPr>
                      <w:color w:val="auto"/>
                      <w:szCs w:val="21"/>
                    </w:rPr>
                  </w:pPr>
                  <w:r>
                    <w:rPr>
                      <w:color w:val="auto"/>
                      <w:szCs w:val="21"/>
                    </w:rPr>
                    <w:t>日常加强除尘器维护</w:t>
                  </w:r>
                </w:p>
              </w:tc>
            </w:tr>
            <w:tr w14:paraId="667F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55" w:type="dxa"/>
                  <w:tcBorders>
                    <w:tl2br w:val="nil"/>
                    <w:tr2bl w:val="nil"/>
                  </w:tcBorders>
                  <w:vAlign w:val="center"/>
                </w:tcPr>
                <w:p w14:paraId="0B0296DC">
                  <w:pPr>
                    <w:snapToGrid w:val="0"/>
                    <w:jc w:val="center"/>
                    <w:rPr>
                      <w:color w:val="auto"/>
                      <w:szCs w:val="21"/>
                    </w:rPr>
                  </w:pPr>
                  <w:r>
                    <w:rPr>
                      <w:color w:val="auto"/>
                      <w:szCs w:val="21"/>
                    </w:rPr>
                    <w:t>2</w:t>
                  </w:r>
                </w:p>
              </w:tc>
              <w:tc>
                <w:tcPr>
                  <w:tcW w:w="1236" w:type="dxa"/>
                  <w:tcBorders>
                    <w:tl2br w:val="nil"/>
                    <w:tr2bl w:val="nil"/>
                  </w:tcBorders>
                  <w:vAlign w:val="center"/>
                </w:tcPr>
                <w:p w14:paraId="5523712D">
                  <w:pPr>
                    <w:snapToGrid w:val="0"/>
                    <w:jc w:val="center"/>
                    <w:rPr>
                      <w:color w:val="auto"/>
                      <w:szCs w:val="21"/>
                    </w:rPr>
                  </w:pPr>
                  <w:r>
                    <w:rPr>
                      <w:rFonts w:hint="eastAsia"/>
                      <w:color w:val="auto"/>
                      <w:szCs w:val="21"/>
                    </w:rPr>
                    <w:t>浇筑</w:t>
                  </w:r>
                </w:p>
              </w:tc>
              <w:tc>
                <w:tcPr>
                  <w:tcW w:w="1014" w:type="dxa"/>
                  <w:vMerge w:val="continue"/>
                  <w:tcBorders>
                    <w:tl2br w:val="nil"/>
                    <w:tr2bl w:val="nil"/>
                  </w:tcBorders>
                  <w:vAlign w:val="center"/>
                </w:tcPr>
                <w:p w14:paraId="2885974A">
                  <w:pPr>
                    <w:snapToGrid w:val="0"/>
                    <w:jc w:val="center"/>
                    <w:rPr>
                      <w:color w:val="auto"/>
                      <w:szCs w:val="21"/>
                    </w:rPr>
                  </w:pPr>
                </w:p>
              </w:tc>
              <w:tc>
                <w:tcPr>
                  <w:tcW w:w="985" w:type="dxa"/>
                  <w:vMerge w:val="continue"/>
                  <w:tcBorders>
                    <w:tl2br w:val="nil"/>
                    <w:tr2bl w:val="nil"/>
                  </w:tcBorders>
                  <w:vAlign w:val="center"/>
                </w:tcPr>
                <w:p w14:paraId="5ABE49DB">
                  <w:pPr>
                    <w:snapToGrid w:val="0"/>
                    <w:jc w:val="center"/>
                    <w:rPr>
                      <w:color w:val="auto"/>
                      <w:szCs w:val="21"/>
                    </w:rPr>
                  </w:pPr>
                </w:p>
              </w:tc>
              <w:tc>
                <w:tcPr>
                  <w:tcW w:w="1246" w:type="dxa"/>
                  <w:tcBorders>
                    <w:tl2br w:val="nil"/>
                    <w:tr2bl w:val="nil"/>
                  </w:tcBorders>
                  <w:vAlign w:val="center"/>
                </w:tcPr>
                <w:p w14:paraId="2681DFB2">
                  <w:pPr>
                    <w:snapToGrid w:val="0"/>
                    <w:jc w:val="center"/>
                    <w:rPr>
                      <w:rFonts w:hint="default" w:eastAsia="宋体"/>
                      <w:color w:val="auto"/>
                      <w:szCs w:val="21"/>
                      <w:lang w:val="en-US" w:eastAsia="zh-CN"/>
                    </w:rPr>
                  </w:pPr>
                  <w:r>
                    <w:rPr>
                      <w:rFonts w:hint="eastAsia"/>
                      <w:color w:val="auto"/>
                      <w:szCs w:val="21"/>
                      <w:lang w:val="en-US" w:eastAsia="zh-CN"/>
                    </w:rPr>
                    <w:t>8.37</w:t>
                  </w:r>
                </w:p>
              </w:tc>
              <w:tc>
                <w:tcPr>
                  <w:tcW w:w="884" w:type="dxa"/>
                  <w:vMerge w:val="continue"/>
                  <w:tcBorders>
                    <w:tl2br w:val="nil"/>
                    <w:tr2bl w:val="nil"/>
                  </w:tcBorders>
                  <w:vAlign w:val="center"/>
                </w:tcPr>
                <w:p w14:paraId="0E12925C">
                  <w:pPr>
                    <w:snapToGrid w:val="0"/>
                    <w:jc w:val="center"/>
                    <w:rPr>
                      <w:color w:val="auto"/>
                      <w:szCs w:val="21"/>
                    </w:rPr>
                  </w:pPr>
                </w:p>
              </w:tc>
              <w:tc>
                <w:tcPr>
                  <w:tcW w:w="871" w:type="dxa"/>
                  <w:vMerge w:val="continue"/>
                  <w:tcBorders>
                    <w:tl2br w:val="nil"/>
                    <w:tr2bl w:val="nil"/>
                  </w:tcBorders>
                  <w:vAlign w:val="center"/>
                </w:tcPr>
                <w:p w14:paraId="108FD7B7">
                  <w:pPr>
                    <w:snapToGrid w:val="0"/>
                    <w:jc w:val="center"/>
                    <w:rPr>
                      <w:color w:val="auto"/>
                      <w:szCs w:val="21"/>
                    </w:rPr>
                  </w:pPr>
                </w:p>
              </w:tc>
              <w:tc>
                <w:tcPr>
                  <w:tcW w:w="1045" w:type="dxa"/>
                  <w:vMerge w:val="continue"/>
                  <w:tcBorders>
                    <w:tl2br w:val="nil"/>
                    <w:tr2bl w:val="nil"/>
                  </w:tcBorders>
                  <w:vAlign w:val="center"/>
                </w:tcPr>
                <w:p w14:paraId="3430B63F">
                  <w:pPr>
                    <w:snapToGrid w:val="0"/>
                    <w:jc w:val="center"/>
                    <w:rPr>
                      <w:color w:val="auto"/>
                      <w:szCs w:val="21"/>
                    </w:rPr>
                  </w:pPr>
                </w:p>
              </w:tc>
            </w:tr>
            <w:tr w14:paraId="1C17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55" w:type="dxa"/>
                  <w:tcBorders>
                    <w:tl2br w:val="nil"/>
                    <w:tr2bl w:val="nil"/>
                  </w:tcBorders>
                  <w:vAlign w:val="center"/>
                </w:tcPr>
                <w:p w14:paraId="1CD7ABEB">
                  <w:pPr>
                    <w:snapToGrid w:val="0"/>
                    <w:jc w:val="center"/>
                    <w:rPr>
                      <w:color w:val="auto"/>
                      <w:szCs w:val="21"/>
                    </w:rPr>
                  </w:pPr>
                  <w:r>
                    <w:rPr>
                      <w:rFonts w:hint="eastAsia"/>
                      <w:color w:val="auto"/>
                      <w:szCs w:val="21"/>
                    </w:rPr>
                    <w:t>3</w:t>
                  </w:r>
                </w:p>
              </w:tc>
              <w:tc>
                <w:tcPr>
                  <w:tcW w:w="1236" w:type="dxa"/>
                  <w:tcBorders>
                    <w:tl2br w:val="nil"/>
                    <w:tr2bl w:val="nil"/>
                  </w:tcBorders>
                  <w:vAlign w:val="center"/>
                </w:tcPr>
                <w:p w14:paraId="576539B7">
                  <w:pPr>
                    <w:snapToGrid w:val="0"/>
                    <w:jc w:val="center"/>
                    <w:rPr>
                      <w:color w:val="auto"/>
                      <w:szCs w:val="21"/>
                    </w:rPr>
                  </w:pPr>
                  <w:r>
                    <w:rPr>
                      <w:rFonts w:hint="eastAsia"/>
                      <w:color w:val="auto"/>
                      <w:szCs w:val="21"/>
                    </w:rPr>
                    <w:t>焊接</w:t>
                  </w:r>
                </w:p>
              </w:tc>
              <w:tc>
                <w:tcPr>
                  <w:tcW w:w="1014" w:type="dxa"/>
                  <w:vMerge w:val="continue"/>
                  <w:tcBorders>
                    <w:tl2br w:val="nil"/>
                    <w:tr2bl w:val="nil"/>
                  </w:tcBorders>
                  <w:vAlign w:val="center"/>
                </w:tcPr>
                <w:p w14:paraId="132EF443">
                  <w:pPr>
                    <w:snapToGrid w:val="0"/>
                    <w:jc w:val="center"/>
                    <w:rPr>
                      <w:color w:val="auto"/>
                      <w:szCs w:val="21"/>
                    </w:rPr>
                  </w:pPr>
                </w:p>
              </w:tc>
              <w:tc>
                <w:tcPr>
                  <w:tcW w:w="985" w:type="dxa"/>
                  <w:vMerge w:val="continue"/>
                  <w:tcBorders>
                    <w:tl2br w:val="nil"/>
                    <w:tr2bl w:val="nil"/>
                  </w:tcBorders>
                  <w:vAlign w:val="center"/>
                </w:tcPr>
                <w:p w14:paraId="7690CFB8">
                  <w:pPr>
                    <w:snapToGrid w:val="0"/>
                    <w:jc w:val="center"/>
                    <w:rPr>
                      <w:color w:val="auto"/>
                      <w:szCs w:val="21"/>
                    </w:rPr>
                  </w:pPr>
                </w:p>
              </w:tc>
              <w:tc>
                <w:tcPr>
                  <w:tcW w:w="1246" w:type="dxa"/>
                  <w:tcBorders>
                    <w:tl2br w:val="nil"/>
                    <w:tr2bl w:val="nil"/>
                  </w:tcBorders>
                  <w:vAlign w:val="center"/>
                </w:tcPr>
                <w:p w14:paraId="48C7DBC3">
                  <w:pPr>
                    <w:snapToGrid w:val="0"/>
                    <w:jc w:val="center"/>
                    <w:rPr>
                      <w:rFonts w:hint="default" w:eastAsia="宋体"/>
                      <w:color w:val="auto"/>
                      <w:szCs w:val="21"/>
                      <w:lang w:val="en-US" w:eastAsia="zh-CN"/>
                    </w:rPr>
                  </w:pPr>
                  <w:r>
                    <w:rPr>
                      <w:rFonts w:hint="eastAsia"/>
                      <w:color w:val="auto"/>
                      <w:szCs w:val="21"/>
                      <w:lang w:val="en-US" w:eastAsia="zh-CN"/>
                    </w:rPr>
                    <w:t>3.43</w:t>
                  </w:r>
                </w:p>
              </w:tc>
              <w:tc>
                <w:tcPr>
                  <w:tcW w:w="884" w:type="dxa"/>
                  <w:vMerge w:val="continue"/>
                  <w:tcBorders>
                    <w:tl2br w:val="nil"/>
                    <w:tr2bl w:val="nil"/>
                  </w:tcBorders>
                  <w:vAlign w:val="center"/>
                </w:tcPr>
                <w:p w14:paraId="0D41C7EC">
                  <w:pPr>
                    <w:snapToGrid w:val="0"/>
                    <w:jc w:val="center"/>
                    <w:rPr>
                      <w:color w:val="auto"/>
                      <w:szCs w:val="21"/>
                    </w:rPr>
                  </w:pPr>
                </w:p>
              </w:tc>
              <w:tc>
                <w:tcPr>
                  <w:tcW w:w="871" w:type="dxa"/>
                  <w:vMerge w:val="continue"/>
                  <w:tcBorders>
                    <w:tl2br w:val="nil"/>
                    <w:tr2bl w:val="nil"/>
                  </w:tcBorders>
                  <w:vAlign w:val="center"/>
                </w:tcPr>
                <w:p w14:paraId="19BE81E4">
                  <w:pPr>
                    <w:snapToGrid w:val="0"/>
                    <w:jc w:val="center"/>
                    <w:rPr>
                      <w:color w:val="auto"/>
                      <w:szCs w:val="21"/>
                    </w:rPr>
                  </w:pPr>
                </w:p>
              </w:tc>
              <w:tc>
                <w:tcPr>
                  <w:tcW w:w="1045" w:type="dxa"/>
                  <w:vMerge w:val="continue"/>
                  <w:tcBorders>
                    <w:tl2br w:val="nil"/>
                    <w:tr2bl w:val="nil"/>
                  </w:tcBorders>
                  <w:vAlign w:val="center"/>
                </w:tcPr>
                <w:p w14:paraId="0512C371">
                  <w:pPr>
                    <w:snapToGrid w:val="0"/>
                    <w:jc w:val="center"/>
                    <w:rPr>
                      <w:color w:val="auto"/>
                      <w:szCs w:val="21"/>
                    </w:rPr>
                  </w:pPr>
                </w:p>
              </w:tc>
            </w:tr>
          </w:tbl>
          <w:p w14:paraId="70D0FA23">
            <w:pPr>
              <w:pStyle w:val="100"/>
              <w:spacing w:line="360" w:lineRule="auto"/>
              <w:ind w:firstLine="480" w:firstLineChars="200"/>
              <w:jc w:val="both"/>
              <w:rPr>
                <w:rFonts w:ascii="Times New Roman" w:hAnsi="Times New Roman" w:cs="Times New Roman"/>
                <w:bCs/>
                <w:color w:val="auto"/>
                <w:kern w:val="2"/>
                <w:sz w:val="24"/>
                <w:szCs w:val="24"/>
              </w:rPr>
            </w:pPr>
            <w:r>
              <w:rPr>
                <w:rFonts w:ascii="Times New Roman" w:hAnsi="Times New Roman" w:cs="Times New Roman"/>
                <w:bCs/>
                <w:color w:val="auto"/>
                <w:kern w:val="2"/>
                <w:sz w:val="24"/>
                <w:szCs w:val="24"/>
              </w:rPr>
              <w:t>由上表可以看出，非正常工况下颗粒物排放浓度超标，对环境的危害和影响较大，因此需设置污染治理措施以减少非正常工况下污染物对环境的影响程度。除采用先进成熟的工艺技术和设备外，生产中还应加强管理，严格控制规程，提高工人素质，精心操作，防患于未然，将非正常排放控制到最小。一旦发生非正常生产排放，应及时进行检修，并采取相应措施进行污染物集中处理，确保事故状态后，污染物对环境的影响程度降到最低。</w:t>
            </w:r>
          </w:p>
          <w:p w14:paraId="3C5933B2">
            <w:pPr>
              <w:pStyle w:val="100"/>
              <w:spacing w:line="360" w:lineRule="auto"/>
              <w:ind w:left="116" w:firstLine="480" w:firstLineChars="200"/>
              <w:jc w:val="both"/>
              <w:rPr>
                <w:bCs/>
                <w:color w:val="auto"/>
                <w:kern w:val="2"/>
                <w:sz w:val="24"/>
                <w:szCs w:val="24"/>
              </w:rPr>
            </w:pPr>
            <w:r>
              <w:rPr>
                <w:rFonts w:ascii="Times New Roman" w:hAnsi="Times New Roman" w:cs="Times New Roman"/>
                <w:bCs/>
                <w:color w:val="auto"/>
                <w:kern w:val="2"/>
                <w:sz w:val="24"/>
                <w:szCs w:val="24"/>
              </w:rPr>
              <w:t>1.</w:t>
            </w:r>
            <w:r>
              <w:rPr>
                <w:rFonts w:hint="eastAsia" w:ascii="Times New Roman" w:hAnsi="Times New Roman" w:cs="Times New Roman"/>
                <w:bCs/>
                <w:color w:val="auto"/>
                <w:kern w:val="2"/>
                <w:sz w:val="24"/>
                <w:szCs w:val="24"/>
              </w:rPr>
              <w:t>4</w:t>
            </w:r>
            <w:r>
              <w:rPr>
                <w:rFonts w:ascii="Times New Roman" w:hAnsi="Times New Roman" w:cs="Times New Roman"/>
                <w:bCs/>
                <w:color w:val="auto"/>
                <w:kern w:val="2"/>
                <w:sz w:val="24"/>
                <w:szCs w:val="24"/>
              </w:rPr>
              <w:t xml:space="preserve"> 环保治理</w:t>
            </w:r>
            <w:r>
              <w:rPr>
                <w:rFonts w:hint="eastAsia"/>
                <w:bCs/>
                <w:color w:val="auto"/>
                <w:kern w:val="2"/>
                <w:sz w:val="24"/>
                <w:szCs w:val="24"/>
              </w:rPr>
              <w:t>措施可行性分析</w:t>
            </w:r>
          </w:p>
          <w:p w14:paraId="20F83EAE">
            <w:pPr>
              <w:pStyle w:val="100"/>
              <w:spacing w:line="360" w:lineRule="auto"/>
              <w:ind w:firstLine="480" w:firstLineChars="200"/>
              <w:jc w:val="both"/>
              <w:rPr>
                <w:rFonts w:ascii="Times New Roman" w:hAnsi="Times New Roman" w:cs="Times New Roman"/>
                <w:bCs/>
                <w:color w:val="auto"/>
                <w:kern w:val="2"/>
                <w:sz w:val="24"/>
                <w:szCs w:val="24"/>
              </w:rPr>
            </w:pPr>
            <w:r>
              <w:rPr>
                <w:rFonts w:hint="eastAsia" w:ascii="Times New Roman" w:hAnsi="Times New Roman" w:cs="Times New Roman"/>
                <w:bCs/>
                <w:color w:val="auto"/>
                <w:kern w:val="2"/>
                <w:sz w:val="24"/>
                <w:szCs w:val="24"/>
              </w:rPr>
              <w:t>（1）布袋除尘的可行性分析</w:t>
            </w:r>
          </w:p>
          <w:p w14:paraId="54320C62">
            <w:pPr>
              <w:pStyle w:val="100"/>
              <w:spacing w:line="360" w:lineRule="auto"/>
              <w:ind w:firstLine="480" w:firstLineChars="200"/>
              <w:jc w:val="both"/>
              <w:rPr>
                <w:rFonts w:ascii="Times New Roman" w:hAnsi="Times New Roman" w:cs="Times New Roman"/>
                <w:bCs/>
                <w:color w:val="auto"/>
                <w:kern w:val="2"/>
                <w:sz w:val="24"/>
                <w:szCs w:val="24"/>
              </w:rPr>
            </w:pPr>
            <w:r>
              <w:rPr>
                <w:rFonts w:hint="eastAsia" w:ascii="Times New Roman" w:hAnsi="Times New Roman" w:cs="Times New Roman"/>
                <w:bCs/>
                <w:color w:val="auto"/>
                <w:kern w:val="2"/>
                <w:sz w:val="24"/>
                <w:szCs w:val="24"/>
              </w:rPr>
              <w:t>本项目对生产工艺产生的粉尘采用布袋除尘器处理，处理后从15m高的排气筒排放。袋式除尘器工作原理：当含尘气体由进风口进入</w:t>
            </w:r>
            <w:r>
              <w:rPr>
                <w:color w:val="auto"/>
              </w:rPr>
              <w:fldChar w:fldCharType="begin"/>
            </w:r>
            <w:r>
              <w:rPr>
                <w:color w:val="auto"/>
              </w:rPr>
              <w:instrText xml:space="preserve"> HYPERLINK "http://www.lvxinnet.com" </w:instrText>
            </w:r>
            <w:r>
              <w:rPr>
                <w:color w:val="auto"/>
              </w:rPr>
              <w:fldChar w:fldCharType="separate"/>
            </w:r>
            <w:r>
              <w:rPr>
                <w:rFonts w:hint="eastAsia" w:ascii="Times New Roman" w:hAnsi="Times New Roman" w:cs="Times New Roman"/>
                <w:bCs/>
                <w:color w:val="auto"/>
                <w:kern w:val="2"/>
                <w:sz w:val="24"/>
                <w:szCs w:val="24"/>
              </w:rPr>
              <w:t>除尘器，</w:t>
            </w:r>
            <w:r>
              <w:rPr>
                <w:rFonts w:hint="eastAsia" w:ascii="Times New Roman" w:hAnsi="Times New Roman" w:cs="Times New Roman"/>
                <w:bCs/>
                <w:color w:val="auto"/>
                <w:kern w:val="2"/>
                <w:sz w:val="24"/>
                <w:szCs w:val="24"/>
              </w:rPr>
              <w:fldChar w:fldCharType="end"/>
            </w:r>
            <w:r>
              <w:rPr>
                <w:rFonts w:hint="eastAsia" w:ascii="Times New Roman" w:hAnsi="Times New Roman" w:cs="Times New Roman"/>
                <w:bCs/>
                <w:color w:val="auto"/>
                <w:kern w:val="2"/>
                <w:sz w:val="24"/>
                <w:szCs w:val="24"/>
              </w:rPr>
              <w:t>首先碰到进出风口中间的斜板及挡板，气流便转向流入灰斗，同时气流速度放慢，由于惯性作用，使气体中粗颗粒粉尘直接流入灰斗。起到预先收尘的作用，进入灰斗的气流随后折而向上通过内部装有金属骨架的布袋，粉尘被捕集在布袋的外表面，净化后的气体进入布袋室上部清洁室，汇集到出风口排出。含尘气体通过布袋净化的过程中，随着时间的增加而积附在布袋上的粉尘越来越多，从而增加布袋阻力，致使处理风量逐渐减少。为了使除尘器正常工作，必须经常对布袋进行清灰，清灰时由控制仪顺序触发各控制阀并开启阀，气箱内的压缩空气由喷吹管各孔经文氏管喷射到各相应的布袋内，布袋瞬间急剧膨胀，使积附在布袋表面的粉尘脱落</w:t>
            </w:r>
            <w:r>
              <w:rPr>
                <w:color w:val="auto"/>
              </w:rPr>
              <w:fldChar w:fldCharType="begin"/>
            </w:r>
            <w:r>
              <w:rPr>
                <w:color w:val="auto"/>
              </w:rPr>
              <w:instrText xml:space="preserve"> HYPERLINK "http://www.lvxinnet.com" </w:instrText>
            </w:r>
            <w:r>
              <w:rPr>
                <w:color w:val="auto"/>
              </w:rPr>
              <w:fldChar w:fldCharType="separate"/>
            </w:r>
            <w:r>
              <w:rPr>
                <w:rFonts w:hint="eastAsia" w:ascii="Times New Roman" w:hAnsi="Times New Roman" w:cs="Times New Roman"/>
                <w:bCs/>
                <w:color w:val="auto"/>
                <w:kern w:val="2"/>
                <w:sz w:val="24"/>
                <w:szCs w:val="24"/>
              </w:rPr>
              <w:t>，布袋得</w:t>
            </w:r>
            <w:r>
              <w:rPr>
                <w:rFonts w:hint="eastAsia" w:ascii="Times New Roman" w:hAnsi="Times New Roman" w:cs="Times New Roman"/>
                <w:bCs/>
                <w:color w:val="auto"/>
                <w:kern w:val="2"/>
                <w:sz w:val="24"/>
                <w:szCs w:val="24"/>
              </w:rPr>
              <w:fldChar w:fldCharType="end"/>
            </w:r>
            <w:r>
              <w:rPr>
                <w:rFonts w:hint="eastAsia" w:ascii="Times New Roman" w:hAnsi="Times New Roman" w:cs="Times New Roman"/>
                <w:bCs/>
                <w:color w:val="auto"/>
                <w:kern w:val="2"/>
                <w:sz w:val="24"/>
                <w:szCs w:val="24"/>
              </w:rPr>
              <w:t>到再生。清下粉尘落入灰斗，经排灰系统排出机体，处理效率可达到9</w:t>
            </w:r>
            <w:r>
              <w:rPr>
                <w:rFonts w:hint="eastAsia" w:ascii="Times New Roman" w:hAnsi="Times New Roman" w:cs="Times New Roman"/>
                <w:bCs/>
                <w:color w:val="auto"/>
                <w:kern w:val="2"/>
                <w:sz w:val="24"/>
                <w:szCs w:val="24"/>
                <w:lang w:val="en-US" w:eastAsia="zh-CN"/>
              </w:rPr>
              <w:t>5</w:t>
            </w:r>
            <w:r>
              <w:rPr>
                <w:rFonts w:hint="eastAsia" w:ascii="Times New Roman" w:hAnsi="Times New Roman" w:cs="Times New Roman"/>
                <w:bCs/>
                <w:color w:val="auto"/>
                <w:kern w:val="2"/>
                <w:sz w:val="24"/>
                <w:szCs w:val="24"/>
              </w:rPr>
              <w:t>% ，处理措施可行。</w:t>
            </w:r>
          </w:p>
          <w:p w14:paraId="48E886D1">
            <w:pPr>
              <w:pStyle w:val="100"/>
              <w:spacing w:line="360" w:lineRule="auto"/>
              <w:ind w:firstLine="480" w:firstLineChars="200"/>
              <w:jc w:val="both"/>
              <w:rPr>
                <w:rFonts w:ascii="Times New Roman" w:hAnsi="Times New Roman" w:cs="Times New Roman"/>
                <w:color w:val="auto"/>
                <w:sz w:val="24"/>
                <w:szCs w:val="24"/>
              </w:rPr>
            </w:pPr>
            <w:r>
              <w:rPr>
                <w:rFonts w:hint="eastAsia" w:ascii="Times New Roman" w:hAnsi="Times New Roman" w:cs="Times New Roman"/>
                <w:color w:val="auto"/>
                <w:sz w:val="24"/>
                <w:szCs w:val="24"/>
              </w:rPr>
              <w:t>1.5 监测计划</w:t>
            </w:r>
          </w:p>
          <w:p w14:paraId="43159746">
            <w:pPr>
              <w:pStyle w:val="100"/>
              <w:spacing w:line="360" w:lineRule="auto"/>
              <w:ind w:firstLine="480" w:firstLineChars="200"/>
              <w:jc w:val="both"/>
              <w:rPr>
                <w:rFonts w:ascii="Times New Roman" w:hAnsi="Times New Roman" w:cs="Times New Roman"/>
                <w:color w:val="auto"/>
                <w:sz w:val="24"/>
                <w:szCs w:val="24"/>
              </w:rPr>
            </w:pPr>
            <w:r>
              <w:rPr>
                <w:rFonts w:hint="eastAsia" w:ascii="Times New Roman" w:hAnsi="Times New Roman" w:cs="Times New Roman"/>
                <w:color w:val="auto"/>
                <w:sz w:val="24"/>
                <w:szCs w:val="24"/>
              </w:rPr>
              <w:t>根据《排污单位自行监测技术指南总则》（HJ819-2017）中最低监测频次要求，本项目污染源属于非主要污染源，排放口类型为一般排放口。监测计划、排放口基本情况见表 4-9。</w:t>
            </w:r>
          </w:p>
          <w:p w14:paraId="08BD40EE">
            <w:pPr>
              <w:snapToGrid w:val="0"/>
              <w:jc w:val="center"/>
              <w:rPr>
                <w:b/>
                <w:bCs/>
                <w:color w:val="auto"/>
              </w:rPr>
            </w:pPr>
            <w:r>
              <w:rPr>
                <w:b/>
                <w:bCs/>
                <w:color w:val="auto"/>
              </w:rPr>
              <w:t>表 4-</w:t>
            </w:r>
            <w:r>
              <w:rPr>
                <w:rFonts w:hint="eastAsia"/>
                <w:b/>
                <w:bCs/>
                <w:color w:val="auto"/>
              </w:rPr>
              <w:t>9</w:t>
            </w:r>
            <w:r>
              <w:rPr>
                <w:b/>
                <w:bCs/>
                <w:color w:val="auto"/>
              </w:rPr>
              <w:t xml:space="preserve"> 大气监测计划</w:t>
            </w:r>
          </w:p>
          <w:tbl>
            <w:tblPr>
              <w:tblStyle w:val="24"/>
              <w:tblW w:w="798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442"/>
              <w:gridCol w:w="3119"/>
              <w:gridCol w:w="1636"/>
            </w:tblGrid>
            <w:tr w14:paraId="66942B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88" w:type="dxa"/>
                  <w:vAlign w:val="center"/>
                </w:tcPr>
                <w:p w14:paraId="737DB0E1">
                  <w:pPr>
                    <w:jc w:val="center"/>
                    <w:rPr>
                      <w:color w:val="auto"/>
                      <w:szCs w:val="21"/>
                    </w:rPr>
                  </w:pPr>
                  <w:r>
                    <w:rPr>
                      <w:color w:val="auto"/>
                      <w:szCs w:val="21"/>
                    </w:rPr>
                    <w:t>要素</w:t>
                  </w:r>
                </w:p>
              </w:tc>
              <w:tc>
                <w:tcPr>
                  <w:tcW w:w="2442" w:type="dxa"/>
                  <w:vAlign w:val="center"/>
                </w:tcPr>
                <w:p w14:paraId="7FD246DD">
                  <w:pPr>
                    <w:spacing w:line="240" w:lineRule="atLeast"/>
                    <w:jc w:val="center"/>
                    <w:rPr>
                      <w:color w:val="auto"/>
                      <w:szCs w:val="21"/>
                    </w:rPr>
                  </w:pPr>
                  <w:r>
                    <w:rPr>
                      <w:color w:val="auto"/>
                      <w:szCs w:val="21"/>
                    </w:rPr>
                    <w:t>测点位置</w:t>
                  </w:r>
                </w:p>
              </w:tc>
              <w:tc>
                <w:tcPr>
                  <w:tcW w:w="3119" w:type="dxa"/>
                  <w:vAlign w:val="center"/>
                </w:tcPr>
                <w:p w14:paraId="309FEB3A">
                  <w:pPr>
                    <w:jc w:val="center"/>
                    <w:rPr>
                      <w:color w:val="auto"/>
                      <w:szCs w:val="21"/>
                    </w:rPr>
                  </w:pPr>
                  <w:r>
                    <w:rPr>
                      <w:color w:val="auto"/>
                      <w:szCs w:val="21"/>
                    </w:rPr>
                    <w:t>监测项目</w:t>
                  </w:r>
                </w:p>
              </w:tc>
              <w:tc>
                <w:tcPr>
                  <w:tcW w:w="1636" w:type="dxa"/>
                  <w:vAlign w:val="center"/>
                </w:tcPr>
                <w:p w14:paraId="67A5379D">
                  <w:pPr>
                    <w:jc w:val="center"/>
                    <w:rPr>
                      <w:color w:val="auto"/>
                      <w:szCs w:val="21"/>
                    </w:rPr>
                  </w:pPr>
                  <w:r>
                    <w:rPr>
                      <w:color w:val="auto"/>
                      <w:szCs w:val="21"/>
                    </w:rPr>
                    <w:t>监测频次</w:t>
                  </w:r>
                </w:p>
              </w:tc>
            </w:tr>
            <w:tr w14:paraId="3D3188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88" w:type="dxa"/>
                  <w:vMerge w:val="restart"/>
                  <w:vAlign w:val="center"/>
                </w:tcPr>
                <w:p w14:paraId="4C4DFFCE">
                  <w:pPr>
                    <w:jc w:val="center"/>
                    <w:rPr>
                      <w:color w:val="auto"/>
                      <w:szCs w:val="21"/>
                    </w:rPr>
                  </w:pPr>
                  <w:r>
                    <w:rPr>
                      <w:rFonts w:hint="eastAsia"/>
                      <w:color w:val="auto"/>
                      <w:szCs w:val="21"/>
                    </w:rPr>
                    <w:t>废气</w:t>
                  </w:r>
                </w:p>
              </w:tc>
              <w:tc>
                <w:tcPr>
                  <w:tcW w:w="2442" w:type="dxa"/>
                  <w:vAlign w:val="center"/>
                </w:tcPr>
                <w:p w14:paraId="000CB165">
                  <w:pPr>
                    <w:jc w:val="center"/>
                    <w:rPr>
                      <w:color w:val="auto"/>
                      <w:szCs w:val="21"/>
                    </w:rPr>
                  </w:pPr>
                  <w:r>
                    <w:rPr>
                      <w:color w:val="auto"/>
                      <w:szCs w:val="21"/>
                    </w:rPr>
                    <w:t>排气筒</w:t>
                  </w:r>
                </w:p>
              </w:tc>
              <w:tc>
                <w:tcPr>
                  <w:tcW w:w="3119" w:type="dxa"/>
                  <w:vAlign w:val="center"/>
                </w:tcPr>
                <w:p w14:paraId="7E7ECE2F">
                  <w:pPr>
                    <w:jc w:val="center"/>
                    <w:rPr>
                      <w:color w:val="auto"/>
                      <w:szCs w:val="21"/>
                    </w:rPr>
                  </w:pPr>
                  <w:r>
                    <w:rPr>
                      <w:color w:val="auto"/>
                      <w:szCs w:val="21"/>
                    </w:rPr>
                    <w:t>颗粒物</w:t>
                  </w:r>
                </w:p>
              </w:tc>
              <w:tc>
                <w:tcPr>
                  <w:tcW w:w="1636" w:type="dxa"/>
                  <w:vAlign w:val="center"/>
                </w:tcPr>
                <w:p w14:paraId="4EC04313">
                  <w:pPr>
                    <w:jc w:val="center"/>
                    <w:rPr>
                      <w:color w:val="auto"/>
                      <w:szCs w:val="21"/>
                    </w:rPr>
                  </w:pPr>
                  <w:r>
                    <w:rPr>
                      <w:color w:val="auto"/>
                      <w:szCs w:val="21"/>
                    </w:rPr>
                    <w:t>1次/</w:t>
                  </w:r>
                  <w:r>
                    <w:rPr>
                      <w:rFonts w:hint="eastAsia"/>
                      <w:color w:val="auto"/>
                      <w:szCs w:val="21"/>
                    </w:rPr>
                    <w:t>年</w:t>
                  </w:r>
                </w:p>
              </w:tc>
            </w:tr>
            <w:tr w14:paraId="2A102C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88" w:type="dxa"/>
                  <w:vMerge w:val="continue"/>
                  <w:vAlign w:val="center"/>
                </w:tcPr>
                <w:p w14:paraId="584F9C74">
                  <w:pPr>
                    <w:jc w:val="center"/>
                    <w:rPr>
                      <w:color w:val="auto"/>
                      <w:szCs w:val="21"/>
                    </w:rPr>
                  </w:pPr>
                </w:p>
              </w:tc>
              <w:tc>
                <w:tcPr>
                  <w:tcW w:w="2442" w:type="dxa"/>
                  <w:vAlign w:val="center"/>
                </w:tcPr>
                <w:p w14:paraId="0856A4E6">
                  <w:pPr>
                    <w:spacing w:line="240" w:lineRule="atLeast"/>
                    <w:jc w:val="center"/>
                    <w:rPr>
                      <w:color w:val="auto"/>
                      <w:szCs w:val="21"/>
                    </w:rPr>
                  </w:pPr>
                  <w:r>
                    <w:rPr>
                      <w:rFonts w:hint="eastAsia"/>
                      <w:color w:val="auto"/>
                      <w:szCs w:val="21"/>
                    </w:rPr>
                    <w:t>厂界无组织</w:t>
                  </w:r>
                </w:p>
              </w:tc>
              <w:tc>
                <w:tcPr>
                  <w:tcW w:w="3119" w:type="dxa"/>
                  <w:vAlign w:val="center"/>
                </w:tcPr>
                <w:p w14:paraId="5834E085">
                  <w:pPr>
                    <w:jc w:val="center"/>
                    <w:rPr>
                      <w:color w:val="auto"/>
                      <w:szCs w:val="21"/>
                    </w:rPr>
                  </w:pPr>
                  <w:r>
                    <w:rPr>
                      <w:color w:val="auto"/>
                      <w:szCs w:val="21"/>
                    </w:rPr>
                    <w:t>颗粒物</w:t>
                  </w:r>
                </w:p>
              </w:tc>
              <w:tc>
                <w:tcPr>
                  <w:tcW w:w="1636" w:type="dxa"/>
                  <w:vAlign w:val="center"/>
                </w:tcPr>
                <w:p w14:paraId="6B5D7E05">
                  <w:pPr>
                    <w:jc w:val="center"/>
                    <w:rPr>
                      <w:color w:val="auto"/>
                      <w:szCs w:val="21"/>
                    </w:rPr>
                  </w:pPr>
                  <w:r>
                    <w:rPr>
                      <w:color w:val="auto"/>
                      <w:szCs w:val="21"/>
                    </w:rPr>
                    <w:t>1次/</w:t>
                  </w:r>
                  <w:r>
                    <w:rPr>
                      <w:rFonts w:hint="eastAsia"/>
                      <w:color w:val="auto"/>
                      <w:szCs w:val="21"/>
                    </w:rPr>
                    <w:t>年</w:t>
                  </w:r>
                </w:p>
              </w:tc>
            </w:tr>
          </w:tbl>
          <w:p w14:paraId="44EA6FD8">
            <w:pPr>
              <w:pStyle w:val="100"/>
              <w:spacing w:line="360" w:lineRule="auto"/>
              <w:ind w:firstLine="480" w:firstLineChars="200"/>
              <w:jc w:val="both"/>
              <w:rPr>
                <w:rFonts w:ascii="Times New Roman" w:hAnsi="Times New Roman" w:cs="Times New Roman"/>
                <w:color w:val="auto"/>
                <w:sz w:val="24"/>
                <w:szCs w:val="24"/>
              </w:rPr>
            </w:pPr>
            <w:r>
              <w:rPr>
                <w:rFonts w:hint="eastAsia" w:ascii="Times New Roman" w:hAnsi="Times New Roman" w:cs="Times New Roman"/>
                <w:color w:val="auto"/>
                <w:sz w:val="24"/>
                <w:szCs w:val="24"/>
              </w:rPr>
              <w:t>1.6 环境影响分析</w:t>
            </w:r>
          </w:p>
          <w:p w14:paraId="777DA98E">
            <w:pPr>
              <w:pStyle w:val="100"/>
              <w:spacing w:line="360" w:lineRule="auto"/>
              <w:ind w:firstLine="480" w:firstLineChars="200"/>
              <w:jc w:val="both"/>
              <w:rPr>
                <w:rFonts w:ascii="Times New Roman" w:hAnsi="Times New Roman" w:cs="Times New Roman"/>
                <w:color w:val="auto"/>
                <w:sz w:val="24"/>
                <w:szCs w:val="24"/>
              </w:rPr>
            </w:pPr>
            <w:r>
              <w:rPr>
                <w:rFonts w:hint="eastAsia" w:ascii="Times New Roman" w:hAnsi="Times New Roman" w:cs="Times New Roman"/>
                <w:color w:val="auto"/>
                <w:sz w:val="24"/>
                <w:szCs w:val="24"/>
              </w:rPr>
              <w:t>本项目厂界外500米范围内无自然保护区、风景名胜区、文化区，不存在环境空气保护目标。</w:t>
            </w:r>
          </w:p>
          <w:p w14:paraId="02536489">
            <w:pPr>
              <w:pStyle w:val="100"/>
              <w:spacing w:line="360" w:lineRule="auto"/>
              <w:ind w:firstLine="480" w:firstLineChars="200"/>
              <w:jc w:val="both"/>
              <w:rPr>
                <w:color w:val="auto"/>
              </w:rPr>
            </w:pPr>
            <w:r>
              <w:rPr>
                <w:rFonts w:hint="eastAsia" w:ascii="Times New Roman" w:hAnsi="Times New Roman" w:cs="Times New Roman"/>
                <w:color w:val="auto"/>
                <w:sz w:val="24"/>
                <w:szCs w:val="24"/>
              </w:rPr>
              <w:t>本项目钢铁</w:t>
            </w:r>
            <w:r>
              <w:rPr>
                <w:rFonts w:ascii="Times New Roman" w:hAnsi="Times New Roman" w:cs="Times New Roman"/>
                <w:color w:val="auto"/>
                <w:sz w:val="24"/>
                <w:szCs w:val="24"/>
              </w:rPr>
              <w:t>为筒仓储藏，各筒仓均配套脉冲除尘器，</w:t>
            </w:r>
            <w:r>
              <w:rPr>
                <w:rFonts w:hint="eastAsia" w:ascii="Times New Roman" w:hAnsi="Times New Roman" w:cs="Times New Roman"/>
                <w:color w:val="auto"/>
                <w:sz w:val="24"/>
                <w:szCs w:val="24"/>
              </w:rPr>
              <w:t>处理后排放，在出料口混合搅拌机排气孔处设置布袋除尘器对粉尘进行处置，处理后的无组织排放；原料堆场封闭厂房，厂区道路硬化、控制车速、密封运输物料等措施后，能够有效降低粉尘逸散，</w:t>
            </w:r>
            <w:r>
              <w:rPr>
                <w:rFonts w:hint="eastAsia"/>
                <w:color w:val="auto"/>
                <w:sz w:val="24"/>
              </w:rPr>
              <w:t>焊接烟尘经移动式焊烟净化器处理后车间内无组织排放</w:t>
            </w:r>
            <w:r>
              <w:rPr>
                <w:rFonts w:hint="eastAsia" w:ascii="Times New Roman" w:hAnsi="Times New Roman" w:cs="Times New Roman"/>
                <w:color w:val="auto"/>
                <w:sz w:val="24"/>
                <w:szCs w:val="24"/>
              </w:rPr>
              <w:t>。锅炉</w:t>
            </w:r>
            <w:r>
              <w:rPr>
                <w:rFonts w:ascii="Times New Roman" w:hAnsi="Times New Roman" w:cs="Times New Roman"/>
                <w:color w:val="auto"/>
                <w:sz w:val="24"/>
                <w:szCs w:val="24"/>
              </w:rPr>
              <w:t>废气中颗粒物满足</w:t>
            </w:r>
            <w:r>
              <w:rPr>
                <w:rFonts w:hint="eastAsia"/>
                <w:color w:val="auto"/>
                <w:sz w:val="24"/>
              </w:rPr>
              <w:t>《铸造工业大气污染物排放标准》（GB 39726—2020）表1金属熔炼（化）大气污染物排放浓度限值中电弧炉、感应电炉、精炼炉等其它熔炼（化）炉；保温炉</w:t>
            </w:r>
            <w:r>
              <w:rPr>
                <w:rFonts w:hint="eastAsia"/>
                <w:color w:val="auto"/>
                <w:sz w:val="24"/>
                <w:vertAlign w:val="superscript"/>
              </w:rPr>
              <w:t>d</w:t>
            </w:r>
            <w:r>
              <w:rPr>
                <w:rFonts w:hint="eastAsia"/>
                <w:color w:val="auto"/>
                <w:sz w:val="24"/>
              </w:rPr>
              <w:t>的排放限值</w:t>
            </w:r>
            <w:r>
              <w:rPr>
                <w:rFonts w:hint="eastAsia" w:ascii="Times New Roman" w:hAnsi="Times New Roman" w:cs="Times New Roman"/>
                <w:color w:val="auto"/>
                <w:sz w:val="24"/>
                <w:szCs w:val="24"/>
              </w:rPr>
              <w:t>。综上所述，本项目运营期对周围大气环境影响不大。</w:t>
            </w:r>
          </w:p>
          <w:p w14:paraId="516D5BE4">
            <w:pPr>
              <w:autoSpaceDE w:val="0"/>
              <w:autoSpaceDN w:val="0"/>
              <w:adjustRightInd w:val="0"/>
              <w:spacing w:line="360" w:lineRule="auto"/>
              <w:ind w:firstLine="482" w:firstLineChars="200"/>
              <w:rPr>
                <w:rFonts w:ascii="宋体" w:hAnsi="宋体" w:cs="宋体"/>
                <w:b/>
                <w:color w:val="auto"/>
                <w:kern w:val="0"/>
                <w:sz w:val="24"/>
              </w:rPr>
            </w:pPr>
            <w:r>
              <w:rPr>
                <w:rFonts w:hint="default" w:ascii="Times New Roman" w:hAnsi="Times New Roman" w:cs="Times New Roman"/>
                <w:b/>
                <w:color w:val="auto"/>
                <w:kern w:val="0"/>
                <w:sz w:val="24"/>
              </w:rPr>
              <w:t>2、</w:t>
            </w:r>
            <w:r>
              <w:rPr>
                <w:rFonts w:hint="eastAsia" w:ascii="宋体" w:hAnsi="宋体" w:cs="宋体"/>
                <w:b/>
                <w:color w:val="auto"/>
                <w:kern w:val="0"/>
                <w:sz w:val="24"/>
              </w:rPr>
              <w:t>废水</w:t>
            </w:r>
          </w:p>
          <w:p w14:paraId="7082CE9A">
            <w:pPr>
              <w:adjustRightInd w:val="0"/>
              <w:snapToGrid w:val="0"/>
              <w:spacing w:line="360" w:lineRule="auto"/>
              <w:ind w:firstLine="482"/>
              <w:rPr>
                <w:rFonts w:ascii="宋体" w:hAnsi="宋体" w:cs="宋体"/>
                <w:b/>
                <w:color w:val="auto"/>
                <w:sz w:val="24"/>
              </w:rPr>
            </w:pPr>
            <w:r>
              <w:rPr>
                <w:rFonts w:hint="default" w:ascii="Times New Roman" w:hAnsi="Times New Roman" w:eastAsia="黑体" w:cs="Times New Roman"/>
                <w:b/>
                <w:color w:val="auto"/>
                <w:sz w:val="24"/>
              </w:rPr>
              <w:t>2.1</w:t>
            </w:r>
            <w:r>
              <w:rPr>
                <w:rFonts w:hint="eastAsia" w:ascii="宋体" w:hAnsi="宋体" w:cs="宋体"/>
                <w:b/>
                <w:color w:val="auto"/>
                <w:sz w:val="24"/>
              </w:rPr>
              <w:t>废水处理措施</w:t>
            </w:r>
          </w:p>
          <w:p w14:paraId="058E118C">
            <w:pPr>
              <w:pStyle w:val="100"/>
              <w:spacing w:line="360" w:lineRule="auto"/>
              <w:ind w:firstLine="480" w:firstLineChars="200"/>
              <w:jc w:val="both"/>
              <w:rPr>
                <w:color w:val="auto"/>
                <w:sz w:val="24"/>
              </w:rPr>
            </w:pPr>
            <w:r>
              <w:rPr>
                <w:rFonts w:hint="eastAsia"/>
                <w:color w:val="auto"/>
                <w:sz w:val="24"/>
              </w:rPr>
              <w:t>本项目产生的废水主要为冷却水</w:t>
            </w:r>
            <w:r>
              <w:rPr>
                <w:rFonts w:hint="eastAsia"/>
                <w:color w:val="auto"/>
                <w:sz w:val="24"/>
                <w:lang w:val="en-US" w:eastAsia="zh-CN"/>
              </w:rPr>
              <w:t>及</w:t>
            </w:r>
            <w:r>
              <w:rPr>
                <w:rFonts w:hint="eastAsia"/>
                <w:color w:val="auto"/>
                <w:sz w:val="24"/>
              </w:rPr>
              <w:t>生活污水。</w:t>
            </w:r>
          </w:p>
          <w:p w14:paraId="18BAD9F8">
            <w:pPr>
              <w:pStyle w:val="100"/>
              <w:spacing w:line="360" w:lineRule="auto"/>
              <w:ind w:firstLine="480" w:firstLineChars="200"/>
              <w:jc w:val="both"/>
              <w:rPr>
                <w:color w:val="auto"/>
                <w:sz w:val="24"/>
              </w:rPr>
            </w:pPr>
            <w:r>
              <w:rPr>
                <w:rFonts w:hint="eastAsia"/>
                <w:color w:val="auto"/>
                <w:sz w:val="24"/>
              </w:rPr>
              <w:t>（1）冷却水</w:t>
            </w:r>
          </w:p>
          <w:p w14:paraId="14FEA96C">
            <w:pPr>
              <w:pStyle w:val="100"/>
              <w:spacing w:line="360" w:lineRule="auto"/>
              <w:ind w:firstLine="480" w:firstLineChars="200"/>
              <w:jc w:val="both"/>
              <w:rPr>
                <w:color w:val="auto"/>
                <w:sz w:val="24"/>
              </w:rPr>
            </w:pPr>
            <w:r>
              <w:rPr>
                <w:rFonts w:hint="eastAsia"/>
                <w:color w:val="auto"/>
                <w:sz w:val="24"/>
              </w:rPr>
              <w:t>冷却水循环使用，不外排。</w:t>
            </w:r>
          </w:p>
          <w:p w14:paraId="1511F563">
            <w:pPr>
              <w:pStyle w:val="100"/>
              <w:spacing w:line="360" w:lineRule="auto"/>
              <w:ind w:firstLine="480" w:firstLineChars="200"/>
              <w:jc w:val="both"/>
              <w:rPr>
                <w:color w:val="auto"/>
                <w:sz w:val="24"/>
              </w:rPr>
            </w:pPr>
            <w:r>
              <w:rPr>
                <w:rFonts w:hint="eastAsia"/>
                <w:color w:val="auto"/>
                <w:sz w:val="24"/>
              </w:rPr>
              <w:t>（2）生活污水</w:t>
            </w:r>
          </w:p>
          <w:p w14:paraId="09E0F6A7">
            <w:pPr>
              <w:pStyle w:val="100"/>
              <w:spacing w:line="360" w:lineRule="auto"/>
              <w:ind w:firstLine="480" w:firstLineChars="200"/>
              <w:jc w:val="both"/>
              <w:rPr>
                <w:color w:val="auto"/>
                <w:spacing w:val="-6"/>
                <w:sz w:val="24"/>
              </w:rPr>
            </w:pPr>
            <w:r>
              <w:rPr>
                <w:rFonts w:hint="eastAsia"/>
                <w:color w:val="auto"/>
                <w:sz w:val="24"/>
              </w:rPr>
              <w:t>本项目生活污水通过化粪池预处理后经排水管网排至园区污水厂处理。</w:t>
            </w:r>
          </w:p>
          <w:p w14:paraId="3235016A">
            <w:pPr>
              <w:spacing w:line="360" w:lineRule="auto"/>
              <w:ind w:firstLine="482" w:firstLineChars="200"/>
              <w:rPr>
                <w:b/>
                <w:color w:val="auto"/>
                <w:sz w:val="24"/>
              </w:rPr>
            </w:pPr>
            <w:r>
              <w:rPr>
                <w:b/>
                <w:color w:val="auto"/>
                <w:sz w:val="24"/>
              </w:rPr>
              <w:t>2.2废水排放情况</w:t>
            </w:r>
          </w:p>
          <w:p w14:paraId="748B733D">
            <w:pPr>
              <w:pStyle w:val="100"/>
              <w:spacing w:line="360" w:lineRule="auto"/>
              <w:ind w:firstLine="480" w:firstLineChars="200"/>
              <w:jc w:val="both"/>
              <w:rPr>
                <w:rFonts w:ascii="宋体" w:hAnsi="宋体" w:cs="宋体"/>
                <w:b/>
                <w:color w:val="auto"/>
              </w:rPr>
            </w:pPr>
            <w:r>
              <w:rPr>
                <w:rFonts w:ascii="Times New Roman" w:hAnsi="Times New Roman" w:cs="Times New Roman"/>
                <w:color w:val="auto"/>
                <w:sz w:val="24"/>
              </w:rPr>
              <w:t>根据水量平衡分析，</w:t>
            </w:r>
            <w:r>
              <w:rPr>
                <w:rFonts w:hint="eastAsia" w:ascii="Times New Roman" w:hAnsi="Times New Roman" w:cs="Times New Roman"/>
                <w:color w:val="auto"/>
                <w:sz w:val="24"/>
              </w:rPr>
              <w:t>本项目排水量为4.5</w:t>
            </w:r>
            <w:r>
              <w:rPr>
                <w:rFonts w:ascii="Times New Roman" w:hAnsi="Times New Roman" w:cs="Times New Roman"/>
                <w:color w:val="auto"/>
                <w:sz w:val="24"/>
                <w:szCs w:val="24"/>
              </w:rPr>
              <w:t>m</w:t>
            </w:r>
            <w:r>
              <w:rPr>
                <w:rFonts w:ascii="Times New Roman" w:hAnsi="Times New Roman" w:cs="Times New Roman"/>
                <w:color w:val="auto"/>
                <w:sz w:val="24"/>
                <w:szCs w:val="24"/>
                <w:vertAlign w:val="superscript"/>
              </w:rPr>
              <w:t>3</w:t>
            </w:r>
            <w:r>
              <w:rPr>
                <w:rFonts w:ascii="Times New Roman" w:hAnsi="Times New Roman" w:cs="Times New Roman"/>
                <w:color w:val="auto"/>
                <w:sz w:val="24"/>
                <w:szCs w:val="24"/>
              </w:rPr>
              <w:t>/d，</w:t>
            </w:r>
            <w:r>
              <w:rPr>
                <w:rFonts w:hint="eastAsia" w:ascii="Times New Roman" w:hAnsi="Times New Roman" w:cs="Times New Roman"/>
                <w:color w:val="auto"/>
                <w:sz w:val="24"/>
                <w:szCs w:val="24"/>
              </w:rPr>
              <w:t>1125</w:t>
            </w:r>
            <w:r>
              <w:rPr>
                <w:rFonts w:ascii="Times New Roman" w:hAnsi="Times New Roman" w:cs="Times New Roman"/>
                <w:color w:val="auto"/>
                <w:spacing w:val="-8"/>
                <w:sz w:val="24"/>
                <w:szCs w:val="24"/>
              </w:rPr>
              <w:t>m</w:t>
            </w:r>
            <w:r>
              <w:rPr>
                <w:rFonts w:ascii="Times New Roman" w:hAnsi="Times New Roman" w:cs="Times New Roman"/>
                <w:color w:val="auto"/>
                <w:spacing w:val="-8"/>
                <w:sz w:val="24"/>
                <w:szCs w:val="24"/>
                <w:vertAlign w:val="superscript"/>
              </w:rPr>
              <w:t>3</w:t>
            </w:r>
            <w:r>
              <w:rPr>
                <w:rFonts w:ascii="Times New Roman" w:hAnsi="Times New Roman" w:cs="Times New Roman"/>
                <w:color w:val="auto"/>
                <w:spacing w:val="-8"/>
                <w:sz w:val="24"/>
                <w:szCs w:val="24"/>
              </w:rPr>
              <w:t xml:space="preserve">/a </w:t>
            </w:r>
            <w:r>
              <w:rPr>
                <w:rFonts w:ascii="Times New Roman" w:hAnsi="Times New Roman" w:cs="Times New Roman"/>
                <w:color w:val="auto"/>
                <w:sz w:val="24"/>
                <w:szCs w:val="24"/>
              </w:rPr>
              <w:t>。生活污水</w:t>
            </w:r>
            <w:r>
              <w:rPr>
                <w:rFonts w:hint="eastAsia"/>
                <w:color w:val="auto"/>
                <w:sz w:val="24"/>
                <w:szCs w:val="24"/>
              </w:rPr>
              <w:t>经化粪池预处理后排入园区排水管网进入园区污水处理厂处理</w:t>
            </w:r>
            <w:r>
              <w:rPr>
                <w:color w:val="auto"/>
                <w:sz w:val="24"/>
                <w:szCs w:val="24"/>
              </w:rPr>
              <w:t>。</w:t>
            </w:r>
            <w:r>
              <w:rPr>
                <w:rFonts w:ascii="Times New Roman" w:hAnsi="Times New Roman" w:cs="Times New Roman"/>
                <w:color w:val="auto"/>
                <w:sz w:val="24"/>
              </w:rPr>
              <w:t>本项目废水产排情况见表4-</w:t>
            </w:r>
            <w:r>
              <w:rPr>
                <w:rFonts w:hint="eastAsia" w:ascii="Times New Roman" w:hAnsi="Times New Roman" w:cs="Times New Roman"/>
                <w:color w:val="auto"/>
                <w:sz w:val="24"/>
              </w:rPr>
              <w:t>10</w:t>
            </w:r>
            <w:r>
              <w:rPr>
                <w:rFonts w:hint="eastAsia" w:ascii="Times New Roman" w:hAnsi="Times New Roman" w:cs="Times New Roman"/>
                <w:color w:val="auto"/>
                <w:sz w:val="24"/>
                <w:lang w:eastAsia="zh-CN"/>
              </w:rPr>
              <w:t>。</w:t>
            </w:r>
          </w:p>
          <w:p w14:paraId="08D45896">
            <w:pPr>
              <w:pStyle w:val="18"/>
              <w:spacing w:after="0" w:line="240" w:lineRule="auto"/>
              <w:jc w:val="center"/>
              <w:rPr>
                <w:rFonts w:ascii="宋体" w:hAnsi="宋体" w:cs="宋体"/>
                <w:b/>
                <w:color w:val="auto"/>
              </w:rPr>
            </w:pPr>
            <w:r>
              <w:rPr>
                <w:rFonts w:hint="eastAsia" w:ascii="宋体" w:hAnsi="宋体" w:cs="宋体"/>
                <w:b/>
                <w:color w:val="auto"/>
              </w:rPr>
              <w:t>表4-10   水污染物产排情况</w:t>
            </w:r>
          </w:p>
          <w:tbl>
            <w:tblPr>
              <w:tblStyle w:val="24"/>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784"/>
              <w:gridCol w:w="1954"/>
              <w:gridCol w:w="1689"/>
              <w:gridCol w:w="1767"/>
            </w:tblGrid>
            <w:tr w14:paraId="26D9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9" w:type="pct"/>
                  <w:shd w:val="clear" w:color="auto" w:fill="auto"/>
                  <w:vAlign w:val="center"/>
                </w:tcPr>
                <w:p w14:paraId="700E8C72">
                  <w:pPr>
                    <w:pStyle w:val="18"/>
                    <w:adjustRightInd w:val="0"/>
                    <w:snapToGrid w:val="0"/>
                    <w:spacing w:after="0" w:line="240" w:lineRule="auto"/>
                    <w:jc w:val="center"/>
                    <w:rPr>
                      <w:color w:val="auto"/>
                      <w:szCs w:val="21"/>
                    </w:rPr>
                  </w:pPr>
                  <w:r>
                    <w:rPr>
                      <w:color w:val="auto"/>
                      <w:szCs w:val="21"/>
                    </w:rPr>
                    <w:t>污染物</w:t>
                  </w:r>
                </w:p>
              </w:tc>
              <w:tc>
                <w:tcPr>
                  <w:tcW w:w="1106" w:type="pct"/>
                  <w:shd w:val="clear" w:color="auto" w:fill="auto"/>
                  <w:vAlign w:val="center"/>
                </w:tcPr>
                <w:p w14:paraId="1E530F5D">
                  <w:pPr>
                    <w:pStyle w:val="18"/>
                    <w:adjustRightInd w:val="0"/>
                    <w:snapToGrid w:val="0"/>
                    <w:spacing w:after="0" w:line="240" w:lineRule="auto"/>
                    <w:jc w:val="center"/>
                    <w:rPr>
                      <w:color w:val="auto"/>
                      <w:szCs w:val="21"/>
                    </w:rPr>
                  </w:pPr>
                  <w:r>
                    <w:rPr>
                      <w:color w:val="auto"/>
                      <w:szCs w:val="21"/>
                    </w:rPr>
                    <w:t>进口浓度</w:t>
                  </w:r>
                </w:p>
                <w:p w14:paraId="69113837">
                  <w:pPr>
                    <w:pStyle w:val="18"/>
                    <w:adjustRightInd w:val="0"/>
                    <w:snapToGrid w:val="0"/>
                    <w:spacing w:after="0" w:line="240" w:lineRule="auto"/>
                    <w:jc w:val="center"/>
                    <w:rPr>
                      <w:color w:val="auto"/>
                      <w:szCs w:val="21"/>
                    </w:rPr>
                  </w:pPr>
                  <w:r>
                    <w:rPr>
                      <w:color w:val="auto"/>
                      <w:szCs w:val="21"/>
                    </w:rPr>
                    <w:t>mg/L</w:t>
                  </w:r>
                </w:p>
              </w:tc>
              <w:tc>
                <w:tcPr>
                  <w:tcW w:w="1211" w:type="pct"/>
                  <w:shd w:val="clear" w:color="auto" w:fill="auto"/>
                  <w:vAlign w:val="center"/>
                </w:tcPr>
                <w:p w14:paraId="39B88F87">
                  <w:pPr>
                    <w:pStyle w:val="18"/>
                    <w:adjustRightInd w:val="0"/>
                    <w:snapToGrid w:val="0"/>
                    <w:spacing w:after="0" w:line="240" w:lineRule="auto"/>
                    <w:jc w:val="center"/>
                    <w:rPr>
                      <w:color w:val="auto"/>
                      <w:szCs w:val="21"/>
                    </w:rPr>
                  </w:pPr>
                  <w:r>
                    <w:rPr>
                      <w:color w:val="auto"/>
                      <w:szCs w:val="21"/>
                    </w:rPr>
                    <w:t>产生量</w:t>
                  </w:r>
                </w:p>
                <w:p w14:paraId="6AC8A7E0">
                  <w:pPr>
                    <w:pStyle w:val="18"/>
                    <w:adjustRightInd w:val="0"/>
                    <w:snapToGrid w:val="0"/>
                    <w:spacing w:after="0" w:line="240" w:lineRule="auto"/>
                    <w:jc w:val="center"/>
                    <w:rPr>
                      <w:color w:val="auto"/>
                      <w:szCs w:val="21"/>
                    </w:rPr>
                  </w:pPr>
                  <w:r>
                    <w:rPr>
                      <w:color w:val="auto"/>
                      <w:spacing w:val="-8"/>
                      <w:szCs w:val="21"/>
                    </w:rPr>
                    <w:t>m</w:t>
                  </w:r>
                  <w:r>
                    <w:rPr>
                      <w:color w:val="auto"/>
                      <w:spacing w:val="-8"/>
                      <w:szCs w:val="21"/>
                      <w:vertAlign w:val="superscript"/>
                    </w:rPr>
                    <w:t>3</w:t>
                  </w:r>
                  <w:r>
                    <w:rPr>
                      <w:color w:val="auto"/>
                      <w:spacing w:val="-8"/>
                      <w:szCs w:val="21"/>
                    </w:rPr>
                    <w:t>/a</w:t>
                  </w:r>
                </w:p>
              </w:tc>
              <w:tc>
                <w:tcPr>
                  <w:tcW w:w="1047" w:type="pct"/>
                  <w:vAlign w:val="center"/>
                </w:tcPr>
                <w:p w14:paraId="357A64EE">
                  <w:pPr>
                    <w:pStyle w:val="18"/>
                    <w:adjustRightInd w:val="0"/>
                    <w:snapToGrid w:val="0"/>
                    <w:spacing w:after="0" w:line="240" w:lineRule="auto"/>
                    <w:jc w:val="center"/>
                    <w:rPr>
                      <w:color w:val="auto"/>
                      <w:szCs w:val="21"/>
                    </w:rPr>
                  </w:pPr>
                  <w:r>
                    <w:rPr>
                      <w:color w:val="auto"/>
                      <w:szCs w:val="21"/>
                    </w:rPr>
                    <w:t>出口浓度</w:t>
                  </w:r>
                </w:p>
                <w:p w14:paraId="233F9898">
                  <w:pPr>
                    <w:pStyle w:val="18"/>
                    <w:adjustRightInd w:val="0"/>
                    <w:snapToGrid w:val="0"/>
                    <w:spacing w:after="0" w:line="240" w:lineRule="auto"/>
                    <w:jc w:val="center"/>
                    <w:rPr>
                      <w:color w:val="auto"/>
                      <w:szCs w:val="21"/>
                    </w:rPr>
                  </w:pPr>
                  <w:r>
                    <w:rPr>
                      <w:color w:val="auto"/>
                      <w:szCs w:val="21"/>
                    </w:rPr>
                    <w:t>mg/L</w:t>
                  </w:r>
                </w:p>
              </w:tc>
              <w:tc>
                <w:tcPr>
                  <w:tcW w:w="1095" w:type="pct"/>
                  <w:vAlign w:val="center"/>
                </w:tcPr>
                <w:p w14:paraId="164D60DB">
                  <w:pPr>
                    <w:pStyle w:val="18"/>
                    <w:adjustRightInd w:val="0"/>
                    <w:snapToGrid w:val="0"/>
                    <w:spacing w:after="0" w:line="240" w:lineRule="auto"/>
                    <w:jc w:val="center"/>
                    <w:rPr>
                      <w:color w:val="auto"/>
                      <w:szCs w:val="21"/>
                    </w:rPr>
                  </w:pPr>
                  <w:r>
                    <w:rPr>
                      <w:color w:val="auto"/>
                      <w:szCs w:val="21"/>
                    </w:rPr>
                    <w:t>排放量</w:t>
                  </w:r>
                </w:p>
                <w:p w14:paraId="339A3A14">
                  <w:pPr>
                    <w:pStyle w:val="18"/>
                    <w:adjustRightInd w:val="0"/>
                    <w:snapToGrid w:val="0"/>
                    <w:spacing w:after="0" w:line="240" w:lineRule="auto"/>
                    <w:jc w:val="center"/>
                    <w:rPr>
                      <w:color w:val="auto"/>
                      <w:szCs w:val="21"/>
                    </w:rPr>
                  </w:pPr>
                  <w:r>
                    <w:rPr>
                      <w:color w:val="auto"/>
                      <w:spacing w:val="-8"/>
                      <w:szCs w:val="21"/>
                    </w:rPr>
                    <w:t>m</w:t>
                  </w:r>
                  <w:r>
                    <w:rPr>
                      <w:color w:val="auto"/>
                      <w:spacing w:val="-8"/>
                      <w:szCs w:val="21"/>
                      <w:vertAlign w:val="superscript"/>
                    </w:rPr>
                    <w:t>3</w:t>
                  </w:r>
                  <w:r>
                    <w:rPr>
                      <w:color w:val="auto"/>
                      <w:spacing w:val="-8"/>
                      <w:szCs w:val="21"/>
                    </w:rPr>
                    <w:t>/a</w:t>
                  </w:r>
                </w:p>
              </w:tc>
            </w:tr>
            <w:tr w14:paraId="12B4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39" w:type="pct"/>
                  <w:shd w:val="clear" w:color="auto" w:fill="auto"/>
                  <w:vAlign w:val="center"/>
                </w:tcPr>
                <w:p w14:paraId="7AF3F124">
                  <w:pPr>
                    <w:pStyle w:val="18"/>
                    <w:adjustRightInd w:val="0"/>
                    <w:snapToGrid w:val="0"/>
                    <w:spacing w:after="0" w:line="240" w:lineRule="auto"/>
                    <w:jc w:val="center"/>
                    <w:rPr>
                      <w:color w:val="auto"/>
                      <w:szCs w:val="21"/>
                    </w:rPr>
                  </w:pPr>
                  <w:r>
                    <w:rPr>
                      <w:color w:val="auto"/>
                      <w:szCs w:val="21"/>
                    </w:rPr>
                    <w:t>COD</w:t>
                  </w:r>
                </w:p>
              </w:tc>
              <w:tc>
                <w:tcPr>
                  <w:tcW w:w="1106" w:type="pct"/>
                  <w:shd w:val="clear" w:color="auto" w:fill="auto"/>
                  <w:vAlign w:val="center"/>
                </w:tcPr>
                <w:p w14:paraId="51A7709D">
                  <w:pPr>
                    <w:pStyle w:val="18"/>
                    <w:adjustRightInd w:val="0"/>
                    <w:snapToGrid w:val="0"/>
                    <w:spacing w:after="0" w:line="240" w:lineRule="auto"/>
                    <w:jc w:val="center"/>
                    <w:rPr>
                      <w:color w:val="auto"/>
                      <w:szCs w:val="21"/>
                    </w:rPr>
                  </w:pPr>
                  <w:r>
                    <w:rPr>
                      <w:color w:val="auto"/>
                      <w:szCs w:val="21"/>
                    </w:rPr>
                    <w:t>500</w:t>
                  </w:r>
                </w:p>
              </w:tc>
              <w:tc>
                <w:tcPr>
                  <w:tcW w:w="1211" w:type="pct"/>
                  <w:shd w:val="clear" w:color="auto" w:fill="auto"/>
                  <w:vAlign w:val="center"/>
                </w:tcPr>
                <w:p w14:paraId="1CAF0D18">
                  <w:pPr>
                    <w:jc w:val="center"/>
                    <w:rPr>
                      <w:color w:val="auto"/>
                      <w:szCs w:val="21"/>
                    </w:rPr>
                  </w:pPr>
                  <w:r>
                    <w:rPr>
                      <w:rFonts w:hint="eastAsia"/>
                      <w:color w:val="auto"/>
                      <w:szCs w:val="21"/>
                    </w:rPr>
                    <w:t>0.5625</w:t>
                  </w:r>
                </w:p>
              </w:tc>
              <w:tc>
                <w:tcPr>
                  <w:tcW w:w="1681" w:type="dxa"/>
                  <w:vAlign w:val="center"/>
                </w:tcPr>
                <w:p w14:paraId="66809011">
                  <w:pPr>
                    <w:pStyle w:val="18"/>
                    <w:adjustRightInd w:val="0"/>
                    <w:snapToGrid w:val="0"/>
                    <w:spacing w:after="0" w:line="240" w:lineRule="auto"/>
                    <w:jc w:val="center"/>
                    <w:rPr>
                      <w:color w:val="auto"/>
                      <w:szCs w:val="21"/>
                    </w:rPr>
                  </w:pPr>
                  <w:r>
                    <w:rPr>
                      <w:color w:val="auto"/>
                      <w:szCs w:val="21"/>
                    </w:rPr>
                    <w:t>500</w:t>
                  </w:r>
                </w:p>
              </w:tc>
              <w:tc>
                <w:tcPr>
                  <w:tcW w:w="1759" w:type="dxa"/>
                  <w:vAlign w:val="center"/>
                </w:tcPr>
                <w:p w14:paraId="5531716E">
                  <w:pPr>
                    <w:jc w:val="center"/>
                    <w:rPr>
                      <w:color w:val="auto"/>
                      <w:szCs w:val="21"/>
                    </w:rPr>
                  </w:pPr>
                  <w:r>
                    <w:rPr>
                      <w:rFonts w:hint="eastAsia"/>
                      <w:color w:val="auto"/>
                      <w:szCs w:val="21"/>
                    </w:rPr>
                    <w:t>0.5625</w:t>
                  </w:r>
                </w:p>
              </w:tc>
            </w:tr>
            <w:tr w14:paraId="35B6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39" w:type="pct"/>
                  <w:shd w:val="clear" w:color="auto" w:fill="auto"/>
                  <w:vAlign w:val="center"/>
                </w:tcPr>
                <w:p w14:paraId="336B2CC8">
                  <w:pPr>
                    <w:pStyle w:val="18"/>
                    <w:adjustRightInd w:val="0"/>
                    <w:snapToGrid w:val="0"/>
                    <w:spacing w:after="0" w:line="240" w:lineRule="auto"/>
                    <w:jc w:val="center"/>
                    <w:rPr>
                      <w:color w:val="auto"/>
                      <w:szCs w:val="21"/>
                    </w:rPr>
                  </w:pPr>
                  <w:r>
                    <w:rPr>
                      <w:color w:val="auto"/>
                      <w:szCs w:val="21"/>
                    </w:rPr>
                    <w:t>BOD</w:t>
                  </w:r>
                  <w:r>
                    <w:rPr>
                      <w:color w:val="auto"/>
                      <w:szCs w:val="21"/>
                      <w:vertAlign w:val="subscript"/>
                    </w:rPr>
                    <w:t>5</w:t>
                  </w:r>
                </w:p>
              </w:tc>
              <w:tc>
                <w:tcPr>
                  <w:tcW w:w="1106" w:type="pct"/>
                  <w:shd w:val="clear" w:color="auto" w:fill="auto"/>
                  <w:vAlign w:val="center"/>
                </w:tcPr>
                <w:p w14:paraId="48C6219F">
                  <w:pPr>
                    <w:pStyle w:val="18"/>
                    <w:adjustRightInd w:val="0"/>
                    <w:snapToGrid w:val="0"/>
                    <w:spacing w:after="0" w:line="240" w:lineRule="auto"/>
                    <w:jc w:val="center"/>
                    <w:rPr>
                      <w:color w:val="auto"/>
                      <w:szCs w:val="21"/>
                    </w:rPr>
                  </w:pPr>
                  <w:r>
                    <w:rPr>
                      <w:color w:val="auto"/>
                      <w:szCs w:val="21"/>
                    </w:rPr>
                    <w:t>3</w:t>
                  </w:r>
                  <w:r>
                    <w:rPr>
                      <w:rFonts w:hint="eastAsia"/>
                      <w:color w:val="auto"/>
                      <w:szCs w:val="21"/>
                    </w:rPr>
                    <w:t>0</w:t>
                  </w:r>
                  <w:r>
                    <w:rPr>
                      <w:color w:val="auto"/>
                      <w:szCs w:val="21"/>
                    </w:rPr>
                    <w:t>0</w:t>
                  </w:r>
                </w:p>
              </w:tc>
              <w:tc>
                <w:tcPr>
                  <w:tcW w:w="1211" w:type="pct"/>
                  <w:shd w:val="clear" w:color="auto" w:fill="auto"/>
                  <w:vAlign w:val="center"/>
                </w:tcPr>
                <w:p w14:paraId="4BCC39B0">
                  <w:pPr>
                    <w:jc w:val="center"/>
                    <w:rPr>
                      <w:color w:val="auto"/>
                      <w:szCs w:val="21"/>
                    </w:rPr>
                  </w:pPr>
                  <w:r>
                    <w:rPr>
                      <w:rFonts w:hint="eastAsia"/>
                      <w:color w:val="auto"/>
                      <w:szCs w:val="21"/>
                    </w:rPr>
                    <w:t>0.3375</w:t>
                  </w:r>
                </w:p>
              </w:tc>
              <w:tc>
                <w:tcPr>
                  <w:tcW w:w="1681" w:type="dxa"/>
                  <w:vAlign w:val="center"/>
                </w:tcPr>
                <w:p w14:paraId="69004070">
                  <w:pPr>
                    <w:pStyle w:val="18"/>
                    <w:adjustRightInd w:val="0"/>
                    <w:snapToGrid w:val="0"/>
                    <w:spacing w:after="0" w:line="240" w:lineRule="auto"/>
                    <w:jc w:val="center"/>
                    <w:rPr>
                      <w:color w:val="auto"/>
                      <w:szCs w:val="21"/>
                    </w:rPr>
                  </w:pPr>
                  <w:r>
                    <w:rPr>
                      <w:color w:val="auto"/>
                      <w:szCs w:val="21"/>
                    </w:rPr>
                    <w:t>3</w:t>
                  </w:r>
                  <w:r>
                    <w:rPr>
                      <w:rFonts w:hint="eastAsia"/>
                      <w:color w:val="auto"/>
                      <w:szCs w:val="21"/>
                    </w:rPr>
                    <w:t>0</w:t>
                  </w:r>
                  <w:r>
                    <w:rPr>
                      <w:color w:val="auto"/>
                      <w:szCs w:val="21"/>
                    </w:rPr>
                    <w:t>0</w:t>
                  </w:r>
                </w:p>
              </w:tc>
              <w:tc>
                <w:tcPr>
                  <w:tcW w:w="1759" w:type="dxa"/>
                  <w:vAlign w:val="center"/>
                </w:tcPr>
                <w:p w14:paraId="72744766">
                  <w:pPr>
                    <w:jc w:val="center"/>
                    <w:rPr>
                      <w:color w:val="auto"/>
                      <w:szCs w:val="21"/>
                    </w:rPr>
                  </w:pPr>
                  <w:r>
                    <w:rPr>
                      <w:rFonts w:hint="eastAsia"/>
                      <w:color w:val="auto"/>
                      <w:szCs w:val="21"/>
                    </w:rPr>
                    <w:t>0.3375</w:t>
                  </w:r>
                </w:p>
              </w:tc>
            </w:tr>
            <w:tr w14:paraId="24FA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39" w:type="pct"/>
                  <w:shd w:val="clear" w:color="auto" w:fill="auto"/>
                  <w:vAlign w:val="center"/>
                </w:tcPr>
                <w:p w14:paraId="5FE15E4B">
                  <w:pPr>
                    <w:pStyle w:val="18"/>
                    <w:adjustRightInd w:val="0"/>
                    <w:snapToGrid w:val="0"/>
                    <w:spacing w:after="0" w:line="240" w:lineRule="auto"/>
                    <w:jc w:val="center"/>
                    <w:rPr>
                      <w:color w:val="auto"/>
                      <w:szCs w:val="21"/>
                    </w:rPr>
                  </w:pPr>
                  <w:r>
                    <w:rPr>
                      <w:color w:val="auto"/>
                      <w:szCs w:val="21"/>
                    </w:rPr>
                    <w:t>NH</w:t>
                  </w:r>
                  <w:r>
                    <w:rPr>
                      <w:color w:val="auto"/>
                      <w:szCs w:val="21"/>
                      <w:vertAlign w:val="subscript"/>
                    </w:rPr>
                    <w:t>3</w:t>
                  </w:r>
                  <w:r>
                    <w:rPr>
                      <w:color w:val="auto"/>
                      <w:szCs w:val="21"/>
                    </w:rPr>
                    <w:t>-N</w:t>
                  </w:r>
                </w:p>
              </w:tc>
              <w:tc>
                <w:tcPr>
                  <w:tcW w:w="1106" w:type="pct"/>
                  <w:shd w:val="clear" w:color="auto" w:fill="auto"/>
                  <w:vAlign w:val="center"/>
                </w:tcPr>
                <w:p w14:paraId="16814697">
                  <w:pPr>
                    <w:pStyle w:val="18"/>
                    <w:adjustRightInd w:val="0"/>
                    <w:snapToGrid w:val="0"/>
                    <w:spacing w:after="0" w:line="240" w:lineRule="auto"/>
                    <w:jc w:val="center"/>
                    <w:rPr>
                      <w:color w:val="auto"/>
                      <w:szCs w:val="21"/>
                    </w:rPr>
                  </w:pPr>
                  <w:r>
                    <w:rPr>
                      <w:color w:val="auto"/>
                      <w:szCs w:val="21"/>
                    </w:rPr>
                    <w:t>60</w:t>
                  </w:r>
                </w:p>
              </w:tc>
              <w:tc>
                <w:tcPr>
                  <w:tcW w:w="1211" w:type="pct"/>
                  <w:shd w:val="clear" w:color="auto" w:fill="auto"/>
                  <w:vAlign w:val="center"/>
                </w:tcPr>
                <w:p w14:paraId="33F1650A">
                  <w:pPr>
                    <w:jc w:val="center"/>
                    <w:rPr>
                      <w:color w:val="auto"/>
                      <w:szCs w:val="21"/>
                    </w:rPr>
                  </w:pPr>
                  <w:r>
                    <w:rPr>
                      <w:rFonts w:hint="eastAsia"/>
                      <w:color w:val="auto"/>
                      <w:szCs w:val="21"/>
                    </w:rPr>
                    <w:t>0.0675</w:t>
                  </w:r>
                </w:p>
              </w:tc>
              <w:tc>
                <w:tcPr>
                  <w:tcW w:w="1681" w:type="dxa"/>
                  <w:vAlign w:val="center"/>
                </w:tcPr>
                <w:p w14:paraId="50C35811">
                  <w:pPr>
                    <w:pStyle w:val="18"/>
                    <w:adjustRightInd w:val="0"/>
                    <w:snapToGrid w:val="0"/>
                    <w:spacing w:after="0" w:line="240" w:lineRule="auto"/>
                    <w:jc w:val="center"/>
                    <w:rPr>
                      <w:color w:val="auto"/>
                      <w:szCs w:val="21"/>
                    </w:rPr>
                  </w:pPr>
                  <w:r>
                    <w:rPr>
                      <w:color w:val="auto"/>
                      <w:szCs w:val="21"/>
                    </w:rPr>
                    <w:t>60</w:t>
                  </w:r>
                </w:p>
              </w:tc>
              <w:tc>
                <w:tcPr>
                  <w:tcW w:w="1759" w:type="dxa"/>
                  <w:vAlign w:val="center"/>
                </w:tcPr>
                <w:p w14:paraId="4BBF3BC6">
                  <w:pPr>
                    <w:jc w:val="center"/>
                    <w:rPr>
                      <w:color w:val="auto"/>
                      <w:szCs w:val="21"/>
                    </w:rPr>
                  </w:pPr>
                  <w:r>
                    <w:rPr>
                      <w:rFonts w:hint="eastAsia"/>
                      <w:color w:val="auto"/>
                      <w:szCs w:val="21"/>
                    </w:rPr>
                    <w:t>0.0675</w:t>
                  </w:r>
                </w:p>
              </w:tc>
            </w:tr>
            <w:tr w14:paraId="37CC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39" w:type="pct"/>
                  <w:shd w:val="clear" w:color="auto" w:fill="auto"/>
                  <w:vAlign w:val="center"/>
                </w:tcPr>
                <w:p w14:paraId="11EE02B7">
                  <w:pPr>
                    <w:pStyle w:val="18"/>
                    <w:adjustRightInd w:val="0"/>
                    <w:snapToGrid w:val="0"/>
                    <w:spacing w:after="0" w:line="240" w:lineRule="auto"/>
                    <w:jc w:val="center"/>
                    <w:rPr>
                      <w:color w:val="auto"/>
                      <w:szCs w:val="21"/>
                    </w:rPr>
                  </w:pPr>
                  <w:r>
                    <w:rPr>
                      <w:color w:val="auto"/>
                      <w:szCs w:val="21"/>
                    </w:rPr>
                    <w:t>SS</w:t>
                  </w:r>
                </w:p>
              </w:tc>
              <w:tc>
                <w:tcPr>
                  <w:tcW w:w="1106" w:type="pct"/>
                  <w:shd w:val="clear" w:color="auto" w:fill="auto"/>
                  <w:vAlign w:val="center"/>
                </w:tcPr>
                <w:p w14:paraId="177BBE9C">
                  <w:pPr>
                    <w:pStyle w:val="18"/>
                    <w:adjustRightInd w:val="0"/>
                    <w:snapToGrid w:val="0"/>
                    <w:spacing w:after="0" w:line="240" w:lineRule="auto"/>
                    <w:jc w:val="center"/>
                    <w:rPr>
                      <w:color w:val="auto"/>
                      <w:szCs w:val="21"/>
                    </w:rPr>
                  </w:pPr>
                  <w:r>
                    <w:rPr>
                      <w:color w:val="auto"/>
                      <w:szCs w:val="21"/>
                    </w:rPr>
                    <w:t>400</w:t>
                  </w:r>
                </w:p>
              </w:tc>
              <w:tc>
                <w:tcPr>
                  <w:tcW w:w="1211" w:type="pct"/>
                  <w:shd w:val="clear" w:color="auto" w:fill="auto"/>
                  <w:vAlign w:val="center"/>
                </w:tcPr>
                <w:p w14:paraId="21AD2E65">
                  <w:pPr>
                    <w:jc w:val="center"/>
                    <w:rPr>
                      <w:color w:val="auto"/>
                      <w:szCs w:val="21"/>
                    </w:rPr>
                  </w:pPr>
                  <w:r>
                    <w:rPr>
                      <w:rFonts w:hint="eastAsia"/>
                      <w:color w:val="auto"/>
                      <w:szCs w:val="21"/>
                    </w:rPr>
                    <w:t>0.45</w:t>
                  </w:r>
                </w:p>
              </w:tc>
              <w:tc>
                <w:tcPr>
                  <w:tcW w:w="1681" w:type="dxa"/>
                  <w:vAlign w:val="center"/>
                </w:tcPr>
                <w:p w14:paraId="5AA785F8">
                  <w:pPr>
                    <w:pStyle w:val="18"/>
                    <w:adjustRightInd w:val="0"/>
                    <w:snapToGrid w:val="0"/>
                    <w:spacing w:after="0" w:line="240" w:lineRule="auto"/>
                    <w:jc w:val="center"/>
                    <w:rPr>
                      <w:color w:val="auto"/>
                      <w:szCs w:val="21"/>
                    </w:rPr>
                  </w:pPr>
                  <w:r>
                    <w:rPr>
                      <w:color w:val="auto"/>
                      <w:szCs w:val="21"/>
                    </w:rPr>
                    <w:t>400</w:t>
                  </w:r>
                </w:p>
              </w:tc>
              <w:tc>
                <w:tcPr>
                  <w:tcW w:w="1759" w:type="dxa"/>
                  <w:vAlign w:val="center"/>
                </w:tcPr>
                <w:p w14:paraId="328796D8">
                  <w:pPr>
                    <w:jc w:val="center"/>
                    <w:rPr>
                      <w:color w:val="auto"/>
                      <w:szCs w:val="21"/>
                    </w:rPr>
                  </w:pPr>
                  <w:r>
                    <w:rPr>
                      <w:rFonts w:hint="eastAsia"/>
                      <w:color w:val="auto"/>
                      <w:szCs w:val="21"/>
                    </w:rPr>
                    <w:t>0.45</w:t>
                  </w:r>
                </w:p>
              </w:tc>
            </w:tr>
          </w:tbl>
          <w:p w14:paraId="7A5D9320">
            <w:pPr>
              <w:adjustRightInd w:val="0"/>
              <w:snapToGrid w:val="0"/>
              <w:spacing w:line="360" w:lineRule="auto"/>
              <w:ind w:firstLine="482"/>
              <w:rPr>
                <w:rFonts w:ascii="宋体" w:hAnsi="宋体" w:cs="宋体"/>
                <w:b/>
                <w:color w:val="auto"/>
                <w:spacing w:val="-6"/>
                <w:sz w:val="24"/>
              </w:rPr>
            </w:pPr>
            <w:r>
              <w:rPr>
                <w:rFonts w:hint="default" w:ascii="Times New Roman" w:hAnsi="Times New Roman" w:cs="Times New Roman"/>
                <w:b/>
                <w:color w:val="auto"/>
                <w:spacing w:val="-6"/>
                <w:sz w:val="24"/>
              </w:rPr>
              <w:t>2.3</w:t>
            </w:r>
            <w:r>
              <w:rPr>
                <w:rFonts w:hint="eastAsia" w:ascii="宋体" w:hAnsi="宋体" w:cs="宋体"/>
                <w:b/>
                <w:color w:val="auto"/>
                <w:spacing w:val="-6"/>
                <w:sz w:val="24"/>
              </w:rPr>
              <w:t>排污口情况</w:t>
            </w:r>
          </w:p>
          <w:p w14:paraId="7C9493FD">
            <w:pPr>
              <w:adjustRightInd w:val="0"/>
              <w:snapToGrid w:val="0"/>
              <w:spacing w:line="360" w:lineRule="auto"/>
              <w:ind w:firstLine="482"/>
              <w:rPr>
                <w:rFonts w:ascii="宋体" w:hAnsi="宋体" w:cs="宋体"/>
                <w:color w:val="auto"/>
                <w:spacing w:val="-6"/>
                <w:sz w:val="24"/>
              </w:rPr>
            </w:pPr>
            <w:r>
              <w:rPr>
                <w:rFonts w:hint="eastAsia" w:ascii="宋体" w:hAnsi="宋体" w:cs="宋体"/>
                <w:color w:val="auto"/>
                <w:spacing w:val="-6"/>
                <w:sz w:val="24"/>
              </w:rPr>
              <w:t>本项目废水排污口情况见表</w:t>
            </w:r>
            <w:r>
              <w:rPr>
                <w:rFonts w:hint="default" w:ascii="Times New Roman" w:hAnsi="Times New Roman" w:cs="Times New Roman"/>
                <w:color w:val="auto"/>
                <w:spacing w:val="-6"/>
                <w:sz w:val="24"/>
              </w:rPr>
              <w:t>4-11</w:t>
            </w:r>
            <w:r>
              <w:rPr>
                <w:rFonts w:hint="eastAsia" w:ascii="宋体" w:hAnsi="宋体" w:cs="宋体"/>
                <w:color w:val="auto"/>
                <w:spacing w:val="-6"/>
                <w:sz w:val="24"/>
              </w:rPr>
              <w:t>。</w:t>
            </w:r>
          </w:p>
          <w:p w14:paraId="5F5A942A">
            <w:pPr>
              <w:adjustRightInd w:val="0"/>
              <w:snapToGrid w:val="0"/>
              <w:spacing w:line="360" w:lineRule="auto"/>
              <w:jc w:val="center"/>
              <w:rPr>
                <w:rFonts w:ascii="宋体" w:hAnsi="宋体" w:cs="宋体"/>
                <w:b/>
                <w:color w:val="auto"/>
                <w:spacing w:val="-6"/>
              </w:rPr>
            </w:pPr>
            <w:r>
              <w:rPr>
                <w:rFonts w:hint="eastAsia" w:ascii="宋体" w:hAnsi="宋体" w:cs="宋体"/>
                <w:b/>
                <w:color w:val="auto"/>
                <w:spacing w:val="-6"/>
              </w:rPr>
              <w:t>表4-11  废水排污口情况一览表</w:t>
            </w:r>
          </w:p>
          <w:tbl>
            <w:tblPr>
              <w:tblStyle w:val="25"/>
              <w:tblW w:w="7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683"/>
              <w:gridCol w:w="698"/>
              <w:gridCol w:w="1814"/>
              <w:gridCol w:w="698"/>
              <w:gridCol w:w="2448"/>
              <w:gridCol w:w="623"/>
            </w:tblGrid>
            <w:tr w14:paraId="2866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17" w:type="dxa"/>
                  <w:vAlign w:val="center"/>
                </w:tcPr>
                <w:p w14:paraId="60AE7B13">
                  <w:pPr>
                    <w:adjustRightInd w:val="0"/>
                    <w:snapToGrid w:val="0"/>
                    <w:jc w:val="center"/>
                    <w:rPr>
                      <w:color w:val="auto"/>
                      <w:spacing w:val="-6"/>
                    </w:rPr>
                  </w:pPr>
                  <w:r>
                    <w:rPr>
                      <w:color w:val="auto"/>
                      <w:spacing w:val="-6"/>
                    </w:rPr>
                    <w:t>编号</w:t>
                  </w:r>
                </w:p>
              </w:tc>
              <w:tc>
                <w:tcPr>
                  <w:tcW w:w="683" w:type="dxa"/>
                  <w:vAlign w:val="center"/>
                </w:tcPr>
                <w:p w14:paraId="0FEF8791">
                  <w:pPr>
                    <w:adjustRightInd w:val="0"/>
                    <w:snapToGrid w:val="0"/>
                    <w:jc w:val="center"/>
                    <w:rPr>
                      <w:color w:val="auto"/>
                      <w:spacing w:val="-6"/>
                    </w:rPr>
                  </w:pPr>
                  <w:r>
                    <w:rPr>
                      <w:color w:val="auto"/>
                      <w:spacing w:val="-6"/>
                    </w:rPr>
                    <w:t>名称</w:t>
                  </w:r>
                </w:p>
              </w:tc>
              <w:tc>
                <w:tcPr>
                  <w:tcW w:w="698" w:type="dxa"/>
                  <w:vAlign w:val="center"/>
                </w:tcPr>
                <w:p w14:paraId="151D607E">
                  <w:pPr>
                    <w:adjustRightInd w:val="0"/>
                    <w:snapToGrid w:val="0"/>
                    <w:jc w:val="center"/>
                    <w:rPr>
                      <w:color w:val="auto"/>
                      <w:spacing w:val="-6"/>
                    </w:rPr>
                  </w:pPr>
                  <w:r>
                    <w:rPr>
                      <w:color w:val="auto"/>
                      <w:spacing w:val="-6"/>
                    </w:rPr>
                    <w:t>类型</w:t>
                  </w:r>
                </w:p>
              </w:tc>
              <w:tc>
                <w:tcPr>
                  <w:tcW w:w="1814" w:type="dxa"/>
                  <w:vAlign w:val="center"/>
                </w:tcPr>
                <w:p w14:paraId="29C01E1B">
                  <w:pPr>
                    <w:adjustRightInd w:val="0"/>
                    <w:snapToGrid w:val="0"/>
                    <w:jc w:val="center"/>
                    <w:rPr>
                      <w:color w:val="auto"/>
                      <w:spacing w:val="-6"/>
                    </w:rPr>
                  </w:pPr>
                </w:p>
              </w:tc>
              <w:tc>
                <w:tcPr>
                  <w:tcW w:w="698" w:type="dxa"/>
                  <w:vAlign w:val="center"/>
                </w:tcPr>
                <w:p w14:paraId="5AD28C89">
                  <w:pPr>
                    <w:adjustRightInd w:val="0"/>
                    <w:snapToGrid w:val="0"/>
                    <w:jc w:val="center"/>
                    <w:rPr>
                      <w:color w:val="auto"/>
                      <w:spacing w:val="-6"/>
                    </w:rPr>
                  </w:pPr>
                  <w:r>
                    <w:rPr>
                      <w:color w:val="auto"/>
                      <w:spacing w:val="-6"/>
                    </w:rPr>
                    <w:t>排放方式</w:t>
                  </w:r>
                </w:p>
              </w:tc>
              <w:tc>
                <w:tcPr>
                  <w:tcW w:w="2448" w:type="dxa"/>
                  <w:vAlign w:val="center"/>
                </w:tcPr>
                <w:p w14:paraId="40D9625A">
                  <w:pPr>
                    <w:adjustRightInd w:val="0"/>
                    <w:snapToGrid w:val="0"/>
                    <w:jc w:val="center"/>
                    <w:rPr>
                      <w:color w:val="auto"/>
                      <w:spacing w:val="-6"/>
                    </w:rPr>
                  </w:pPr>
                  <w:r>
                    <w:rPr>
                      <w:color w:val="auto"/>
                      <w:spacing w:val="-6"/>
                    </w:rPr>
                    <w:t>排放去向</w:t>
                  </w:r>
                </w:p>
              </w:tc>
              <w:tc>
                <w:tcPr>
                  <w:tcW w:w="623" w:type="dxa"/>
                  <w:vAlign w:val="center"/>
                </w:tcPr>
                <w:p w14:paraId="215B38DC">
                  <w:pPr>
                    <w:adjustRightInd w:val="0"/>
                    <w:snapToGrid w:val="0"/>
                    <w:jc w:val="center"/>
                    <w:rPr>
                      <w:color w:val="auto"/>
                      <w:spacing w:val="-6"/>
                    </w:rPr>
                  </w:pPr>
                  <w:r>
                    <w:rPr>
                      <w:color w:val="auto"/>
                      <w:spacing w:val="-6"/>
                    </w:rPr>
                    <w:t>排放规律</w:t>
                  </w:r>
                </w:p>
              </w:tc>
            </w:tr>
            <w:tr w14:paraId="10E8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17" w:type="dxa"/>
                  <w:vAlign w:val="center"/>
                </w:tcPr>
                <w:p w14:paraId="5F004B3C">
                  <w:pPr>
                    <w:adjustRightInd w:val="0"/>
                    <w:snapToGrid w:val="0"/>
                    <w:jc w:val="center"/>
                    <w:rPr>
                      <w:color w:val="auto"/>
                      <w:spacing w:val="-6"/>
                    </w:rPr>
                  </w:pPr>
                  <w:r>
                    <w:rPr>
                      <w:color w:val="auto"/>
                      <w:spacing w:val="-6"/>
                    </w:rPr>
                    <w:t>DW001</w:t>
                  </w:r>
                </w:p>
              </w:tc>
              <w:tc>
                <w:tcPr>
                  <w:tcW w:w="683" w:type="dxa"/>
                  <w:vAlign w:val="center"/>
                </w:tcPr>
                <w:p w14:paraId="36D6EE99">
                  <w:pPr>
                    <w:adjustRightInd w:val="0"/>
                    <w:snapToGrid w:val="0"/>
                    <w:jc w:val="center"/>
                    <w:rPr>
                      <w:color w:val="auto"/>
                      <w:spacing w:val="-6"/>
                    </w:rPr>
                  </w:pPr>
                  <w:r>
                    <w:rPr>
                      <w:color w:val="auto"/>
                      <w:spacing w:val="-6"/>
                    </w:rPr>
                    <w:t>污水总排口</w:t>
                  </w:r>
                </w:p>
              </w:tc>
              <w:tc>
                <w:tcPr>
                  <w:tcW w:w="698" w:type="dxa"/>
                  <w:vAlign w:val="center"/>
                </w:tcPr>
                <w:p w14:paraId="10745E53">
                  <w:pPr>
                    <w:adjustRightInd w:val="0"/>
                    <w:snapToGrid w:val="0"/>
                    <w:jc w:val="center"/>
                    <w:rPr>
                      <w:color w:val="auto"/>
                      <w:spacing w:val="-6"/>
                    </w:rPr>
                  </w:pPr>
                  <w:r>
                    <w:rPr>
                      <w:color w:val="auto"/>
                      <w:spacing w:val="-6"/>
                    </w:rPr>
                    <w:t>主要排放口</w:t>
                  </w:r>
                </w:p>
              </w:tc>
              <w:tc>
                <w:tcPr>
                  <w:tcW w:w="1814" w:type="dxa"/>
                  <w:vAlign w:val="center"/>
                </w:tcPr>
                <w:p w14:paraId="3795CB9C">
                  <w:pPr>
                    <w:adjustRightInd w:val="0"/>
                    <w:snapToGrid w:val="0"/>
                    <w:jc w:val="center"/>
                    <w:rPr>
                      <w:color w:val="auto"/>
                      <w:spacing w:val="-6"/>
                    </w:rPr>
                  </w:pPr>
                </w:p>
              </w:tc>
              <w:tc>
                <w:tcPr>
                  <w:tcW w:w="698" w:type="dxa"/>
                  <w:vAlign w:val="center"/>
                </w:tcPr>
                <w:p w14:paraId="2ACAB177">
                  <w:pPr>
                    <w:adjustRightInd w:val="0"/>
                    <w:snapToGrid w:val="0"/>
                    <w:jc w:val="center"/>
                    <w:rPr>
                      <w:color w:val="auto"/>
                      <w:spacing w:val="-6"/>
                    </w:rPr>
                  </w:pPr>
                  <w:r>
                    <w:rPr>
                      <w:color w:val="auto"/>
                      <w:spacing w:val="-6"/>
                    </w:rPr>
                    <w:t>间接排放</w:t>
                  </w:r>
                </w:p>
              </w:tc>
              <w:tc>
                <w:tcPr>
                  <w:tcW w:w="2448" w:type="dxa"/>
                  <w:vAlign w:val="center"/>
                </w:tcPr>
                <w:p w14:paraId="7FD74372">
                  <w:pPr>
                    <w:adjustRightInd w:val="0"/>
                    <w:snapToGrid w:val="0"/>
                    <w:jc w:val="center"/>
                    <w:rPr>
                      <w:color w:val="auto"/>
                      <w:spacing w:val="-6"/>
                      <w:szCs w:val="21"/>
                    </w:rPr>
                  </w:pPr>
                  <w:r>
                    <w:rPr>
                      <w:rFonts w:hint="eastAsia"/>
                      <w:color w:val="auto"/>
                      <w:spacing w:val="-6"/>
                      <w:szCs w:val="21"/>
                    </w:rPr>
                    <w:t>园区污水处理厂</w:t>
                  </w:r>
                </w:p>
              </w:tc>
              <w:tc>
                <w:tcPr>
                  <w:tcW w:w="623" w:type="dxa"/>
                  <w:vAlign w:val="center"/>
                </w:tcPr>
                <w:p w14:paraId="532585B9">
                  <w:pPr>
                    <w:adjustRightInd w:val="0"/>
                    <w:snapToGrid w:val="0"/>
                    <w:jc w:val="center"/>
                    <w:rPr>
                      <w:color w:val="auto"/>
                      <w:spacing w:val="-6"/>
                    </w:rPr>
                  </w:pPr>
                  <w:r>
                    <w:rPr>
                      <w:color w:val="auto"/>
                      <w:spacing w:val="-6"/>
                    </w:rPr>
                    <w:t>持续排放</w:t>
                  </w:r>
                </w:p>
              </w:tc>
            </w:tr>
          </w:tbl>
          <w:p w14:paraId="51EAE44D">
            <w:pPr>
              <w:pStyle w:val="53"/>
              <w:spacing w:line="360" w:lineRule="auto"/>
              <w:ind w:firstLine="458" w:firstLineChars="200"/>
              <w:jc w:val="both"/>
              <w:rPr>
                <w:rFonts w:hAnsi="宋体"/>
                <w:b/>
                <w:color w:val="auto"/>
                <w:spacing w:val="-6"/>
              </w:rPr>
            </w:pPr>
            <w:r>
              <w:rPr>
                <w:rFonts w:hint="default" w:ascii="Times New Roman" w:hAnsi="Times New Roman" w:cs="Times New Roman"/>
                <w:b/>
                <w:color w:val="auto"/>
                <w:spacing w:val="-6"/>
              </w:rPr>
              <w:t>2.4</w:t>
            </w:r>
            <w:r>
              <w:rPr>
                <w:rFonts w:hint="eastAsia" w:hAnsi="宋体"/>
                <w:b/>
                <w:color w:val="auto"/>
                <w:spacing w:val="-6"/>
              </w:rPr>
              <w:t>废水排放依托可行性</w:t>
            </w:r>
          </w:p>
          <w:p w14:paraId="43673E91">
            <w:pPr>
              <w:adjustRightInd w:val="0"/>
              <w:snapToGrid w:val="0"/>
              <w:spacing w:line="360" w:lineRule="auto"/>
              <w:ind w:firstLine="480" w:firstLineChars="200"/>
              <w:rPr>
                <w:bCs/>
                <w:color w:val="auto"/>
                <w:sz w:val="24"/>
              </w:rPr>
            </w:pPr>
            <w:r>
              <w:rPr>
                <w:bCs/>
                <w:color w:val="auto"/>
                <w:sz w:val="24"/>
              </w:rPr>
              <w:t>园区污水处理厂处理工艺主要为分为预处理、一级处理、二级处理和深度处理，其中预处理采用粗格栅-污水提升泵站-细格栅-旋流沉砂池-调节池，一级处理工艺即混凝沉淀池，二级主体工艺为水解酸化-A/O生化的组合工艺。深度处理采用MBR膜池-臭氧高级氧化-活性炭过滤工艺，出水水质达到《城镇污水处理厂污染物排放标准》（GB18918-2002）一级标准A。该污水处理厂已于2017年5月4日取得了原新疆维吾尔自治区环保厅的批复，文号为新环函【2017】646号，并通过了自主竣工环境保护验收。</w:t>
            </w:r>
          </w:p>
          <w:p w14:paraId="336873A1">
            <w:pPr>
              <w:adjustRightInd w:val="0"/>
              <w:snapToGrid w:val="0"/>
              <w:spacing w:line="360" w:lineRule="auto"/>
              <w:ind w:firstLine="480" w:firstLineChars="200"/>
              <w:rPr>
                <w:bCs/>
                <w:color w:val="auto"/>
                <w:sz w:val="24"/>
              </w:rPr>
            </w:pPr>
            <w:r>
              <w:rPr>
                <w:bCs/>
                <w:color w:val="auto"/>
                <w:sz w:val="24"/>
              </w:rPr>
              <w:t>污水处理厂设计处理规模为2.0万t/d，实际运行规模为1.5万t/d，富余处理能力为0.5万t/d，本项目生活污水产生量约为</w:t>
            </w:r>
            <w:r>
              <w:rPr>
                <w:rFonts w:hint="eastAsia"/>
                <w:color w:val="auto"/>
                <w:sz w:val="24"/>
              </w:rPr>
              <w:t>4.5</w:t>
            </w:r>
            <w:r>
              <w:rPr>
                <w:color w:val="auto"/>
                <w:sz w:val="24"/>
              </w:rPr>
              <w:t>m</w:t>
            </w:r>
            <w:r>
              <w:rPr>
                <w:color w:val="auto"/>
                <w:sz w:val="24"/>
                <w:vertAlign w:val="superscript"/>
              </w:rPr>
              <w:t>3</w:t>
            </w:r>
            <w:r>
              <w:rPr>
                <w:color w:val="auto"/>
                <w:sz w:val="24"/>
              </w:rPr>
              <w:t>/d，</w:t>
            </w:r>
            <w:r>
              <w:rPr>
                <w:rFonts w:hint="eastAsia"/>
                <w:color w:val="auto"/>
                <w:spacing w:val="-8"/>
                <w:sz w:val="24"/>
              </w:rPr>
              <w:t>1125</w:t>
            </w:r>
            <w:r>
              <w:rPr>
                <w:color w:val="auto"/>
                <w:spacing w:val="-8"/>
                <w:sz w:val="24"/>
              </w:rPr>
              <w:t>m</w:t>
            </w:r>
            <w:r>
              <w:rPr>
                <w:color w:val="auto"/>
                <w:spacing w:val="-8"/>
                <w:sz w:val="24"/>
                <w:vertAlign w:val="superscript"/>
              </w:rPr>
              <w:t>3</w:t>
            </w:r>
            <w:r>
              <w:rPr>
                <w:color w:val="auto"/>
                <w:spacing w:val="-8"/>
                <w:sz w:val="24"/>
              </w:rPr>
              <w:t xml:space="preserve">/a </w:t>
            </w:r>
            <w:r>
              <w:rPr>
                <w:bCs/>
                <w:color w:val="auto"/>
                <w:sz w:val="24"/>
              </w:rPr>
              <w:t>，相对于污水处理厂的处理能力所占比较很小，可满足本项目需求。</w:t>
            </w:r>
          </w:p>
          <w:p w14:paraId="1A43F264">
            <w:pPr>
              <w:adjustRightInd w:val="0"/>
              <w:snapToGrid w:val="0"/>
              <w:spacing w:line="360" w:lineRule="auto"/>
              <w:ind w:firstLine="482" w:firstLineChars="200"/>
              <w:rPr>
                <w:b/>
                <w:color w:val="auto"/>
                <w:kern w:val="0"/>
                <w:sz w:val="24"/>
              </w:rPr>
            </w:pPr>
            <w:r>
              <w:rPr>
                <w:rFonts w:hint="default" w:ascii="Times New Roman" w:hAnsi="Times New Roman" w:cs="Times New Roman"/>
                <w:b/>
                <w:color w:val="auto"/>
                <w:kern w:val="0"/>
                <w:sz w:val="24"/>
              </w:rPr>
              <w:t>2.5</w:t>
            </w:r>
            <w:r>
              <w:rPr>
                <w:rFonts w:hint="eastAsia" w:ascii="宋体" w:hAnsi="宋体" w:cs="宋体"/>
                <w:b/>
                <w:color w:val="auto"/>
                <w:kern w:val="0"/>
                <w:sz w:val="24"/>
              </w:rPr>
              <w:t>监测计划</w:t>
            </w:r>
          </w:p>
          <w:p w14:paraId="45A88BB5">
            <w:pPr>
              <w:adjustRightInd w:val="0"/>
              <w:snapToGrid w:val="0"/>
              <w:spacing w:line="360" w:lineRule="auto"/>
              <w:ind w:firstLine="480" w:firstLineChars="200"/>
              <w:rPr>
                <w:bCs/>
                <w:color w:val="auto"/>
                <w:sz w:val="24"/>
              </w:rPr>
            </w:pPr>
            <w:r>
              <w:rPr>
                <w:bCs/>
                <w:color w:val="auto"/>
                <w:sz w:val="24"/>
              </w:rPr>
              <w:t>本项目的生产废水不外排，生活废水排入市政污水管网后进入园区污水处理厂处理，不设置废水监测计划。</w:t>
            </w:r>
          </w:p>
          <w:p w14:paraId="1065FE31">
            <w:pPr>
              <w:adjustRightInd w:val="0"/>
              <w:snapToGrid w:val="0"/>
              <w:spacing w:line="360" w:lineRule="auto"/>
              <w:ind w:firstLine="482" w:firstLineChars="200"/>
              <w:rPr>
                <w:b/>
                <w:color w:val="auto"/>
                <w:kern w:val="0"/>
                <w:sz w:val="24"/>
              </w:rPr>
            </w:pPr>
            <w:r>
              <w:rPr>
                <w:b/>
                <w:color w:val="auto"/>
                <w:kern w:val="0"/>
                <w:sz w:val="24"/>
              </w:rPr>
              <w:t>3、噪声</w:t>
            </w:r>
          </w:p>
          <w:p w14:paraId="437934CE">
            <w:pPr>
              <w:adjustRightInd w:val="0"/>
              <w:spacing w:line="360" w:lineRule="auto"/>
              <w:ind w:firstLine="482" w:firstLineChars="200"/>
              <w:rPr>
                <w:b/>
                <w:bCs w:val="0"/>
                <w:color w:val="auto"/>
                <w:sz w:val="24"/>
              </w:rPr>
            </w:pPr>
            <w:r>
              <w:rPr>
                <w:b/>
                <w:bCs w:val="0"/>
                <w:color w:val="auto"/>
                <w:sz w:val="24"/>
              </w:rPr>
              <w:t>3.1噪声源强</w:t>
            </w:r>
          </w:p>
          <w:p w14:paraId="5FB7CE88">
            <w:pPr>
              <w:adjustRightInd w:val="0"/>
              <w:spacing w:line="360" w:lineRule="auto"/>
              <w:ind w:firstLine="480" w:firstLineChars="200"/>
              <w:rPr>
                <w:color w:val="auto"/>
                <w:kern w:val="24"/>
                <w:sz w:val="24"/>
                <w:highlight w:val="yellow"/>
              </w:rPr>
            </w:pPr>
            <w:r>
              <w:rPr>
                <w:bCs/>
                <w:color w:val="auto"/>
                <w:sz w:val="24"/>
              </w:rPr>
              <w:t>本项目运营期噪声主要为</w:t>
            </w:r>
            <w:r>
              <w:rPr>
                <w:rFonts w:hint="eastAsia"/>
                <w:bCs/>
                <w:color w:val="auto"/>
                <w:sz w:val="24"/>
              </w:rPr>
              <w:t>中频感应电炉</w:t>
            </w:r>
            <w:r>
              <w:rPr>
                <w:bCs/>
                <w:color w:val="auto"/>
                <w:sz w:val="24"/>
              </w:rPr>
              <w:t>、</w:t>
            </w:r>
            <w:r>
              <w:rPr>
                <w:rFonts w:hint="eastAsia"/>
                <w:bCs/>
                <w:color w:val="auto"/>
                <w:sz w:val="24"/>
              </w:rPr>
              <w:t>除尘器</w:t>
            </w:r>
            <w:r>
              <w:rPr>
                <w:bCs/>
                <w:color w:val="auto"/>
                <w:sz w:val="24"/>
              </w:rPr>
              <w:t>、</w:t>
            </w:r>
            <w:r>
              <w:rPr>
                <w:rFonts w:hint="eastAsia"/>
                <w:bCs/>
                <w:color w:val="auto"/>
                <w:sz w:val="24"/>
              </w:rPr>
              <w:t>锯床</w:t>
            </w:r>
            <w:r>
              <w:rPr>
                <w:bCs/>
                <w:color w:val="auto"/>
                <w:sz w:val="24"/>
              </w:rPr>
              <w:t>、</w:t>
            </w:r>
            <w:r>
              <w:rPr>
                <w:rFonts w:hint="eastAsia"/>
                <w:bCs/>
                <w:color w:val="auto"/>
                <w:sz w:val="24"/>
              </w:rPr>
              <w:t>电焊机</w:t>
            </w:r>
            <w:r>
              <w:rPr>
                <w:bCs/>
                <w:color w:val="auto"/>
                <w:sz w:val="24"/>
              </w:rPr>
              <w:t>、</w:t>
            </w:r>
            <w:r>
              <w:rPr>
                <w:rFonts w:hint="eastAsia"/>
                <w:bCs/>
                <w:color w:val="auto"/>
                <w:sz w:val="24"/>
              </w:rPr>
              <w:t>钻床</w:t>
            </w:r>
            <w:r>
              <w:rPr>
                <w:bCs/>
                <w:color w:val="auto"/>
                <w:sz w:val="24"/>
              </w:rPr>
              <w:t>等设备</w:t>
            </w:r>
            <w:r>
              <w:rPr>
                <w:color w:val="auto"/>
                <w:sz w:val="24"/>
              </w:rPr>
              <w:t>产生的噪声，24h持续排放。</w:t>
            </w:r>
            <w:r>
              <w:rPr>
                <w:bCs/>
                <w:color w:val="auto"/>
                <w:sz w:val="24"/>
              </w:rPr>
              <w:t>根据类比调查，噪声级一般在</w:t>
            </w:r>
            <w:r>
              <w:rPr>
                <w:color w:val="auto"/>
                <w:sz w:val="24"/>
              </w:rPr>
              <w:t>75~90dB（A）</w:t>
            </w:r>
            <w:r>
              <w:rPr>
                <w:bCs/>
                <w:color w:val="auto"/>
                <w:sz w:val="24"/>
              </w:rPr>
              <w:t>之间，通过</w:t>
            </w:r>
            <w:r>
              <w:rPr>
                <w:color w:val="auto"/>
                <w:kern w:val="24"/>
                <w:sz w:val="24"/>
              </w:rPr>
              <w:t>选用低噪声设备，隔声、减振安装后能够有效降低噪声影响。</w:t>
            </w:r>
          </w:p>
          <w:p w14:paraId="6278CB06">
            <w:pPr>
              <w:pStyle w:val="87"/>
              <w:spacing w:line="400" w:lineRule="exact"/>
              <w:jc w:val="center"/>
              <w:rPr>
                <w:rFonts w:hint="default" w:ascii="Times New Roman" w:hAnsi="Times New Roman"/>
                <w:b/>
                <w:color w:val="auto"/>
              </w:rPr>
            </w:pPr>
            <w:r>
              <w:rPr>
                <w:rFonts w:hint="default" w:ascii="Times New Roman" w:hAnsi="Times New Roman"/>
                <w:b/>
                <w:color w:val="auto"/>
              </w:rPr>
              <w:t>表4-1</w:t>
            </w:r>
            <w:r>
              <w:rPr>
                <w:rFonts w:ascii="Times New Roman" w:hAnsi="Times New Roman"/>
                <w:b/>
                <w:color w:val="auto"/>
              </w:rPr>
              <w:t>2</w:t>
            </w:r>
            <w:r>
              <w:rPr>
                <w:rFonts w:hint="default" w:ascii="Times New Roman" w:hAnsi="Times New Roman"/>
                <w:b/>
                <w:color w:val="auto"/>
              </w:rPr>
              <w:t xml:space="preserve">  噪声污染源强一览表</w:t>
            </w:r>
          </w:p>
          <w:tbl>
            <w:tblPr>
              <w:tblStyle w:val="24"/>
              <w:tblW w:w="4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110"/>
              <w:gridCol w:w="1718"/>
              <w:gridCol w:w="776"/>
              <w:gridCol w:w="1234"/>
              <w:gridCol w:w="1035"/>
              <w:gridCol w:w="1404"/>
            </w:tblGrid>
            <w:tr w14:paraId="3614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vMerge w:val="restart"/>
                  <w:shd w:val="clear" w:color="auto" w:fill="auto"/>
                  <w:vAlign w:val="center"/>
                </w:tcPr>
                <w:p w14:paraId="14B28C8E">
                  <w:pPr>
                    <w:spacing w:line="260" w:lineRule="exact"/>
                    <w:jc w:val="center"/>
                    <w:rPr>
                      <w:b/>
                      <w:color w:val="auto"/>
                      <w:szCs w:val="21"/>
                    </w:rPr>
                  </w:pPr>
                  <w:r>
                    <w:rPr>
                      <w:b/>
                      <w:color w:val="auto"/>
                      <w:szCs w:val="21"/>
                      <w:lang w:bidi="ar"/>
                    </w:rPr>
                    <w:t>序号</w:t>
                  </w:r>
                </w:p>
              </w:tc>
              <w:tc>
                <w:tcPr>
                  <w:tcW w:w="714" w:type="pct"/>
                  <w:vMerge w:val="restart"/>
                  <w:shd w:val="clear" w:color="auto" w:fill="auto"/>
                  <w:vAlign w:val="center"/>
                </w:tcPr>
                <w:p w14:paraId="0168AB7E">
                  <w:pPr>
                    <w:spacing w:line="260" w:lineRule="exact"/>
                    <w:jc w:val="center"/>
                    <w:rPr>
                      <w:b/>
                      <w:color w:val="auto"/>
                      <w:szCs w:val="21"/>
                    </w:rPr>
                  </w:pPr>
                  <w:r>
                    <w:rPr>
                      <w:b/>
                      <w:color w:val="auto"/>
                      <w:szCs w:val="21"/>
                      <w:lang w:bidi="ar"/>
                    </w:rPr>
                    <w:t>噪声源</w:t>
                  </w:r>
                </w:p>
              </w:tc>
              <w:tc>
                <w:tcPr>
                  <w:tcW w:w="1105" w:type="pct"/>
                  <w:vMerge w:val="restart"/>
                  <w:shd w:val="clear" w:color="auto" w:fill="auto"/>
                  <w:vAlign w:val="center"/>
                </w:tcPr>
                <w:p w14:paraId="3E90BABC">
                  <w:pPr>
                    <w:spacing w:line="260" w:lineRule="exact"/>
                    <w:jc w:val="center"/>
                    <w:rPr>
                      <w:b/>
                      <w:color w:val="auto"/>
                      <w:szCs w:val="21"/>
                    </w:rPr>
                  </w:pPr>
                  <w:r>
                    <w:rPr>
                      <w:b/>
                      <w:color w:val="auto"/>
                      <w:szCs w:val="21"/>
                      <w:lang w:bidi="ar"/>
                    </w:rPr>
                    <w:t>单台/套源强</w:t>
                  </w:r>
                </w:p>
                <w:p w14:paraId="39FB6E17">
                  <w:pPr>
                    <w:spacing w:line="260" w:lineRule="exact"/>
                    <w:jc w:val="center"/>
                    <w:rPr>
                      <w:b/>
                      <w:color w:val="auto"/>
                      <w:szCs w:val="21"/>
                    </w:rPr>
                  </w:pPr>
                  <w:r>
                    <w:rPr>
                      <w:b/>
                      <w:color w:val="auto"/>
                      <w:szCs w:val="21"/>
                      <w:lang w:bidi="ar"/>
                    </w:rPr>
                    <w:t>(dB(A))</w:t>
                  </w:r>
                </w:p>
              </w:tc>
              <w:tc>
                <w:tcPr>
                  <w:tcW w:w="499" w:type="pct"/>
                  <w:vMerge w:val="restart"/>
                  <w:shd w:val="clear" w:color="auto" w:fill="auto"/>
                  <w:vAlign w:val="center"/>
                </w:tcPr>
                <w:p w14:paraId="36C009BD">
                  <w:pPr>
                    <w:spacing w:line="260" w:lineRule="exact"/>
                    <w:jc w:val="center"/>
                    <w:rPr>
                      <w:b/>
                      <w:color w:val="auto"/>
                      <w:szCs w:val="21"/>
                    </w:rPr>
                  </w:pPr>
                  <w:r>
                    <w:rPr>
                      <w:b/>
                      <w:color w:val="auto"/>
                      <w:szCs w:val="21"/>
                      <w:lang w:bidi="ar"/>
                    </w:rPr>
                    <w:t>数量</w:t>
                  </w:r>
                </w:p>
                <w:p w14:paraId="396684CD">
                  <w:pPr>
                    <w:spacing w:line="260" w:lineRule="exact"/>
                    <w:jc w:val="center"/>
                    <w:rPr>
                      <w:b/>
                      <w:color w:val="auto"/>
                      <w:szCs w:val="21"/>
                    </w:rPr>
                  </w:pPr>
                  <w:r>
                    <w:rPr>
                      <w:b/>
                      <w:color w:val="auto"/>
                      <w:szCs w:val="21"/>
                      <w:lang w:bidi="ar"/>
                    </w:rPr>
                    <w:t>(台/套)</w:t>
                  </w:r>
                </w:p>
              </w:tc>
              <w:tc>
                <w:tcPr>
                  <w:tcW w:w="2363" w:type="pct"/>
                  <w:gridSpan w:val="3"/>
                  <w:shd w:val="clear" w:color="auto" w:fill="auto"/>
                  <w:vAlign w:val="center"/>
                </w:tcPr>
                <w:p w14:paraId="4407F59B">
                  <w:pPr>
                    <w:spacing w:line="260" w:lineRule="exact"/>
                    <w:jc w:val="center"/>
                    <w:rPr>
                      <w:b/>
                      <w:color w:val="auto"/>
                      <w:szCs w:val="21"/>
                    </w:rPr>
                  </w:pPr>
                  <w:r>
                    <w:rPr>
                      <w:b/>
                      <w:color w:val="auto"/>
                      <w:szCs w:val="21"/>
                      <w:lang w:bidi="ar"/>
                    </w:rPr>
                    <w:t>声级值（dB(A)）</w:t>
                  </w:r>
                </w:p>
              </w:tc>
            </w:tr>
            <w:tr w14:paraId="7D9A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vMerge w:val="continue"/>
                  <w:shd w:val="clear" w:color="auto" w:fill="auto"/>
                  <w:vAlign w:val="center"/>
                </w:tcPr>
                <w:p w14:paraId="7581E1B6">
                  <w:pPr>
                    <w:rPr>
                      <w:color w:val="auto"/>
                      <w:szCs w:val="21"/>
                    </w:rPr>
                  </w:pPr>
                </w:p>
              </w:tc>
              <w:tc>
                <w:tcPr>
                  <w:tcW w:w="714" w:type="pct"/>
                  <w:vMerge w:val="continue"/>
                  <w:shd w:val="clear" w:color="auto" w:fill="auto"/>
                  <w:vAlign w:val="center"/>
                </w:tcPr>
                <w:p w14:paraId="74EA36CD">
                  <w:pPr>
                    <w:rPr>
                      <w:color w:val="auto"/>
                      <w:szCs w:val="21"/>
                    </w:rPr>
                  </w:pPr>
                </w:p>
              </w:tc>
              <w:tc>
                <w:tcPr>
                  <w:tcW w:w="1105" w:type="pct"/>
                  <w:vMerge w:val="continue"/>
                  <w:shd w:val="clear" w:color="auto" w:fill="auto"/>
                  <w:vAlign w:val="center"/>
                </w:tcPr>
                <w:p w14:paraId="698E41E4">
                  <w:pPr>
                    <w:rPr>
                      <w:color w:val="auto"/>
                      <w:szCs w:val="21"/>
                    </w:rPr>
                  </w:pPr>
                </w:p>
              </w:tc>
              <w:tc>
                <w:tcPr>
                  <w:tcW w:w="499" w:type="pct"/>
                  <w:vMerge w:val="continue"/>
                  <w:shd w:val="clear" w:color="auto" w:fill="auto"/>
                  <w:vAlign w:val="center"/>
                </w:tcPr>
                <w:p w14:paraId="58084B58">
                  <w:pPr>
                    <w:rPr>
                      <w:color w:val="auto"/>
                      <w:szCs w:val="21"/>
                    </w:rPr>
                  </w:pPr>
                </w:p>
              </w:tc>
              <w:tc>
                <w:tcPr>
                  <w:tcW w:w="794" w:type="pct"/>
                  <w:shd w:val="clear" w:color="auto" w:fill="auto"/>
                  <w:vAlign w:val="center"/>
                </w:tcPr>
                <w:p w14:paraId="5B9EEAE3">
                  <w:pPr>
                    <w:spacing w:line="260" w:lineRule="exact"/>
                    <w:jc w:val="center"/>
                    <w:rPr>
                      <w:b/>
                      <w:color w:val="auto"/>
                      <w:szCs w:val="21"/>
                    </w:rPr>
                  </w:pPr>
                  <w:r>
                    <w:rPr>
                      <w:b/>
                      <w:color w:val="auto"/>
                      <w:szCs w:val="21"/>
                      <w:lang w:bidi="ar"/>
                    </w:rPr>
                    <w:t>降噪前(dB(A))</w:t>
                  </w:r>
                </w:p>
              </w:tc>
              <w:tc>
                <w:tcPr>
                  <w:tcW w:w="666" w:type="pct"/>
                  <w:shd w:val="clear" w:color="auto" w:fill="auto"/>
                  <w:vAlign w:val="center"/>
                </w:tcPr>
                <w:p w14:paraId="1005463C">
                  <w:pPr>
                    <w:spacing w:line="260" w:lineRule="exact"/>
                    <w:jc w:val="center"/>
                    <w:rPr>
                      <w:b/>
                      <w:color w:val="auto"/>
                      <w:szCs w:val="21"/>
                      <w:lang w:bidi="ar"/>
                    </w:rPr>
                  </w:pPr>
                  <w:r>
                    <w:rPr>
                      <w:b/>
                      <w:color w:val="auto"/>
                      <w:szCs w:val="21"/>
                      <w:lang w:bidi="ar"/>
                    </w:rPr>
                    <w:t>降噪</w:t>
                  </w:r>
                </w:p>
                <w:p w14:paraId="1BE0254B">
                  <w:pPr>
                    <w:spacing w:line="260" w:lineRule="exact"/>
                    <w:jc w:val="center"/>
                    <w:rPr>
                      <w:b/>
                      <w:color w:val="auto"/>
                      <w:szCs w:val="21"/>
                    </w:rPr>
                  </w:pPr>
                  <w:r>
                    <w:rPr>
                      <w:b/>
                      <w:color w:val="auto"/>
                      <w:szCs w:val="21"/>
                      <w:lang w:bidi="ar"/>
                    </w:rPr>
                    <w:t>措施</w:t>
                  </w:r>
                </w:p>
              </w:tc>
              <w:tc>
                <w:tcPr>
                  <w:tcW w:w="902" w:type="pct"/>
                  <w:shd w:val="clear" w:color="auto" w:fill="auto"/>
                  <w:vAlign w:val="center"/>
                </w:tcPr>
                <w:p w14:paraId="70D94BA3">
                  <w:pPr>
                    <w:spacing w:line="260" w:lineRule="exact"/>
                    <w:jc w:val="center"/>
                    <w:rPr>
                      <w:b/>
                      <w:color w:val="auto"/>
                      <w:szCs w:val="21"/>
                    </w:rPr>
                  </w:pPr>
                  <w:r>
                    <w:rPr>
                      <w:b/>
                      <w:color w:val="auto"/>
                      <w:szCs w:val="21"/>
                      <w:lang w:bidi="ar"/>
                    </w:rPr>
                    <w:t>降噪后(dB(A))</w:t>
                  </w:r>
                </w:p>
              </w:tc>
            </w:tr>
            <w:tr w14:paraId="2706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shd w:val="clear" w:color="auto" w:fill="auto"/>
                  <w:vAlign w:val="center"/>
                </w:tcPr>
                <w:p w14:paraId="59248BFD">
                  <w:pPr>
                    <w:spacing w:line="260" w:lineRule="exact"/>
                    <w:jc w:val="center"/>
                    <w:rPr>
                      <w:color w:val="auto"/>
                      <w:szCs w:val="21"/>
                    </w:rPr>
                  </w:pPr>
                  <w:r>
                    <w:rPr>
                      <w:color w:val="auto"/>
                      <w:szCs w:val="21"/>
                      <w:lang w:bidi="ar"/>
                    </w:rPr>
                    <w:t>1</w:t>
                  </w:r>
                </w:p>
              </w:tc>
              <w:tc>
                <w:tcPr>
                  <w:tcW w:w="714" w:type="pct"/>
                  <w:shd w:val="clear" w:color="auto" w:fill="auto"/>
                  <w:vAlign w:val="center"/>
                </w:tcPr>
                <w:p w14:paraId="0D78D30D">
                  <w:pPr>
                    <w:pStyle w:val="100"/>
                    <w:spacing w:line="240" w:lineRule="atLeast"/>
                    <w:jc w:val="center"/>
                    <w:rPr>
                      <w:rFonts w:ascii="Times New Roman" w:hAnsi="Times New Roman" w:cs="Times New Roman"/>
                      <w:color w:val="auto"/>
                      <w:spacing w:val="-2"/>
                      <w:sz w:val="21"/>
                      <w:szCs w:val="21"/>
                    </w:rPr>
                  </w:pPr>
                  <w:r>
                    <w:rPr>
                      <w:rFonts w:hint="eastAsia" w:ascii="Times New Roman" w:hAnsi="Times New Roman" w:cs="Times New Roman"/>
                      <w:bCs/>
                      <w:color w:val="auto"/>
                      <w:sz w:val="21"/>
                      <w:szCs w:val="21"/>
                    </w:rPr>
                    <w:t>风</w:t>
                  </w:r>
                  <w:r>
                    <w:rPr>
                      <w:rFonts w:ascii="Times New Roman" w:hAnsi="Times New Roman" w:cs="Times New Roman"/>
                      <w:bCs/>
                      <w:color w:val="auto"/>
                      <w:sz w:val="21"/>
                      <w:szCs w:val="21"/>
                    </w:rPr>
                    <w:t>机</w:t>
                  </w:r>
                  <w:r>
                    <w:rPr>
                      <w:rFonts w:hint="eastAsia" w:ascii="Times New Roman" w:hAnsi="Times New Roman" w:cs="Times New Roman"/>
                      <w:bCs/>
                      <w:color w:val="auto"/>
                      <w:sz w:val="21"/>
                      <w:szCs w:val="21"/>
                    </w:rPr>
                    <w:t>①</w:t>
                  </w:r>
                </w:p>
              </w:tc>
              <w:tc>
                <w:tcPr>
                  <w:tcW w:w="1105" w:type="pct"/>
                  <w:shd w:val="clear" w:color="auto" w:fill="auto"/>
                  <w:vAlign w:val="center"/>
                </w:tcPr>
                <w:p w14:paraId="19831B90">
                  <w:pPr>
                    <w:pStyle w:val="100"/>
                    <w:spacing w:line="240" w:lineRule="atLeast"/>
                    <w:jc w:val="center"/>
                    <w:rPr>
                      <w:rFonts w:ascii="Times New Roman" w:hAnsi="Times New Roman" w:cs="Times New Roman"/>
                      <w:color w:val="auto"/>
                      <w:spacing w:val="-2"/>
                      <w:sz w:val="21"/>
                      <w:szCs w:val="21"/>
                    </w:rPr>
                  </w:pPr>
                  <w:r>
                    <w:rPr>
                      <w:rFonts w:ascii="Times New Roman" w:hAnsi="Times New Roman" w:cs="Times New Roman"/>
                      <w:color w:val="auto"/>
                      <w:spacing w:val="-2"/>
                      <w:sz w:val="21"/>
                      <w:szCs w:val="21"/>
                    </w:rPr>
                    <w:t>90</w:t>
                  </w:r>
                </w:p>
              </w:tc>
              <w:tc>
                <w:tcPr>
                  <w:tcW w:w="499" w:type="pct"/>
                  <w:shd w:val="clear" w:color="auto" w:fill="auto"/>
                  <w:vAlign w:val="center"/>
                </w:tcPr>
                <w:p w14:paraId="675BE963">
                  <w:pPr>
                    <w:spacing w:line="260" w:lineRule="exact"/>
                    <w:jc w:val="center"/>
                    <w:rPr>
                      <w:color w:val="auto"/>
                      <w:szCs w:val="21"/>
                    </w:rPr>
                  </w:pPr>
                  <w:r>
                    <w:rPr>
                      <w:color w:val="auto"/>
                      <w:szCs w:val="21"/>
                    </w:rPr>
                    <w:t>1</w:t>
                  </w:r>
                </w:p>
              </w:tc>
              <w:tc>
                <w:tcPr>
                  <w:tcW w:w="794" w:type="pct"/>
                  <w:shd w:val="clear" w:color="auto" w:fill="auto"/>
                  <w:vAlign w:val="center"/>
                </w:tcPr>
                <w:p w14:paraId="632056F4">
                  <w:pPr>
                    <w:jc w:val="center"/>
                    <w:rPr>
                      <w:color w:val="auto"/>
                      <w:szCs w:val="21"/>
                    </w:rPr>
                  </w:pPr>
                  <w:r>
                    <w:rPr>
                      <w:color w:val="auto"/>
                      <w:szCs w:val="21"/>
                    </w:rPr>
                    <w:t>90</w:t>
                  </w:r>
                </w:p>
              </w:tc>
              <w:tc>
                <w:tcPr>
                  <w:tcW w:w="666" w:type="pct"/>
                  <w:vMerge w:val="restart"/>
                  <w:shd w:val="clear" w:color="auto" w:fill="auto"/>
                  <w:vAlign w:val="center"/>
                </w:tcPr>
                <w:p w14:paraId="334F989B">
                  <w:pPr>
                    <w:pStyle w:val="9"/>
                    <w:rPr>
                      <w:color w:val="auto"/>
                      <w:szCs w:val="21"/>
                    </w:rPr>
                  </w:pPr>
                  <w:r>
                    <w:rPr>
                      <w:color w:val="auto"/>
                      <w:sz w:val="21"/>
                      <w:szCs w:val="21"/>
                    </w:rPr>
                    <w:t>选用低噪声设备、</w:t>
                  </w:r>
                  <w:r>
                    <w:rPr>
                      <w:color w:val="auto"/>
                      <w:sz w:val="21"/>
                      <w:szCs w:val="21"/>
                      <w:lang w:bidi="ar"/>
                    </w:rPr>
                    <w:t>基础减振、厂房隔声、合理</w:t>
                  </w:r>
                  <w:r>
                    <w:rPr>
                      <w:color w:val="auto"/>
                      <w:sz w:val="21"/>
                      <w:szCs w:val="21"/>
                    </w:rPr>
                    <w:t>布局等</w:t>
                  </w:r>
                </w:p>
              </w:tc>
              <w:tc>
                <w:tcPr>
                  <w:tcW w:w="902" w:type="pct"/>
                  <w:shd w:val="clear" w:color="auto" w:fill="auto"/>
                  <w:vAlign w:val="center"/>
                </w:tcPr>
                <w:p w14:paraId="5B3085D1">
                  <w:pPr>
                    <w:jc w:val="center"/>
                    <w:rPr>
                      <w:color w:val="auto"/>
                      <w:szCs w:val="21"/>
                    </w:rPr>
                  </w:pPr>
                  <w:r>
                    <w:rPr>
                      <w:color w:val="auto"/>
                      <w:szCs w:val="21"/>
                    </w:rPr>
                    <w:t>60</w:t>
                  </w:r>
                </w:p>
              </w:tc>
            </w:tr>
            <w:tr w14:paraId="5A2B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17" w:type="pct"/>
                  <w:shd w:val="clear" w:color="auto" w:fill="auto"/>
                  <w:vAlign w:val="center"/>
                </w:tcPr>
                <w:p w14:paraId="41875F62">
                  <w:pPr>
                    <w:spacing w:line="260" w:lineRule="exact"/>
                    <w:jc w:val="center"/>
                    <w:rPr>
                      <w:color w:val="auto"/>
                      <w:szCs w:val="21"/>
                    </w:rPr>
                  </w:pPr>
                  <w:r>
                    <w:rPr>
                      <w:color w:val="auto"/>
                      <w:szCs w:val="21"/>
                      <w:lang w:bidi="ar"/>
                    </w:rPr>
                    <w:t>2</w:t>
                  </w:r>
                </w:p>
              </w:tc>
              <w:tc>
                <w:tcPr>
                  <w:tcW w:w="714" w:type="pct"/>
                  <w:shd w:val="clear" w:color="auto" w:fill="auto"/>
                  <w:vAlign w:val="center"/>
                </w:tcPr>
                <w:p w14:paraId="5A819051">
                  <w:pPr>
                    <w:pStyle w:val="100"/>
                    <w:spacing w:line="240" w:lineRule="atLeast"/>
                    <w:jc w:val="center"/>
                    <w:rPr>
                      <w:rFonts w:ascii="Times New Roman" w:hAnsi="Times New Roman" w:cs="Times New Roman"/>
                      <w:color w:val="auto"/>
                      <w:spacing w:val="-2"/>
                      <w:sz w:val="21"/>
                      <w:szCs w:val="21"/>
                    </w:rPr>
                  </w:pPr>
                  <w:r>
                    <w:rPr>
                      <w:rFonts w:hint="eastAsia" w:ascii="Times New Roman" w:hAnsi="Times New Roman" w:cs="Times New Roman"/>
                      <w:color w:val="auto"/>
                      <w:spacing w:val="-2"/>
                      <w:sz w:val="21"/>
                      <w:szCs w:val="21"/>
                    </w:rPr>
                    <w:t>风机②</w:t>
                  </w:r>
                </w:p>
              </w:tc>
              <w:tc>
                <w:tcPr>
                  <w:tcW w:w="1105" w:type="pct"/>
                  <w:shd w:val="clear" w:color="auto" w:fill="auto"/>
                  <w:vAlign w:val="center"/>
                </w:tcPr>
                <w:p w14:paraId="7432E1E6">
                  <w:pPr>
                    <w:pStyle w:val="100"/>
                    <w:spacing w:line="240" w:lineRule="atLeast"/>
                    <w:jc w:val="center"/>
                    <w:rPr>
                      <w:rFonts w:ascii="Times New Roman" w:hAnsi="Times New Roman" w:cs="Times New Roman"/>
                      <w:color w:val="auto"/>
                      <w:spacing w:val="-2"/>
                      <w:sz w:val="21"/>
                      <w:szCs w:val="21"/>
                    </w:rPr>
                  </w:pPr>
                  <w:r>
                    <w:rPr>
                      <w:rFonts w:ascii="Times New Roman" w:hAnsi="Times New Roman" w:cs="Times New Roman"/>
                      <w:color w:val="auto"/>
                      <w:spacing w:val="-2"/>
                      <w:sz w:val="21"/>
                      <w:szCs w:val="21"/>
                    </w:rPr>
                    <w:t>80</w:t>
                  </w:r>
                </w:p>
              </w:tc>
              <w:tc>
                <w:tcPr>
                  <w:tcW w:w="499" w:type="pct"/>
                  <w:shd w:val="clear" w:color="auto" w:fill="auto"/>
                  <w:vAlign w:val="center"/>
                </w:tcPr>
                <w:p w14:paraId="7FF415C9">
                  <w:pPr>
                    <w:spacing w:line="260" w:lineRule="exact"/>
                    <w:jc w:val="center"/>
                    <w:rPr>
                      <w:color w:val="auto"/>
                      <w:szCs w:val="21"/>
                    </w:rPr>
                  </w:pPr>
                  <w:r>
                    <w:rPr>
                      <w:rFonts w:hint="eastAsia"/>
                      <w:color w:val="auto"/>
                      <w:szCs w:val="21"/>
                    </w:rPr>
                    <w:t>1</w:t>
                  </w:r>
                </w:p>
              </w:tc>
              <w:tc>
                <w:tcPr>
                  <w:tcW w:w="794" w:type="pct"/>
                  <w:shd w:val="clear" w:color="auto" w:fill="auto"/>
                  <w:vAlign w:val="center"/>
                </w:tcPr>
                <w:p w14:paraId="67B828F9">
                  <w:pPr>
                    <w:spacing w:line="260" w:lineRule="exact"/>
                    <w:jc w:val="center"/>
                    <w:rPr>
                      <w:color w:val="auto"/>
                      <w:szCs w:val="21"/>
                    </w:rPr>
                  </w:pPr>
                  <w:r>
                    <w:rPr>
                      <w:color w:val="auto"/>
                      <w:szCs w:val="21"/>
                    </w:rPr>
                    <w:t>8</w:t>
                  </w:r>
                  <w:r>
                    <w:rPr>
                      <w:rFonts w:hint="eastAsia"/>
                      <w:color w:val="auto"/>
                      <w:szCs w:val="21"/>
                    </w:rPr>
                    <w:t>0</w:t>
                  </w:r>
                </w:p>
              </w:tc>
              <w:tc>
                <w:tcPr>
                  <w:tcW w:w="666" w:type="pct"/>
                  <w:vMerge w:val="continue"/>
                  <w:shd w:val="clear" w:color="auto" w:fill="auto"/>
                  <w:vAlign w:val="center"/>
                </w:tcPr>
                <w:p w14:paraId="39A93A88">
                  <w:pPr>
                    <w:rPr>
                      <w:color w:val="auto"/>
                      <w:szCs w:val="21"/>
                    </w:rPr>
                  </w:pPr>
                </w:p>
              </w:tc>
              <w:tc>
                <w:tcPr>
                  <w:tcW w:w="902" w:type="pct"/>
                  <w:shd w:val="clear" w:color="auto" w:fill="auto"/>
                  <w:vAlign w:val="center"/>
                </w:tcPr>
                <w:p w14:paraId="5521713E">
                  <w:pPr>
                    <w:jc w:val="center"/>
                    <w:rPr>
                      <w:color w:val="auto"/>
                      <w:szCs w:val="21"/>
                    </w:rPr>
                  </w:pPr>
                  <w:r>
                    <w:rPr>
                      <w:color w:val="auto"/>
                      <w:szCs w:val="21"/>
                    </w:rPr>
                    <w:t>53</w:t>
                  </w:r>
                </w:p>
              </w:tc>
            </w:tr>
            <w:tr w14:paraId="08AC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17" w:type="pct"/>
                  <w:shd w:val="clear" w:color="auto" w:fill="auto"/>
                  <w:vAlign w:val="center"/>
                </w:tcPr>
                <w:p w14:paraId="5AD53106">
                  <w:pPr>
                    <w:spacing w:line="260" w:lineRule="exact"/>
                    <w:jc w:val="center"/>
                    <w:rPr>
                      <w:color w:val="auto"/>
                      <w:szCs w:val="21"/>
                    </w:rPr>
                  </w:pPr>
                  <w:r>
                    <w:rPr>
                      <w:color w:val="auto"/>
                      <w:szCs w:val="21"/>
                      <w:lang w:bidi="ar"/>
                    </w:rPr>
                    <w:t>3</w:t>
                  </w:r>
                </w:p>
              </w:tc>
              <w:tc>
                <w:tcPr>
                  <w:tcW w:w="714" w:type="pct"/>
                  <w:shd w:val="clear" w:color="auto" w:fill="auto"/>
                  <w:vAlign w:val="center"/>
                </w:tcPr>
                <w:p w14:paraId="2088095C">
                  <w:pPr>
                    <w:pStyle w:val="100"/>
                    <w:spacing w:line="240" w:lineRule="atLeast"/>
                    <w:jc w:val="center"/>
                    <w:rPr>
                      <w:rFonts w:ascii="Times New Roman" w:hAnsi="Times New Roman" w:cs="Times New Roman"/>
                      <w:color w:val="auto"/>
                      <w:spacing w:val="-2"/>
                      <w:sz w:val="21"/>
                      <w:szCs w:val="21"/>
                    </w:rPr>
                  </w:pPr>
                  <w:r>
                    <w:rPr>
                      <w:rFonts w:hint="eastAsia" w:ascii="Times New Roman" w:hAnsi="Times New Roman" w:cs="Times New Roman"/>
                      <w:bCs/>
                      <w:color w:val="auto"/>
                      <w:sz w:val="21"/>
                      <w:szCs w:val="21"/>
                    </w:rPr>
                    <w:t>中频感应电炉</w:t>
                  </w:r>
                </w:p>
              </w:tc>
              <w:tc>
                <w:tcPr>
                  <w:tcW w:w="1105" w:type="pct"/>
                  <w:shd w:val="clear" w:color="auto" w:fill="auto"/>
                  <w:vAlign w:val="center"/>
                </w:tcPr>
                <w:p w14:paraId="6005224F">
                  <w:pPr>
                    <w:pStyle w:val="100"/>
                    <w:spacing w:line="240" w:lineRule="atLeast"/>
                    <w:jc w:val="center"/>
                    <w:rPr>
                      <w:rFonts w:ascii="Times New Roman" w:hAnsi="Times New Roman" w:cs="Times New Roman"/>
                      <w:color w:val="auto"/>
                      <w:spacing w:val="-2"/>
                      <w:sz w:val="21"/>
                      <w:szCs w:val="21"/>
                    </w:rPr>
                  </w:pPr>
                  <w:r>
                    <w:rPr>
                      <w:rFonts w:ascii="Times New Roman" w:hAnsi="Times New Roman" w:cs="Times New Roman"/>
                      <w:color w:val="auto"/>
                      <w:spacing w:val="-2"/>
                      <w:sz w:val="21"/>
                      <w:szCs w:val="21"/>
                    </w:rPr>
                    <w:t>75</w:t>
                  </w:r>
                </w:p>
              </w:tc>
              <w:tc>
                <w:tcPr>
                  <w:tcW w:w="499" w:type="pct"/>
                  <w:shd w:val="clear" w:color="auto" w:fill="auto"/>
                  <w:vAlign w:val="center"/>
                </w:tcPr>
                <w:p w14:paraId="461E9450">
                  <w:pPr>
                    <w:spacing w:line="260" w:lineRule="exact"/>
                    <w:jc w:val="center"/>
                    <w:rPr>
                      <w:color w:val="auto"/>
                      <w:szCs w:val="21"/>
                    </w:rPr>
                  </w:pPr>
                  <w:r>
                    <w:rPr>
                      <w:rFonts w:hint="eastAsia"/>
                      <w:color w:val="auto"/>
                      <w:szCs w:val="21"/>
                    </w:rPr>
                    <w:t>3</w:t>
                  </w:r>
                </w:p>
              </w:tc>
              <w:tc>
                <w:tcPr>
                  <w:tcW w:w="794" w:type="pct"/>
                  <w:shd w:val="clear" w:color="auto" w:fill="auto"/>
                  <w:vAlign w:val="center"/>
                </w:tcPr>
                <w:p w14:paraId="62914ADC">
                  <w:pPr>
                    <w:spacing w:line="260" w:lineRule="exact"/>
                    <w:jc w:val="center"/>
                    <w:rPr>
                      <w:color w:val="auto"/>
                      <w:szCs w:val="21"/>
                    </w:rPr>
                  </w:pPr>
                  <w:r>
                    <w:rPr>
                      <w:color w:val="auto"/>
                      <w:szCs w:val="21"/>
                    </w:rPr>
                    <w:t>75</w:t>
                  </w:r>
                </w:p>
              </w:tc>
              <w:tc>
                <w:tcPr>
                  <w:tcW w:w="666" w:type="pct"/>
                  <w:vMerge w:val="continue"/>
                  <w:shd w:val="clear" w:color="auto" w:fill="auto"/>
                  <w:vAlign w:val="center"/>
                </w:tcPr>
                <w:p w14:paraId="6CDFB6DD">
                  <w:pPr>
                    <w:rPr>
                      <w:color w:val="auto"/>
                      <w:szCs w:val="21"/>
                    </w:rPr>
                  </w:pPr>
                </w:p>
              </w:tc>
              <w:tc>
                <w:tcPr>
                  <w:tcW w:w="902" w:type="pct"/>
                  <w:shd w:val="clear" w:color="auto" w:fill="auto"/>
                  <w:vAlign w:val="center"/>
                </w:tcPr>
                <w:p w14:paraId="371EF7BC">
                  <w:pPr>
                    <w:jc w:val="center"/>
                    <w:rPr>
                      <w:color w:val="auto"/>
                      <w:szCs w:val="21"/>
                    </w:rPr>
                  </w:pPr>
                  <w:r>
                    <w:rPr>
                      <w:color w:val="auto"/>
                      <w:szCs w:val="21"/>
                    </w:rPr>
                    <w:t>45</w:t>
                  </w:r>
                </w:p>
              </w:tc>
            </w:tr>
            <w:tr w14:paraId="6AAA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17" w:type="pct"/>
                  <w:shd w:val="clear" w:color="auto" w:fill="auto"/>
                  <w:vAlign w:val="center"/>
                </w:tcPr>
                <w:p w14:paraId="235705C2">
                  <w:pPr>
                    <w:spacing w:line="260" w:lineRule="exact"/>
                    <w:jc w:val="center"/>
                    <w:rPr>
                      <w:color w:val="auto"/>
                      <w:szCs w:val="21"/>
                    </w:rPr>
                  </w:pPr>
                  <w:r>
                    <w:rPr>
                      <w:color w:val="auto"/>
                      <w:szCs w:val="21"/>
                      <w:lang w:bidi="ar"/>
                    </w:rPr>
                    <w:t>4</w:t>
                  </w:r>
                </w:p>
              </w:tc>
              <w:tc>
                <w:tcPr>
                  <w:tcW w:w="714" w:type="pct"/>
                  <w:shd w:val="clear" w:color="auto" w:fill="auto"/>
                  <w:vAlign w:val="center"/>
                </w:tcPr>
                <w:p w14:paraId="7FBF2C32">
                  <w:pPr>
                    <w:pStyle w:val="100"/>
                    <w:spacing w:line="240" w:lineRule="atLeast"/>
                    <w:jc w:val="center"/>
                    <w:rPr>
                      <w:rFonts w:ascii="Times New Roman" w:hAnsi="Times New Roman" w:cs="Times New Roman"/>
                      <w:color w:val="auto"/>
                      <w:spacing w:val="-2"/>
                      <w:sz w:val="21"/>
                      <w:szCs w:val="21"/>
                    </w:rPr>
                  </w:pPr>
                  <w:r>
                    <w:rPr>
                      <w:rFonts w:hint="eastAsia" w:ascii="Times New Roman" w:hAnsi="Times New Roman" w:cs="Times New Roman"/>
                      <w:bCs/>
                      <w:color w:val="auto"/>
                      <w:sz w:val="21"/>
                      <w:szCs w:val="21"/>
                    </w:rPr>
                    <w:t>连续塑形</w:t>
                  </w:r>
                  <w:r>
                    <w:rPr>
                      <w:rFonts w:ascii="Times New Roman" w:hAnsi="Times New Roman" w:cs="Times New Roman"/>
                      <w:bCs/>
                      <w:color w:val="auto"/>
                      <w:sz w:val="21"/>
                      <w:szCs w:val="21"/>
                    </w:rPr>
                    <w:t>生产线</w:t>
                  </w:r>
                </w:p>
              </w:tc>
              <w:tc>
                <w:tcPr>
                  <w:tcW w:w="1105" w:type="pct"/>
                  <w:shd w:val="clear" w:color="auto" w:fill="auto"/>
                  <w:vAlign w:val="center"/>
                </w:tcPr>
                <w:p w14:paraId="206AC227">
                  <w:pPr>
                    <w:pStyle w:val="100"/>
                    <w:spacing w:line="240" w:lineRule="atLeast"/>
                    <w:jc w:val="center"/>
                    <w:rPr>
                      <w:rFonts w:ascii="Times New Roman" w:hAnsi="Times New Roman" w:cs="Times New Roman"/>
                      <w:color w:val="auto"/>
                      <w:spacing w:val="-2"/>
                      <w:sz w:val="21"/>
                      <w:szCs w:val="21"/>
                    </w:rPr>
                  </w:pPr>
                  <w:r>
                    <w:rPr>
                      <w:rFonts w:ascii="Times New Roman" w:hAnsi="Times New Roman" w:cs="Times New Roman"/>
                      <w:color w:val="auto"/>
                      <w:spacing w:val="-2"/>
                      <w:sz w:val="21"/>
                      <w:szCs w:val="21"/>
                    </w:rPr>
                    <w:t>8</w:t>
                  </w:r>
                  <w:r>
                    <w:rPr>
                      <w:rFonts w:hint="eastAsia" w:ascii="Times New Roman" w:hAnsi="Times New Roman" w:cs="Times New Roman"/>
                      <w:color w:val="auto"/>
                      <w:spacing w:val="-2"/>
                      <w:sz w:val="21"/>
                      <w:szCs w:val="21"/>
                    </w:rPr>
                    <w:t>5</w:t>
                  </w:r>
                </w:p>
              </w:tc>
              <w:tc>
                <w:tcPr>
                  <w:tcW w:w="499" w:type="pct"/>
                  <w:shd w:val="clear" w:color="auto" w:fill="auto"/>
                  <w:vAlign w:val="center"/>
                </w:tcPr>
                <w:p w14:paraId="37020EA4">
                  <w:pPr>
                    <w:spacing w:line="260" w:lineRule="exact"/>
                    <w:jc w:val="center"/>
                    <w:rPr>
                      <w:color w:val="auto"/>
                      <w:szCs w:val="21"/>
                    </w:rPr>
                  </w:pPr>
                  <w:r>
                    <w:rPr>
                      <w:rFonts w:hint="eastAsia"/>
                      <w:color w:val="auto"/>
                      <w:szCs w:val="21"/>
                    </w:rPr>
                    <w:t>1</w:t>
                  </w:r>
                </w:p>
              </w:tc>
              <w:tc>
                <w:tcPr>
                  <w:tcW w:w="794" w:type="pct"/>
                  <w:shd w:val="clear" w:color="auto" w:fill="auto"/>
                  <w:vAlign w:val="center"/>
                </w:tcPr>
                <w:p w14:paraId="0C3CDD50">
                  <w:pPr>
                    <w:spacing w:line="260" w:lineRule="exact"/>
                    <w:jc w:val="center"/>
                    <w:rPr>
                      <w:color w:val="auto"/>
                      <w:szCs w:val="21"/>
                    </w:rPr>
                  </w:pPr>
                  <w:r>
                    <w:rPr>
                      <w:color w:val="auto"/>
                      <w:szCs w:val="21"/>
                    </w:rPr>
                    <w:t>8</w:t>
                  </w:r>
                  <w:r>
                    <w:rPr>
                      <w:rFonts w:hint="eastAsia"/>
                      <w:color w:val="auto"/>
                      <w:szCs w:val="21"/>
                    </w:rPr>
                    <w:t>5</w:t>
                  </w:r>
                </w:p>
              </w:tc>
              <w:tc>
                <w:tcPr>
                  <w:tcW w:w="666" w:type="pct"/>
                  <w:vMerge w:val="continue"/>
                  <w:shd w:val="clear" w:color="auto" w:fill="auto"/>
                  <w:vAlign w:val="center"/>
                </w:tcPr>
                <w:p w14:paraId="2E5DD16B">
                  <w:pPr>
                    <w:rPr>
                      <w:color w:val="auto"/>
                      <w:szCs w:val="21"/>
                    </w:rPr>
                  </w:pPr>
                </w:p>
              </w:tc>
              <w:tc>
                <w:tcPr>
                  <w:tcW w:w="902" w:type="pct"/>
                  <w:shd w:val="clear" w:color="auto" w:fill="auto"/>
                  <w:vAlign w:val="center"/>
                </w:tcPr>
                <w:p w14:paraId="712167B6">
                  <w:pPr>
                    <w:jc w:val="center"/>
                    <w:rPr>
                      <w:color w:val="auto"/>
                      <w:szCs w:val="21"/>
                    </w:rPr>
                  </w:pPr>
                  <w:r>
                    <w:rPr>
                      <w:color w:val="auto"/>
                      <w:szCs w:val="21"/>
                    </w:rPr>
                    <w:t>53</w:t>
                  </w:r>
                </w:p>
              </w:tc>
            </w:tr>
            <w:tr w14:paraId="7E5F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17" w:type="pct"/>
                  <w:shd w:val="clear" w:color="auto" w:fill="auto"/>
                  <w:vAlign w:val="center"/>
                </w:tcPr>
                <w:p w14:paraId="76E6D9E4">
                  <w:pPr>
                    <w:spacing w:line="260" w:lineRule="exact"/>
                    <w:jc w:val="center"/>
                    <w:rPr>
                      <w:color w:val="auto"/>
                      <w:szCs w:val="21"/>
                      <w:lang w:bidi="ar"/>
                    </w:rPr>
                  </w:pPr>
                  <w:r>
                    <w:rPr>
                      <w:color w:val="auto"/>
                      <w:szCs w:val="21"/>
                      <w:lang w:bidi="ar"/>
                    </w:rPr>
                    <w:t>5</w:t>
                  </w:r>
                </w:p>
              </w:tc>
              <w:tc>
                <w:tcPr>
                  <w:tcW w:w="714" w:type="pct"/>
                  <w:shd w:val="clear" w:color="auto" w:fill="auto"/>
                  <w:vAlign w:val="center"/>
                </w:tcPr>
                <w:p w14:paraId="30DC750E">
                  <w:pPr>
                    <w:pStyle w:val="100"/>
                    <w:spacing w:line="240" w:lineRule="atLeas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锯床</w:t>
                  </w:r>
                </w:p>
              </w:tc>
              <w:tc>
                <w:tcPr>
                  <w:tcW w:w="1105" w:type="pct"/>
                  <w:shd w:val="clear" w:color="auto" w:fill="auto"/>
                  <w:vAlign w:val="center"/>
                </w:tcPr>
                <w:p w14:paraId="2FC1641B">
                  <w:pPr>
                    <w:pStyle w:val="100"/>
                    <w:spacing w:line="240" w:lineRule="atLeast"/>
                    <w:jc w:val="center"/>
                    <w:rPr>
                      <w:rFonts w:ascii="Times New Roman" w:hAnsi="Times New Roman" w:cs="Times New Roman"/>
                      <w:color w:val="auto"/>
                      <w:spacing w:val="-2"/>
                      <w:sz w:val="21"/>
                      <w:szCs w:val="21"/>
                    </w:rPr>
                  </w:pPr>
                  <w:r>
                    <w:rPr>
                      <w:rFonts w:ascii="Times New Roman" w:hAnsi="Times New Roman" w:cs="Times New Roman"/>
                      <w:color w:val="auto"/>
                      <w:spacing w:val="-2"/>
                      <w:sz w:val="21"/>
                      <w:szCs w:val="21"/>
                    </w:rPr>
                    <w:t>80</w:t>
                  </w:r>
                </w:p>
              </w:tc>
              <w:tc>
                <w:tcPr>
                  <w:tcW w:w="499" w:type="pct"/>
                  <w:shd w:val="clear" w:color="auto" w:fill="auto"/>
                  <w:vAlign w:val="center"/>
                </w:tcPr>
                <w:p w14:paraId="102D51A7">
                  <w:pPr>
                    <w:spacing w:line="260" w:lineRule="exact"/>
                    <w:jc w:val="center"/>
                    <w:rPr>
                      <w:color w:val="auto"/>
                      <w:szCs w:val="21"/>
                    </w:rPr>
                  </w:pPr>
                  <w:r>
                    <w:rPr>
                      <w:rFonts w:hint="eastAsia"/>
                      <w:color w:val="auto"/>
                      <w:szCs w:val="21"/>
                    </w:rPr>
                    <w:t>9</w:t>
                  </w:r>
                </w:p>
              </w:tc>
              <w:tc>
                <w:tcPr>
                  <w:tcW w:w="794" w:type="pct"/>
                  <w:shd w:val="clear" w:color="auto" w:fill="auto"/>
                  <w:vAlign w:val="center"/>
                </w:tcPr>
                <w:p w14:paraId="465EC723">
                  <w:pPr>
                    <w:jc w:val="center"/>
                    <w:rPr>
                      <w:color w:val="auto"/>
                      <w:szCs w:val="21"/>
                    </w:rPr>
                  </w:pPr>
                  <w:r>
                    <w:rPr>
                      <w:color w:val="auto"/>
                      <w:szCs w:val="21"/>
                    </w:rPr>
                    <w:t>80</w:t>
                  </w:r>
                </w:p>
              </w:tc>
              <w:tc>
                <w:tcPr>
                  <w:tcW w:w="666" w:type="pct"/>
                  <w:vMerge w:val="continue"/>
                  <w:shd w:val="clear" w:color="auto" w:fill="auto"/>
                  <w:vAlign w:val="center"/>
                </w:tcPr>
                <w:p w14:paraId="7EB9332C">
                  <w:pPr>
                    <w:rPr>
                      <w:color w:val="auto"/>
                      <w:szCs w:val="21"/>
                    </w:rPr>
                  </w:pPr>
                </w:p>
              </w:tc>
              <w:tc>
                <w:tcPr>
                  <w:tcW w:w="902" w:type="pct"/>
                  <w:shd w:val="clear" w:color="auto" w:fill="auto"/>
                  <w:vAlign w:val="center"/>
                </w:tcPr>
                <w:p w14:paraId="38618075">
                  <w:pPr>
                    <w:jc w:val="center"/>
                    <w:rPr>
                      <w:color w:val="auto"/>
                      <w:szCs w:val="21"/>
                    </w:rPr>
                  </w:pPr>
                  <w:r>
                    <w:rPr>
                      <w:color w:val="auto"/>
                      <w:szCs w:val="21"/>
                    </w:rPr>
                    <w:t>50</w:t>
                  </w:r>
                </w:p>
              </w:tc>
            </w:tr>
            <w:tr w14:paraId="10BE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17" w:type="pct"/>
                  <w:shd w:val="clear" w:color="auto" w:fill="auto"/>
                  <w:vAlign w:val="center"/>
                </w:tcPr>
                <w:p w14:paraId="77505937">
                  <w:pPr>
                    <w:spacing w:line="260" w:lineRule="exact"/>
                    <w:jc w:val="center"/>
                    <w:rPr>
                      <w:color w:val="auto"/>
                      <w:szCs w:val="21"/>
                      <w:lang w:bidi="ar"/>
                    </w:rPr>
                  </w:pPr>
                  <w:r>
                    <w:rPr>
                      <w:rFonts w:hint="eastAsia"/>
                      <w:color w:val="auto"/>
                      <w:szCs w:val="21"/>
                      <w:lang w:bidi="ar"/>
                    </w:rPr>
                    <w:t>6</w:t>
                  </w:r>
                </w:p>
              </w:tc>
              <w:tc>
                <w:tcPr>
                  <w:tcW w:w="714" w:type="pct"/>
                  <w:shd w:val="clear" w:color="auto" w:fill="auto"/>
                  <w:vAlign w:val="center"/>
                </w:tcPr>
                <w:p w14:paraId="01006D1D">
                  <w:pPr>
                    <w:pStyle w:val="100"/>
                    <w:spacing w:line="240" w:lineRule="atLeas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电焊机</w:t>
                  </w:r>
                </w:p>
              </w:tc>
              <w:tc>
                <w:tcPr>
                  <w:tcW w:w="1105" w:type="pct"/>
                  <w:shd w:val="clear" w:color="auto" w:fill="auto"/>
                  <w:vAlign w:val="center"/>
                </w:tcPr>
                <w:p w14:paraId="763A0584">
                  <w:pPr>
                    <w:pStyle w:val="100"/>
                    <w:spacing w:line="240" w:lineRule="atLeast"/>
                    <w:jc w:val="center"/>
                    <w:rPr>
                      <w:rFonts w:ascii="Times New Roman" w:hAnsi="Times New Roman" w:cs="Times New Roman"/>
                      <w:color w:val="auto"/>
                      <w:spacing w:val="-2"/>
                      <w:sz w:val="21"/>
                      <w:szCs w:val="21"/>
                    </w:rPr>
                  </w:pPr>
                  <w:r>
                    <w:rPr>
                      <w:rFonts w:hint="eastAsia" w:ascii="Times New Roman" w:hAnsi="Times New Roman" w:cs="Times New Roman"/>
                      <w:color w:val="auto"/>
                      <w:spacing w:val="-2"/>
                      <w:sz w:val="21"/>
                      <w:szCs w:val="21"/>
                    </w:rPr>
                    <w:t>70</w:t>
                  </w:r>
                </w:p>
              </w:tc>
              <w:tc>
                <w:tcPr>
                  <w:tcW w:w="499" w:type="pct"/>
                  <w:shd w:val="clear" w:color="auto" w:fill="auto"/>
                  <w:vAlign w:val="center"/>
                </w:tcPr>
                <w:p w14:paraId="01B4CAF4">
                  <w:pPr>
                    <w:spacing w:line="260" w:lineRule="exact"/>
                    <w:jc w:val="center"/>
                    <w:rPr>
                      <w:color w:val="auto"/>
                      <w:szCs w:val="21"/>
                    </w:rPr>
                  </w:pPr>
                  <w:r>
                    <w:rPr>
                      <w:rFonts w:hint="eastAsia"/>
                      <w:color w:val="auto"/>
                      <w:szCs w:val="21"/>
                    </w:rPr>
                    <w:t>20</w:t>
                  </w:r>
                </w:p>
              </w:tc>
              <w:tc>
                <w:tcPr>
                  <w:tcW w:w="794" w:type="pct"/>
                  <w:shd w:val="clear" w:color="auto" w:fill="auto"/>
                  <w:vAlign w:val="center"/>
                </w:tcPr>
                <w:p w14:paraId="4DD4428E">
                  <w:pPr>
                    <w:jc w:val="center"/>
                    <w:rPr>
                      <w:color w:val="auto"/>
                      <w:szCs w:val="21"/>
                    </w:rPr>
                  </w:pPr>
                  <w:r>
                    <w:rPr>
                      <w:rFonts w:hint="eastAsia"/>
                      <w:color w:val="auto"/>
                      <w:szCs w:val="21"/>
                    </w:rPr>
                    <w:t>70</w:t>
                  </w:r>
                </w:p>
              </w:tc>
              <w:tc>
                <w:tcPr>
                  <w:tcW w:w="666" w:type="pct"/>
                  <w:vMerge w:val="continue"/>
                  <w:shd w:val="clear" w:color="auto" w:fill="auto"/>
                  <w:vAlign w:val="center"/>
                </w:tcPr>
                <w:p w14:paraId="51A7A4FE">
                  <w:pPr>
                    <w:rPr>
                      <w:color w:val="auto"/>
                      <w:szCs w:val="21"/>
                    </w:rPr>
                  </w:pPr>
                </w:p>
              </w:tc>
              <w:tc>
                <w:tcPr>
                  <w:tcW w:w="902" w:type="pct"/>
                  <w:shd w:val="clear" w:color="auto" w:fill="auto"/>
                  <w:vAlign w:val="center"/>
                </w:tcPr>
                <w:p w14:paraId="11296734">
                  <w:pPr>
                    <w:jc w:val="center"/>
                    <w:rPr>
                      <w:color w:val="auto"/>
                      <w:szCs w:val="21"/>
                    </w:rPr>
                  </w:pPr>
                  <w:r>
                    <w:rPr>
                      <w:rFonts w:hint="eastAsia"/>
                      <w:color w:val="auto"/>
                      <w:szCs w:val="21"/>
                    </w:rPr>
                    <w:t>40</w:t>
                  </w:r>
                </w:p>
              </w:tc>
            </w:tr>
            <w:tr w14:paraId="1BA2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17" w:type="pct"/>
                  <w:shd w:val="clear" w:color="auto" w:fill="auto"/>
                  <w:vAlign w:val="center"/>
                </w:tcPr>
                <w:p w14:paraId="7033E2F5">
                  <w:pPr>
                    <w:spacing w:line="260" w:lineRule="exact"/>
                    <w:jc w:val="center"/>
                    <w:rPr>
                      <w:color w:val="auto"/>
                      <w:szCs w:val="21"/>
                      <w:lang w:bidi="ar"/>
                    </w:rPr>
                  </w:pPr>
                  <w:r>
                    <w:rPr>
                      <w:rFonts w:hint="eastAsia"/>
                      <w:color w:val="auto"/>
                      <w:szCs w:val="21"/>
                      <w:lang w:bidi="ar"/>
                    </w:rPr>
                    <w:t>7</w:t>
                  </w:r>
                </w:p>
              </w:tc>
              <w:tc>
                <w:tcPr>
                  <w:tcW w:w="714" w:type="pct"/>
                  <w:shd w:val="clear" w:color="auto" w:fill="auto"/>
                  <w:vAlign w:val="center"/>
                </w:tcPr>
                <w:p w14:paraId="57BFB86C">
                  <w:pPr>
                    <w:pStyle w:val="100"/>
                    <w:spacing w:line="240" w:lineRule="atLeas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车床</w:t>
                  </w:r>
                </w:p>
              </w:tc>
              <w:tc>
                <w:tcPr>
                  <w:tcW w:w="1105" w:type="pct"/>
                  <w:shd w:val="clear" w:color="auto" w:fill="auto"/>
                  <w:vAlign w:val="center"/>
                </w:tcPr>
                <w:p w14:paraId="49BE2414">
                  <w:pPr>
                    <w:pStyle w:val="100"/>
                    <w:spacing w:line="240" w:lineRule="atLeast"/>
                    <w:jc w:val="center"/>
                    <w:rPr>
                      <w:rFonts w:ascii="Times New Roman" w:hAnsi="Times New Roman" w:cs="Times New Roman"/>
                      <w:color w:val="auto"/>
                      <w:spacing w:val="-2"/>
                      <w:sz w:val="21"/>
                      <w:szCs w:val="21"/>
                    </w:rPr>
                  </w:pPr>
                  <w:r>
                    <w:rPr>
                      <w:rFonts w:hint="eastAsia" w:ascii="Times New Roman" w:hAnsi="Times New Roman" w:cs="Times New Roman"/>
                      <w:color w:val="auto"/>
                      <w:spacing w:val="-2"/>
                      <w:sz w:val="21"/>
                      <w:szCs w:val="21"/>
                    </w:rPr>
                    <w:t>80</w:t>
                  </w:r>
                </w:p>
              </w:tc>
              <w:tc>
                <w:tcPr>
                  <w:tcW w:w="499" w:type="pct"/>
                  <w:shd w:val="clear" w:color="auto" w:fill="auto"/>
                  <w:vAlign w:val="center"/>
                </w:tcPr>
                <w:p w14:paraId="07A1FB58">
                  <w:pPr>
                    <w:spacing w:line="260" w:lineRule="exact"/>
                    <w:jc w:val="center"/>
                    <w:rPr>
                      <w:color w:val="auto"/>
                      <w:szCs w:val="21"/>
                    </w:rPr>
                  </w:pPr>
                  <w:r>
                    <w:rPr>
                      <w:rFonts w:hint="eastAsia"/>
                      <w:color w:val="auto"/>
                      <w:szCs w:val="21"/>
                    </w:rPr>
                    <w:t>20</w:t>
                  </w:r>
                </w:p>
              </w:tc>
              <w:tc>
                <w:tcPr>
                  <w:tcW w:w="794" w:type="pct"/>
                  <w:shd w:val="clear" w:color="auto" w:fill="auto"/>
                  <w:vAlign w:val="center"/>
                </w:tcPr>
                <w:p w14:paraId="6A4C71AF">
                  <w:pPr>
                    <w:jc w:val="center"/>
                    <w:rPr>
                      <w:color w:val="auto"/>
                      <w:szCs w:val="21"/>
                    </w:rPr>
                  </w:pPr>
                  <w:r>
                    <w:rPr>
                      <w:rFonts w:hint="eastAsia"/>
                      <w:color w:val="auto"/>
                      <w:szCs w:val="21"/>
                    </w:rPr>
                    <w:t>80</w:t>
                  </w:r>
                </w:p>
              </w:tc>
              <w:tc>
                <w:tcPr>
                  <w:tcW w:w="666" w:type="pct"/>
                  <w:vMerge w:val="continue"/>
                  <w:shd w:val="clear" w:color="auto" w:fill="auto"/>
                  <w:vAlign w:val="center"/>
                </w:tcPr>
                <w:p w14:paraId="7618D7A8">
                  <w:pPr>
                    <w:rPr>
                      <w:color w:val="auto"/>
                      <w:szCs w:val="21"/>
                    </w:rPr>
                  </w:pPr>
                </w:p>
              </w:tc>
              <w:tc>
                <w:tcPr>
                  <w:tcW w:w="902" w:type="pct"/>
                  <w:shd w:val="clear" w:color="auto" w:fill="auto"/>
                  <w:vAlign w:val="center"/>
                </w:tcPr>
                <w:p w14:paraId="79D61FD0">
                  <w:pPr>
                    <w:jc w:val="center"/>
                    <w:rPr>
                      <w:color w:val="auto"/>
                      <w:szCs w:val="21"/>
                    </w:rPr>
                  </w:pPr>
                  <w:r>
                    <w:rPr>
                      <w:rFonts w:hint="eastAsia"/>
                      <w:color w:val="auto"/>
                      <w:szCs w:val="21"/>
                    </w:rPr>
                    <w:t>54</w:t>
                  </w:r>
                </w:p>
              </w:tc>
            </w:tr>
            <w:tr w14:paraId="52DF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17" w:type="pct"/>
                  <w:shd w:val="clear" w:color="auto" w:fill="auto"/>
                  <w:vAlign w:val="center"/>
                </w:tcPr>
                <w:p w14:paraId="48FF3B14">
                  <w:pPr>
                    <w:spacing w:line="260" w:lineRule="exact"/>
                    <w:jc w:val="center"/>
                    <w:rPr>
                      <w:color w:val="auto"/>
                      <w:szCs w:val="21"/>
                      <w:lang w:bidi="ar"/>
                    </w:rPr>
                  </w:pPr>
                  <w:r>
                    <w:rPr>
                      <w:rFonts w:hint="eastAsia"/>
                      <w:color w:val="auto"/>
                      <w:szCs w:val="21"/>
                      <w:lang w:bidi="ar"/>
                    </w:rPr>
                    <w:t>8</w:t>
                  </w:r>
                </w:p>
              </w:tc>
              <w:tc>
                <w:tcPr>
                  <w:tcW w:w="714" w:type="pct"/>
                  <w:shd w:val="clear" w:color="auto" w:fill="auto"/>
                  <w:vAlign w:val="center"/>
                </w:tcPr>
                <w:p w14:paraId="60AD9AB3">
                  <w:pPr>
                    <w:pStyle w:val="100"/>
                    <w:spacing w:line="240" w:lineRule="atLeas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钻床</w:t>
                  </w:r>
                </w:p>
              </w:tc>
              <w:tc>
                <w:tcPr>
                  <w:tcW w:w="1105" w:type="pct"/>
                  <w:shd w:val="clear" w:color="auto" w:fill="auto"/>
                  <w:vAlign w:val="center"/>
                </w:tcPr>
                <w:p w14:paraId="0F34F816">
                  <w:pPr>
                    <w:pStyle w:val="100"/>
                    <w:spacing w:line="240" w:lineRule="atLeast"/>
                    <w:jc w:val="center"/>
                    <w:rPr>
                      <w:rFonts w:ascii="Times New Roman" w:hAnsi="Times New Roman" w:cs="Times New Roman"/>
                      <w:color w:val="auto"/>
                      <w:spacing w:val="-2"/>
                      <w:sz w:val="21"/>
                      <w:szCs w:val="21"/>
                    </w:rPr>
                  </w:pPr>
                  <w:r>
                    <w:rPr>
                      <w:rFonts w:hint="eastAsia" w:ascii="Times New Roman" w:hAnsi="Times New Roman" w:cs="Times New Roman"/>
                      <w:color w:val="auto"/>
                      <w:spacing w:val="-2"/>
                      <w:sz w:val="21"/>
                      <w:szCs w:val="21"/>
                    </w:rPr>
                    <w:t>85</w:t>
                  </w:r>
                </w:p>
              </w:tc>
              <w:tc>
                <w:tcPr>
                  <w:tcW w:w="499" w:type="pct"/>
                  <w:shd w:val="clear" w:color="auto" w:fill="auto"/>
                  <w:vAlign w:val="center"/>
                </w:tcPr>
                <w:p w14:paraId="5DD05E7F">
                  <w:pPr>
                    <w:spacing w:line="260" w:lineRule="exact"/>
                    <w:jc w:val="center"/>
                    <w:rPr>
                      <w:color w:val="auto"/>
                      <w:szCs w:val="21"/>
                    </w:rPr>
                  </w:pPr>
                  <w:r>
                    <w:rPr>
                      <w:rFonts w:hint="eastAsia"/>
                      <w:color w:val="auto"/>
                      <w:szCs w:val="21"/>
                    </w:rPr>
                    <w:t>50</w:t>
                  </w:r>
                </w:p>
              </w:tc>
              <w:tc>
                <w:tcPr>
                  <w:tcW w:w="794" w:type="pct"/>
                  <w:shd w:val="clear" w:color="auto" w:fill="auto"/>
                  <w:vAlign w:val="center"/>
                </w:tcPr>
                <w:p w14:paraId="7553B183">
                  <w:pPr>
                    <w:jc w:val="center"/>
                    <w:rPr>
                      <w:color w:val="auto"/>
                      <w:szCs w:val="21"/>
                    </w:rPr>
                  </w:pPr>
                  <w:r>
                    <w:rPr>
                      <w:rFonts w:hint="eastAsia"/>
                      <w:color w:val="auto"/>
                      <w:szCs w:val="21"/>
                    </w:rPr>
                    <w:t>85</w:t>
                  </w:r>
                </w:p>
              </w:tc>
              <w:tc>
                <w:tcPr>
                  <w:tcW w:w="666" w:type="pct"/>
                  <w:vMerge w:val="continue"/>
                  <w:shd w:val="clear" w:color="auto" w:fill="auto"/>
                  <w:vAlign w:val="center"/>
                </w:tcPr>
                <w:p w14:paraId="551E133F">
                  <w:pPr>
                    <w:rPr>
                      <w:color w:val="auto"/>
                      <w:szCs w:val="21"/>
                    </w:rPr>
                  </w:pPr>
                </w:p>
              </w:tc>
              <w:tc>
                <w:tcPr>
                  <w:tcW w:w="902" w:type="pct"/>
                  <w:shd w:val="clear" w:color="auto" w:fill="auto"/>
                  <w:vAlign w:val="center"/>
                </w:tcPr>
                <w:p w14:paraId="44D4AEB8">
                  <w:pPr>
                    <w:jc w:val="center"/>
                    <w:rPr>
                      <w:color w:val="auto"/>
                      <w:szCs w:val="21"/>
                    </w:rPr>
                  </w:pPr>
                  <w:r>
                    <w:rPr>
                      <w:rFonts w:hint="eastAsia"/>
                      <w:color w:val="auto"/>
                      <w:szCs w:val="21"/>
                    </w:rPr>
                    <w:t>60</w:t>
                  </w:r>
                </w:p>
              </w:tc>
            </w:tr>
            <w:tr w14:paraId="179E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17" w:type="pct"/>
                  <w:shd w:val="clear" w:color="auto" w:fill="auto"/>
                  <w:vAlign w:val="center"/>
                </w:tcPr>
                <w:p w14:paraId="5C9349A0">
                  <w:pPr>
                    <w:spacing w:line="260" w:lineRule="exact"/>
                    <w:jc w:val="center"/>
                    <w:rPr>
                      <w:color w:val="auto"/>
                      <w:szCs w:val="21"/>
                      <w:lang w:bidi="ar"/>
                    </w:rPr>
                  </w:pPr>
                  <w:r>
                    <w:rPr>
                      <w:rFonts w:hint="eastAsia"/>
                      <w:color w:val="auto"/>
                      <w:szCs w:val="21"/>
                      <w:lang w:bidi="ar"/>
                    </w:rPr>
                    <w:t>9</w:t>
                  </w:r>
                </w:p>
              </w:tc>
              <w:tc>
                <w:tcPr>
                  <w:tcW w:w="714" w:type="pct"/>
                  <w:shd w:val="clear" w:color="auto" w:fill="auto"/>
                  <w:vAlign w:val="center"/>
                </w:tcPr>
                <w:p w14:paraId="490FBDDE">
                  <w:pPr>
                    <w:pStyle w:val="100"/>
                    <w:spacing w:line="240" w:lineRule="atLeas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冲床</w:t>
                  </w:r>
                </w:p>
              </w:tc>
              <w:tc>
                <w:tcPr>
                  <w:tcW w:w="1105" w:type="pct"/>
                  <w:shd w:val="clear" w:color="auto" w:fill="auto"/>
                  <w:vAlign w:val="center"/>
                </w:tcPr>
                <w:p w14:paraId="55955B5C">
                  <w:pPr>
                    <w:pStyle w:val="100"/>
                    <w:spacing w:line="240" w:lineRule="atLeast"/>
                    <w:jc w:val="center"/>
                    <w:rPr>
                      <w:rFonts w:ascii="Times New Roman" w:hAnsi="Times New Roman" w:cs="Times New Roman"/>
                      <w:color w:val="auto"/>
                      <w:spacing w:val="-2"/>
                      <w:sz w:val="21"/>
                      <w:szCs w:val="21"/>
                    </w:rPr>
                  </w:pPr>
                  <w:r>
                    <w:rPr>
                      <w:rFonts w:hint="eastAsia" w:ascii="Times New Roman" w:hAnsi="Times New Roman" w:cs="Times New Roman"/>
                      <w:color w:val="auto"/>
                      <w:spacing w:val="-2"/>
                      <w:sz w:val="21"/>
                      <w:szCs w:val="21"/>
                    </w:rPr>
                    <w:t>75</w:t>
                  </w:r>
                </w:p>
              </w:tc>
              <w:tc>
                <w:tcPr>
                  <w:tcW w:w="499" w:type="pct"/>
                  <w:shd w:val="clear" w:color="auto" w:fill="auto"/>
                  <w:vAlign w:val="center"/>
                </w:tcPr>
                <w:p w14:paraId="7A412C15">
                  <w:pPr>
                    <w:spacing w:line="260" w:lineRule="exact"/>
                    <w:jc w:val="center"/>
                    <w:rPr>
                      <w:color w:val="auto"/>
                      <w:szCs w:val="21"/>
                    </w:rPr>
                  </w:pPr>
                  <w:r>
                    <w:rPr>
                      <w:rFonts w:hint="eastAsia"/>
                      <w:color w:val="auto"/>
                      <w:szCs w:val="21"/>
                    </w:rPr>
                    <w:t>5</w:t>
                  </w:r>
                </w:p>
              </w:tc>
              <w:tc>
                <w:tcPr>
                  <w:tcW w:w="794" w:type="pct"/>
                  <w:shd w:val="clear" w:color="auto" w:fill="auto"/>
                  <w:vAlign w:val="center"/>
                </w:tcPr>
                <w:p w14:paraId="67DF770E">
                  <w:pPr>
                    <w:jc w:val="center"/>
                    <w:rPr>
                      <w:color w:val="auto"/>
                      <w:szCs w:val="21"/>
                    </w:rPr>
                  </w:pPr>
                  <w:r>
                    <w:rPr>
                      <w:rFonts w:hint="eastAsia"/>
                      <w:color w:val="auto"/>
                      <w:szCs w:val="21"/>
                    </w:rPr>
                    <w:t>75</w:t>
                  </w:r>
                </w:p>
              </w:tc>
              <w:tc>
                <w:tcPr>
                  <w:tcW w:w="666" w:type="pct"/>
                  <w:vMerge w:val="continue"/>
                  <w:shd w:val="clear" w:color="auto" w:fill="auto"/>
                  <w:vAlign w:val="center"/>
                </w:tcPr>
                <w:p w14:paraId="09683BA3">
                  <w:pPr>
                    <w:rPr>
                      <w:color w:val="auto"/>
                      <w:szCs w:val="21"/>
                    </w:rPr>
                  </w:pPr>
                </w:p>
              </w:tc>
              <w:tc>
                <w:tcPr>
                  <w:tcW w:w="902" w:type="pct"/>
                  <w:shd w:val="clear" w:color="auto" w:fill="auto"/>
                  <w:vAlign w:val="center"/>
                </w:tcPr>
                <w:p w14:paraId="47D01C89">
                  <w:pPr>
                    <w:jc w:val="center"/>
                    <w:rPr>
                      <w:color w:val="auto"/>
                      <w:szCs w:val="21"/>
                    </w:rPr>
                  </w:pPr>
                  <w:r>
                    <w:rPr>
                      <w:rFonts w:hint="eastAsia"/>
                      <w:color w:val="auto"/>
                      <w:szCs w:val="21"/>
                    </w:rPr>
                    <w:t>43</w:t>
                  </w:r>
                </w:p>
              </w:tc>
            </w:tr>
            <w:tr w14:paraId="0D8F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17" w:type="pct"/>
                  <w:shd w:val="clear" w:color="auto" w:fill="auto"/>
                  <w:vAlign w:val="center"/>
                </w:tcPr>
                <w:p w14:paraId="3CE9AD16">
                  <w:pPr>
                    <w:spacing w:line="260" w:lineRule="exact"/>
                    <w:jc w:val="center"/>
                    <w:rPr>
                      <w:color w:val="auto"/>
                      <w:szCs w:val="21"/>
                      <w:lang w:bidi="ar"/>
                    </w:rPr>
                  </w:pPr>
                  <w:r>
                    <w:rPr>
                      <w:rFonts w:hint="eastAsia"/>
                      <w:color w:val="auto"/>
                      <w:szCs w:val="21"/>
                      <w:lang w:bidi="ar"/>
                    </w:rPr>
                    <w:t>10</w:t>
                  </w:r>
                </w:p>
              </w:tc>
              <w:tc>
                <w:tcPr>
                  <w:tcW w:w="714" w:type="pct"/>
                  <w:shd w:val="clear" w:color="auto" w:fill="auto"/>
                  <w:vAlign w:val="center"/>
                </w:tcPr>
                <w:p w14:paraId="1F9CB7A0">
                  <w:pPr>
                    <w:pStyle w:val="100"/>
                    <w:spacing w:line="240" w:lineRule="atLeas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叉车</w:t>
                  </w:r>
                </w:p>
              </w:tc>
              <w:tc>
                <w:tcPr>
                  <w:tcW w:w="1105" w:type="pct"/>
                  <w:shd w:val="clear" w:color="auto" w:fill="auto"/>
                  <w:vAlign w:val="center"/>
                </w:tcPr>
                <w:p w14:paraId="42FCF71C">
                  <w:pPr>
                    <w:pStyle w:val="100"/>
                    <w:spacing w:line="240" w:lineRule="atLeast"/>
                    <w:jc w:val="center"/>
                    <w:rPr>
                      <w:rFonts w:ascii="Times New Roman" w:hAnsi="Times New Roman" w:cs="Times New Roman"/>
                      <w:color w:val="auto"/>
                      <w:spacing w:val="-2"/>
                      <w:sz w:val="21"/>
                      <w:szCs w:val="21"/>
                    </w:rPr>
                  </w:pPr>
                  <w:r>
                    <w:rPr>
                      <w:rFonts w:hint="eastAsia" w:ascii="Times New Roman" w:hAnsi="Times New Roman" w:cs="Times New Roman"/>
                      <w:color w:val="auto"/>
                      <w:spacing w:val="-2"/>
                      <w:sz w:val="21"/>
                      <w:szCs w:val="21"/>
                    </w:rPr>
                    <w:t>90</w:t>
                  </w:r>
                </w:p>
              </w:tc>
              <w:tc>
                <w:tcPr>
                  <w:tcW w:w="499" w:type="pct"/>
                  <w:shd w:val="clear" w:color="auto" w:fill="auto"/>
                  <w:vAlign w:val="center"/>
                </w:tcPr>
                <w:p w14:paraId="5A15B511">
                  <w:pPr>
                    <w:spacing w:line="260" w:lineRule="exact"/>
                    <w:jc w:val="center"/>
                    <w:rPr>
                      <w:color w:val="auto"/>
                      <w:szCs w:val="21"/>
                    </w:rPr>
                  </w:pPr>
                  <w:r>
                    <w:rPr>
                      <w:rFonts w:hint="eastAsia"/>
                      <w:color w:val="auto"/>
                      <w:szCs w:val="21"/>
                    </w:rPr>
                    <w:t>3</w:t>
                  </w:r>
                </w:p>
              </w:tc>
              <w:tc>
                <w:tcPr>
                  <w:tcW w:w="794" w:type="pct"/>
                  <w:shd w:val="clear" w:color="auto" w:fill="auto"/>
                  <w:vAlign w:val="center"/>
                </w:tcPr>
                <w:p w14:paraId="39FDD2D1">
                  <w:pPr>
                    <w:jc w:val="center"/>
                    <w:rPr>
                      <w:color w:val="auto"/>
                      <w:szCs w:val="21"/>
                    </w:rPr>
                  </w:pPr>
                  <w:r>
                    <w:rPr>
                      <w:rFonts w:hint="eastAsia"/>
                      <w:color w:val="auto"/>
                      <w:szCs w:val="21"/>
                    </w:rPr>
                    <w:t>90</w:t>
                  </w:r>
                </w:p>
              </w:tc>
              <w:tc>
                <w:tcPr>
                  <w:tcW w:w="666" w:type="pct"/>
                  <w:vMerge w:val="continue"/>
                  <w:shd w:val="clear" w:color="auto" w:fill="auto"/>
                  <w:vAlign w:val="center"/>
                </w:tcPr>
                <w:p w14:paraId="6243C32C">
                  <w:pPr>
                    <w:rPr>
                      <w:color w:val="auto"/>
                      <w:szCs w:val="21"/>
                    </w:rPr>
                  </w:pPr>
                </w:p>
              </w:tc>
              <w:tc>
                <w:tcPr>
                  <w:tcW w:w="902" w:type="pct"/>
                  <w:shd w:val="clear" w:color="auto" w:fill="auto"/>
                  <w:vAlign w:val="center"/>
                </w:tcPr>
                <w:p w14:paraId="7169AD26">
                  <w:pPr>
                    <w:jc w:val="center"/>
                    <w:rPr>
                      <w:color w:val="auto"/>
                      <w:szCs w:val="21"/>
                    </w:rPr>
                  </w:pPr>
                  <w:r>
                    <w:rPr>
                      <w:rFonts w:hint="eastAsia"/>
                      <w:color w:val="auto"/>
                      <w:szCs w:val="21"/>
                    </w:rPr>
                    <w:t>60</w:t>
                  </w:r>
                </w:p>
              </w:tc>
            </w:tr>
          </w:tbl>
          <w:p w14:paraId="153CCF86">
            <w:pPr>
              <w:spacing w:line="360" w:lineRule="auto"/>
              <w:ind w:firstLine="471"/>
              <w:rPr>
                <w:b/>
                <w:bCs/>
                <w:snapToGrid w:val="0"/>
                <w:color w:val="auto"/>
                <w:spacing w:val="-2"/>
                <w:kern w:val="0"/>
                <w:sz w:val="24"/>
              </w:rPr>
            </w:pPr>
            <w:r>
              <w:rPr>
                <w:b/>
                <w:bCs/>
                <w:snapToGrid w:val="0"/>
                <w:color w:val="auto"/>
                <w:spacing w:val="-2"/>
                <w:kern w:val="0"/>
                <w:sz w:val="24"/>
              </w:rPr>
              <w:t>3.2噪声预测</w:t>
            </w:r>
          </w:p>
          <w:p w14:paraId="4435F94C">
            <w:pPr>
              <w:spacing w:line="360" w:lineRule="auto"/>
              <w:ind w:firstLine="471"/>
              <w:rPr>
                <w:snapToGrid w:val="0"/>
                <w:color w:val="auto"/>
                <w:spacing w:val="-2"/>
                <w:kern w:val="0"/>
                <w:sz w:val="24"/>
              </w:rPr>
            </w:pPr>
            <w:r>
              <w:rPr>
                <w:snapToGrid w:val="0"/>
                <w:color w:val="auto"/>
                <w:spacing w:val="-2"/>
                <w:kern w:val="0"/>
                <w:sz w:val="24"/>
              </w:rPr>
              <w:t>根据拟建项目设备声源的特征和周围声学环境的特点，项目设备声源为室内声源，穿透墙体结构向户外扩散，依据《环境影响评价技术导则 声环境》（HJ2.4-2021）附录A、附录B中数学模型进行计算预测。</w:t>
            </w:r>
          </w:p>
          <w:p w14:paraId="3A54979E">
            <w:pPr>
              <w:spacing w:line="360" w:lineRule="auto"/>
              <w:ind w:firstLine="471"/>
              <w:rPr>
                <w:bCs/>
                <w:snapToGrid w:val="0"/>
                <w:color w:val="auto"/>
                <w:spacing w:val="-2"/>
                <w:kern w:val="0"/>
                <w:sz w:val="24"/>
              </w:rPr>
            </w:pPr>
            <w:r>
              <w:rPr>
                <w:bCs/>
                <w:snapToGrid w:val="0"/>
                <w:color w:val="auto"/>
                <w:spacing w:val="-2"/>
                <w:kern w:val="0"/>
                <w:sz w:val="24"/>
              </w:rPr>
              <w:t>（1）室内声源等效室外声源声功率级计算方法</w:t>
            </w:r>
          </w:p>
          <w:p w14:paraId="27C167F7">
            <w:pPr>
              <w:spacing w:line="360" w:lineRule="auto"/>
              <w:ind w:firstLine="471"/>
              <w:rPr>
                <w:snapToGrid w:val="0"/>
                <w:color w:val="auto"/>
                <w:spacing w:val="-2"/>
                <w:kern w:val="0"/>
                <w:sz w:val="24"/>
              </w:rPr>
            </w:pPr>
            <w:r>
              <w:rPr>
                <w:snapToGrid w:val="0"/>
                <w:color w:val="auto"/>
                <w:spacing w:val="-2"/>
                <w:kern w:val="0"/>
                <w:sz w:val="24"/>
              </w:rPr>
              <w:t>室内声源</w:t>
            </w:r>
            <w:r>
              <w:rPr>
                <w:color w:val="auto"/>
                <w:spacing w:val="-2"/>
                <w:sz w:val="24"/>
              </w:rPr>
              <w:t>选用等效室外声源声功率级法进行计算，具体室外L</w:t>
            </w:r>
            <w:r>
              <w:rPr>
                <w:color w:val="auto"/>
                <w:spacing w:val="-2"/>
                <w:sz w:val="24"/>
                <w:vertAlign w:val="subscript"/>
              </w:rPr>
              <w:t>p2</w:t>
            </w:r>
            <w:r>
              <w:rPr>
                <w:color w:val="auto"/>
                <w:spacing w:val="-2"/>
                <w:sz w:val="24"/>
              </w:rPr>
              <w:t xml:space="preserve">按下式计算： </w:t>
            </w:r>
          </w:p>
          <w:p w14:paraId="4B0AE0C0">
            <w:pPr>
              <w:spacing w:line="360" w:lineRule="auto"/>
              <w:ind w:firstLine="480"/>
              <w:jc w:val="center"/>
              <w:rPr>
                <w:color w:val="auto"/>
                <w:position w:val="-30"/>
              </w:rPr>
            </w:pPr>
            <w:r>
              <w:rPr>
                <w:color w:val="auto"/>
                <w:position w:val="-14"/>
              </w:rPr>
              <w:object>
                <v:shape id="_x0000_i1025" o:spt="75" type="#_x0000_t75" style="height:21.3pt;width:100.4pt;" o:ole="t" filled="f" o:preferrelative="t" stroked="f" coordsize="21600,21600">
                  <v:path/>
                  <v:fill on="f" focussize="0,0"/>
                  <v:stroke on="f" joinstyle="miter"/>
                  <v:imagedata r:id="rId10" embosscolor="#FFFFFF" o:title=""/>
                  <o:lock v:ext="edit" aspectratio="t"/>
                  <w10:wrap type="none"/>
                  <w10:anchorlock/>
                </v:shape>
                <o:OLEObject Type="Embed" ProgID="Equation.3" ShapeID="_x0000_i1025" DrawAspect="Content" ObjectID="_1468075725" r:id="rId9">
                  <o:LockedField>false</o:LockedField>
                </o:OLEObject>
              </w:object>
            </w:r>
          </w:p>
          <w:p w14:paraId="22B77D9E">
            <w:pPr>
              <w:spacing w:line="360" w:lineRule="auto"/>
              <w:ind w:firstLine="480"/>
              <w:jc w:val="left"/>
              <w:rPr>
                <w:color w:val="auto"/>
                <w:sz w:val="24"/>
              </w:rPr>
            </w:pPr>
            <w:r>
              <w:rPr>
                <w:color w:val="auto"/>
                <w:sz w:val="24"/>
              </w:rPr>
              <w:t>L</w:t>
            </w:r>
            <w:r>
              <w:rPr>
                <w:color w:val="auto"/>
                <w:sz w:val="24"/>
                <w:vertAlign w:val="subscript"/>
              </w:rPr>
              <w:t>p1</w:t>
            </w:r>
            <w:r>
              <w:rPr>
                <w:color w:val="auto"/>
                <w:sz w:val="24"/>
              </w:rPr>
              <w:t>为室内靠近围护结构处产生的A声级：</w:t>
            </w:r>
          </w:p>
          <w:p w14:paraId="573072D6">
            <w:pPr>
              <w:spacing w:line="360" w:lineRule="auto"/>
              <w:ind w:firstLine="480" w:firstLineChars="200"/>
              <w:jc w:val="center"/>
              <w:rPr>
                <w:bCs/>
                <w:color w:val="auto"/>
                <w:sz w:val="24"/>
              </w:rPr>
            </w:pPr>
            <m:oMathPara>
              <m:oMath>
                <m:sSub>
                  <m:sSubPr>
                    <m:ctrlPr>
                      <w:rPr>
                        <w:rFonts w:ascii="Cambria Math" w:hAnsi="Cambria Math"/>
                        <w:bCs/>
                        <w:i/>
                        <w:color w:val="auto"/>
                        <w:sz w:val="24"/>
                      </w:rPr>
                    </m:ctrlPr>
                  </m:sSubPr>
                  <m:e>
                    <m:r>
                      <m:rPr/>
                      <w:rPr>
                        <w:rFonts w:ascii="Cambria Math" w:hAnsi="Cambria Math"/>
                        <w:color w:val="auto"/>
                        <w:sz w:val="24"/>
                      </w:rPr>
                      <m:t>L</m:t>
                    </m:r>
                    <m:ctrlPr>
                      <w:rPr>
                        <w:rFonts w:ascii="Cambria Math" w:hAnsi="Cambria Math"/>
                        <w:bCs/>
                        <w:i/>
                        <w:color w:val="auto"/>
                        <w:sz w:val="24"/>
                      </w:rPr>
                    </m:ctrlPr>
                  </m:e>
                  <m:sub>
                    <m:r>
                      <m:rPr>
                        <m:sty m:val="p"/>
                      </m:rPr>
                      <w:rPr>
                        <w:rFonts w:ascii="Cambria Math" w:hAnsi="Cambria Math"/>
                        <w:color w:val="auto"/>
                        <w:sz w:val="24"/>
                      </w:rPr>
                      <m:t>p1</m:t>
                    </m:r>
                    <m:ctrlPr>
                      <w:rPr>
                        <w:rFonts w:ascii="Cambria Math" w:hAnsi="Cambria Math"/>
                        <w:bCs/>
                        <w:i/>
                        <w:color w:val="auto"/>
                        <w:sz w:val="24"/>
                      </w:rPr>
                    </m:ctrlPr>
                  </m:sub>
                </m:sSub>
                <m:r>
                  <m:rPr>
                    <m:sty m:val="p"/>
                  </m:rPr>
                  <w:rPr>
                    <w:rFonts w:ascii="Cambria Math" w:hAnsi="Cambria Math"/>
                    <w:color w:val="auto"/>
                    <w:sz w:val="24"/>
                  </w:rPr>
                  <m:t>=</m:t>
                </m:r>
                <m:sSub>
                  <m:sSubPr>
                    <m:ctrlPr>
                      <w:rPr>
                        <w:rFonts w:ascii="Cambria Math" w:hAnsi="Cambria Math"/>
                        <w:bCs/>
                        <w:i/>
                        <w:color w:val="auto"/>
                        <w:sz w:val="24"/>
                      </w:rPr>
                    </m:ctrlPr>
                  </m:sSubPr>
                  <m:e>
                    <m:r>
                      <m:rPr/>
                      <w:rPr>
                        <w:rFonts w:ascii="Cambria Math" w:hAnsi="Cambria Math"/>
                        <w:color w:val="auto"/>
                        <w:sz w:val="24"/>
                      </w:rPr>
                      <m:t>L</m:t>
                    </m:r>
                    <m:ctrlPr>
                      <w:rPr>
                        <w:rFonts w:ascii="Cambria Math" w:hAnsi="Cambria Math"/>
                        <w:bCs/>
                        <w:i/>
                        <w:color w:val="auto"/>
                        <w:sz w:val="24"/>
                      </w:rPr>
                    </m:ctrlPr>
                  </m:e>
                  <m:sub>
                    <m:r>
                      <m:rPr>
                        <m:sty m:val="p"/>
                      </m:rPr>
                      <w:rPr>
                        <w:rFonts w:ascii="Cambria Math" w:hAnsi="Cambria Math"/>
                        <w:color w:val="auto"/>
                        <w:sz w:val="24"/>
                      </w:rPr>
                      <m:t>w</m:t>
                    </m:r>
                    <m:ctrlPr>
                      <w:rPr>
                        <w:rFonts w:ascii="Cambria Math" w:hAnsi="Cambria Math"/>
                        <w:bCs/>
                        <w:i/>
                        <w:color w:val="auto"/>
                        <w:sz w:val="24"/>
                      </w:rPr>
                    </m:ctrlPr>
                  </m:sub>
                </m:sSub>
                <m:r>
                  <m:rPr>
                    <m:sty m:val="p"/>
                  </m:rPr>
                  <w:rPr>
                    <w:rFonts w:ascii="Cambria Math" w:hAnsi="Cambria Math"/>
                    <w:color w:val="auto"/>
                    <w:sz w:val="24"/>
                  </w:rPr>
                  <m:t>+10lg</m:t>
                </m:r>
                <m:d>
                  <m:dPr>
                    <m:ctrlPr>
                      <w:rPr>
                        <w:rFonts w:ascii="Cambria Math" w:hAnsi="Cambria Math"/>
                        <w:bCs/>
                        <w:color w:val="auto"/>
                        <w:sz w:val="24"/>
                      </w:rPr>
                    </m:ctrlPr>
                  </m:dPr>
                  <m:e>
                    <m:f>
                      <m:fPr>
                        <m:ctrlPr>
                          <w:rPr>
                            <w:rFonts w:ascii="Cambria Math" w:hAnsi="Cambria Math"/>
                            <w:bCs/>
                            <w:i/>
                            <w:color w:val="auto"/>
                            <w:sz w:val="24"/>
                          </w:rPr>
                        </m:ctrlPr>
                      </m:fPr>
                      <m:num>
                        <m:r>
                          <m:rPr/>
                          <w:rPr>
                            <w:rFonts w:ascii="Cambria Math" w:hAnsi="Cambria Math"/>
                            <w:color w:val="auto"/>
                            <w:sz w:val="24"/>
                          </w:rPr>
                          <m:t>Q</m:t>
                        </m:r>
                        <m:ctrlPr>
                          <w:rPr>
                            <w:rFonts w:ascii="Cambria Math" w:hAnsi="Cambria Math"/>
                            <w:bCs/>
                            <w:i/>
                            <w:color w:val="auto"/>
                            <w:sz w:val="24"/>
                          </w:rPr>
                        </m:ctrlPr>
                      </m:num>
                      <m:den>
                        <m:r>
                          <m:rPr/>
                          <w:rPr>
                            <w:rFonts w:ascii="Cambria Math" w:hAnsi="Cambria Math"/>
                            <w:color w:val="auto"/>
                            <w:sz w:val="24"/>
                          </w:rPr>
                          <m:t>4π</m:t>
                        </m:r>
                        <m:sSup>
                          <m:sSupPr>
                            <m:ctrlPr>
                              <w:rPr>
                                <w:rFonts w:ascii="Cambria Math" w:hAnsi="Cambria Math"/>
                                <w:color w:val="auto"/>
                                <w:sz w:val="24"/>
                              </w:rPr>
                            </m:ctrlPr>
                          </m:sSupPr>
                          <m:e>
                            <m:r>
                              <m:rPr/>
                              <w:rPr>
                                <w:rFonts w:ascii="Cambria Math" w:hAnsi="Cambria Math"/>
                                <w:color w:val="auto"/>
                                <w:sz w:val="24"/>
                              </w:rPr>
                              <m:t>r</m:t>
                            </m:r>
                            <m:ctrlPr>
                              <w:rPr>
                                <w:rFonts w:ascii="Cambria Math" w:hAnsi="Cambria Math"/>
                                <w:color w:val="auto"/>
                                <w:sz w:val="24"/>
                              </w:rPr>
                            </m:ctrlPr>
                          </m:e>
                          <m:sup>
                            <m:r>
                              <m:rPr/>
                              <w:rPr>
                                <w:rFonts w:ascii="Cambria Math" w:hAnsi="Cambria Math"/>
                                <w:color w:val="auto"/>
                                <w:sz w:val="24"/>
                              </w:rPr>
                              <m:t>2</m:t>
                            </m:r>
                            <m:ctrlPr>
                              <w:rPr>
                                <w:rFonts w:ascii="Cambria Math" w:hAnsi="Cambria Math"/>
                                <w:color w:val="auto"/>
                                <w:sz w:val="24"/>
                              </w:rPr>
                            </m:ctrlPr>
                          </m:sup>
                        </m:sSup>
                        <m:ctrlPr>
                          <w:rPr>
                            <w:rFonts w:ascii="Cambria Math" w:hAnsi="Cambria Math"/>
                            <w:bCs/>
                            <w:i/>
                            <w:color w:val="auto"/>
                            <w:sz w:val="24"/>
                          </w:rPr>
                        </m:ctrlPr>
                      </m:den>
                    </m:f>
                    <m:r>
                      <m:rPr/>
                      <w:rPr>
                        <w:rFonts w:ascii="Cambria Math" w:hAnsi="Cambria Math"/>
                        <w:color w:val="auto"/>
                        <w:sz w:val="24"/>
                      </w:rPr>
                      <m:t>+</m:t>
                    </m:r>
                    <m:f>
                      <m:fPr>
                        <m:ctrlPr>
                          <w:rPr>
                            <w:rFonts w:ascii="Cambria Math" w:hAnsi="Cambria Math"/>
                            <w:bCs/>
                            <w:i/>
                            <w:color w:val="auto"/>
                            <w:sz w:val="24"/>
                          </w:rPr>
                        </m:ctrlPr>
                      </m:fPr>
                      <m:num>
                        <m:r>
                          <m:rPr/>
                          <w:rPr>
                            <w:rFonts w:ascii="Cambria Math" w:hAnsi="Cambria Math"/>
                            <w:color w:val="auto"/>
                            <w:sz w:val="24"/>
                          </w:rPr>
                          <m:t>4</m:t>
                        </m:r>
                        <m:ctrlPr>
                          <w:rPr>
                            <w:rFonts w:ascii="Cambria Math" w:hAnsi="Cambria Math"/>
                            <w:bCs/>
                            <w:i/>
                            <w:color w:val="auto"/>
                            <w:sz w:val="24"/>
                          </w:rPr>
                        </m:ctrlPr>
                      </m:num>
                      <m:den>
                        <m:r>
                          <m:rPr/>
                          <w:rPr>
                            <w:rFonts w:ascii="Cambria Math" w:hAnsi="Cambria Math"/>
                            <w:color w:val="auto"/>
                            <w:sz w:val="24"/>
                          </w:rPr>
                          <m:t>R</m:t>
                        </m:r>
                        <m:ctrlPr>
                          <w:rPr>
                            <w:rFonts w:ascii="Cambria Math" w:hAnsi="Cambria Math"/>
                            <w:bCs/>
                            <w:i/>
                            <w:color w:val="auto"/>
                            <w:sz w:val="24"/>
                          </w:rPr>
                        </m:ctrlPr>
                      </m:den>
                    </m:f>
                    <m:ctrlPr>
                      <w:rPr>
                        <w:rFonts w:ascii="Cambria Math" w:hAnsi="Cambria Math"/>
                        <w:bCs/>
                        <w:color w:val="auto"/>
                        <w:sz w:val="24"/>
                      </w:rPr>
                    </m:ctrlPr>
                  </m:e>
                </m:d>
              </m:oMath>
            </m:oMathPara>
          </w:p>
          <w:p w14:paraId="47AB5D84">
            <w:pPr>
              <w:spacing w:line="360" w:lineRule="auto"/>
              <w:ind w:firstLine="480" w:firstLineChars="200"/>
              <w:jc w:val="left"/>
              <w:rPr>
                <w:bCs/>
                <w:color w:val="auto"/>
                <w:sz w:val="24"/>
              </w:rPr>
            </w:pPr>
            <w:r>
              <w:rPr>
                <w:bCs/>
                <w:color w:val="auto"/>
                <w:sz w:val="24"/>
              </w:rPr>
              <w:t>L</w:t>
            </w:r>
            <w:r>
              <w:rPr>
                <w:bCs/>
                <w:color w:val="auto"/>
                <w:sz w:val="24"/>
                <w:vertAlign w:val="subscript"/>
              </w:rPr>
              <w:t>w</w:t>
            </w:r>
            <w:r>
              <w:rPr>
                <w:bCs/>
                <w:color w:val="auto"/>
                <w:sz w:val="24"/>
              </w:rPr>
              <w:t>中心位置位于透声面积（S）处的等效声源的倍频带声率级：</w:t>
            </w:r>
          </w:p>
          <w:p w14:paraId="4EFEBB35">
            <w:pPr>
              <w:spacing w:line="360" w:lineRule="auto"/>
              <w:ind w:firstLine="480" w:firstLineChars="200"/>
              <w:jc w:val="center"/>
              <w:rPr>
                <w:color w:val="auto"/>
                <w:sz w:val="24"/>
              </w:rPr>
            </w:pPr>
            <m:oMathPara>
              <m:oMath>
                <m:sSub>
                  <m:sSubPr>
                    <m:ctrlPr>
                      <w:rPr>
                        <w:rFonts w:ascii="Cambria Math" w:hAnsi="Cambria Math"/>
                        <w:bCs/>
                        <w:i/>
                        <w:color w:val="auto"/>
                        <w:sz w:val="24"/>
                      </w:rPr>
                    </m:ctrlPr>
                  </m:sSubPr>
                  <m:e>
                    <m:r>
                      <m:rPr/>
                      <w:rPr>
                        <w:rFonts w:ascii="Cambria Math" w:hAnsi="Cambria Math"/>
                        <w:color w:val="auto"/>
                        <w:sz w:val="24"/>
                      </w:rPr>
                      <m:t>L</m:t>
                    </m:r>
                    <m:ctrlPr>
                      <w:rPr>
                        <w:rFonts w:ascii="Cambria Math" w:hAnsi="Cambria Math"/>
                        <w:bCs/>
                        <w:i/>
                        <w:color w:val="auto"/>
                        <w:sz w:val="24"/>
                      </w:rPr>
                    </m:ctrlPr>
                  </m:e>
                  <m:sub>
                    <m:r>
                      <m:rPr>
                        <m:sty m:val="p"/>
                      </m:rPr>
                      <w:rPr>
                        <w:rFonts w:ascii="Cambria Math" w:hAnsi="Cambria Math"/>
                        <w:color w:val="auto"/>
                        <w:sz w:val="24"/>
                      </w:rPr>
                      <m:t>w</m:t>
                    </m:r>
                    <m:ctrlPr>
                      <w:rPr>
                        <w:rFonts w:ascii="Cambria Math" w:hAnsi="Cambria Math"/>
                        <w:bCs/>
                        <w:i/>
                        <w:color w:val="auto"/>
                        <w:sz w:val="24"/>
                      </w:rPr>
                    </m:ctrlPr>
                  </m:sub>
                </m:sSub>
                <m:r>
                  <m:rPr>
                    <m:sty m:val="p"/>
                  </m:rPr>
                  <w:rPr>
                    <w:rFonts w:ascii="Cambria Math" w:hAnsi="Cambria Math"/>
                    <w:color w:val="auto"/>
                    <w:sz w:val="24"/>
                  </w:rPr>
                  <m:t>=</m:t>
                </m:r>
                <m:sSub>
                  <m:sSubPr>
                    <m:ctrlPr>
                      <w:rPr>
                        <w:rFonts w:ascii="Cambria Math" w:hAnsi="Cambria Math"/>
                        <w:bCs/>
                        <w:i/>
                        <w:color w:val="auto"/>
                        <w:sz w:val="24"/>
                      </w:rPr>
                    </m:ctrlPr>
                  </m:sSubPr>
                  <m:e>
                    <m:r>
                      <m:rPr/>
                      <w:rPr>
                        <w:rFonts w:ascii="Cambria Math" w:hAnsi="Cambria Math"/>
                        <w:color w:val="auto"/>
                        <w:sz w:val="24"/>
                      </w:rPr>
                      <m:t>L</m:t>
                    </m:r>
                    <m:ctrlPr>
                      <w:rPr>
                        <w:rFonts w:ascii="Cambria Math" w:hAnsi="Cambria Math"/>
                        <w:bCs/>
                        <w:i/>
                        <w:color w:val="auto"/>
                        <w:sz w:val="24"/>
                      </w:rPr>
                    </m:ctrlPr>
                  </m:e>
                  <m:sub>
                    <m:r>
                      <m:rPr>
                        <m:sty m:val="p"/>
                      </m:rPr>
                      <w:rPr>
                        <w:rFonts w:ascii="Cambria Math" w:hAnsi="Cambria Math"/>
                        <w:color w:val="auto"/>
                        <w:sz w:val="24"/>
                      </w:rPr>
                      <m:t>p2</m:t>
                    </m:r>
                    <m:ctrlPr>
                      <w:rPr>
                        <w:rFonts w:ascii="Cambria Math" w:hAnsi="Cambria Math"/>
                        <w:bCs/>
                        <w:i/>
                        <w:color w:val="auto"/>
                        <w:sz w:val="24"/>
                      </w:rPr>
                    </m:ctrlPr>
                  </m:sub>
                </m:sSub>
                <m:r>
                  <m:rPr>
                    <m:sty m:val="p"/>
                  </m:rPr>
                  <w:rPr>
                    <w:rFonts w:ascii="Cambria Math" w:hAnsi="Cambria Math"/>
                    <w:color w:val="auto"/>
                    <w:sz w:val="24"/>
                  </w:rPr>
                  <m:t>（T）+10lgS</m:t>
                </m:r>
              </m:oMath>
            </m:oMathPara>
          </w:p>
          <w:p w14:paraId="51EFF649">
            <w:pPr>
              <w:spacing w:line="360" w:lineRule="auto"/>
              <w:ind w:firstLine="480"/>
              <w:rPr>
                <w:color w:val="auto"/>
                <w:sz w:val="24"/>
              </w:rPr>
            </w:pPr>
            <w:r>
              <w:rPr>
                <w:color w:val="auto"/>
                <w:sz w:val="24"/>
              </w:rPr>
              <w:t>式中：TL——隔墙（或窗户）倍频带的隔声量，dB；</w:t>
            </w:r>
          </w:p>
          <w:p w14:paraId="4A369968">
            <w:pPr>
              <w:spacing w:line="360" w:lineRule="auto"/>
              <w:ind w:firstLine="1200" w:firstLineChars="500"/>
              <w:rPr>
                <w:color w:val="auto"/>
                <w:sz w:val="24"/>
              </w:rPr>
            </w:pPr>
            <w:r>
              <w:rPr>
                <w:color w:val="auto"/>
                <w:sz w:val="24"/>
              </w:rPr>
              <w:t>Q——指向性因数，通常对无指向性声源，当声源放在房间中心时，Q=1；当放在一面墙的中心时，Q=2；当放在两面墙夹角处时，Q=4；当放在三面墙夹角处时，Q=8；</w:t>
            </w:r>
          </w:p>
          <w:p w14:paraId="317FBCCB">
            <w:pPr>
              <w:spacing w:line="360" w:lineRule="auto"/>
              <w:ind w:firstLine="1200" w:firstLineChars="500"/>
              <w:rPr>
                <w:color w:val="auto"/>
                <w:sz w:val="24"/>
              </w:rPr>
            </w:pPr>
            <w:r>
              <w:rPr>
                <w:color w:val="auto"/>
                <w:sz w:val="24"/>
              </w:rPr>
              <w:t>R——房间常数，R=Sα/（1-α），S为房间内表面积，m</w:t>
            </w:r>
            <w:r>
              <w:rPr>
                <w:color w:val="auto"/>
                <w:sz w:val="24"/>
                <w:vertAlign w:val="superscript"/>
              </w:rPr>
              <w:t>2</w:t>
            </w:r>
            <w:r>
              <w:rPr>
                <w:color w:val="auto"/>
                <w:sz w:val="24"/>
              </w:rPr>
              <w:t>，α为平均吸声系数；</w:t>
            </w:r>
          </w:p>
          <w:p w14:paraId="4964C6C9">
            <w:pPr>
              <w:spacing w:line="360" w:lineRule="auto"/>
              <w:ind w:firstLine="1200" w:firstLineChars="500"/>
              <w:rPr>
                <w:color w:val="auto"/>
                <w:sz w:val="24"/>
              </w:rPr>
            </w:pPr>
            <w:r>
              <w:rPr>
                <w:color w:val="auto"/>
                <w:sz w:val="24"/>
              </w:rPr>
              <w:t>r——声源到靠近围护结构某点处的距离，m。</w:t>
            </w:r>
          </w:p>
          <w:p w14:paraId="2C10E55E">
            <w:pPr>
              <w:spacing w:line="360" w:lineRule="auto"/>
              <w:ind w:firstLine="480" w:firstLineChars="200"/>
              <w:jc w:val="left"/>
              <w:rPr>
                <w:bCs/>
                <w:color w:val="auto"/>
                <w:sz w:val="24"/>
              </w:rPr>
            </w:pPr>
            <w:r>
              <w:rPr>
                <w:bCs/>
                <w:color w:val="auto"/>
                <w:sz w:val="24"/>
              </w:rPr>
              <w:t>（2）室外声源在预测点产生的声级计算模型</w:t>
            </w:r>
          </w:p>
          <w:p w14:paraId="38A918B8">
            <w:pPr>
              <w:spacing w:line="360" w:lineRule="auto"/>
              <w:ind w:firstLine="480"/>
              <w:rPr>
                <w:color w:val="auto"/>
                <w:sz w:val="24"/>
              </w:rPr>
            </w:pPr>
            <w:r>
              <w:rPr>
                <w:color w:val="auto"/>
                <w:sz w:val="24"/>
              </w:rPr>
              <w:t>户外声传播衰减计算总公式：</w:t>
            </w:r>
          </w:p>
          <w:p w14:paraId="356A0EDC">
            <w:pPr>
              <w:spacing w:line="360" w:lineRule="auto"/>
              <w:jc w:val="center"/>
              <w:rPr>
                <w:color w:val="auto"/>
                <w:sz w:val="24"/>
              </w:rPr>
            </w:pPr>
            <w:r>
              <w:rPr>
                <w:color w:val="auto"/>
                <w:sz w:val="24"/>
              </w:rPr>
              <w:t>L</w:t>
            </w:r>
            <w:r>
              <w:rPr>
                <w:color w:val="auto"/>
                <w:sz w:val="24"/>
                <w:vertAlign w:val="subscript"/>
              </w:rPr>
              <w:t>A（r）</w:t>
            </w:r>
            <w:r>
              <w:rPr>
                <w:color w:val="auto"/>
                <w:sz w:val="24"/>
              </w:rPr>
              <w:t>=L</w:t>
            </w:r>
            <w:r>
              <w:rPr>
                <w:color w:val="auto"/>
                <w:sz w:val="24"/>
                <w:vertAlign w:val="subscript"/>
              </w:rPr>
              <w:t>A（r0）</w:t>
            </w:r>
            <w:r>
              <w:rPr>
                <w:color w:val="auto"/>
                <w:sz w:val="24"/>
              </w:rPr>
              <w:t>+D</w:t>
            </w:r>
            <w:r>
              <w:rPr>
                <w:color w:val="auto"/>
                <w:sz w:val="24"/>
                <w:vertAlign w:val="subscript"/>
              </w:rPr>
              <w:t>C</w:t>
            </w:r>
            <w:r>
              <w:rPr>
                <w:color w:val="auto"/>
                <w:sz w:val="24"/>
              </w:rPr>
              <w:t>-（A</w:t>
            </w:r>
            <w:r>
              <w:rPr>
                <w:color w:val="auto"/>
                <w:sz w:val="24"/>
                <w:vertAlign w:val="subscript"/>
              </w:rPr>
              <w:t>div</w:t>
            </w:r>
            <w:r>
              <w:rPr>
                <w:color w:val="auto"/>
                <w:sz w:val="24"/>
              </w:rPr>
              <w:t>+A</w:t>
            </w:r>
            <w:r>
              <w:rPr>
                <w:color w:val="auto"/>
                <w:sz w:val="24"/>
                <w:vertAlign w:val="subscript"/>
              </w:rPr>
              <w:t>atm</w:t>
            </w:r>
            <w:r>
              <w:rPr>
                <w:color w:val="auto"/>
                <w:sz w:val="24"/>
              </w:rPr>
              <w:t>+A</w:t>
            </w:r>
            <w:r>
              <w:rPr>
                <w:color w:val="auto"/>
                <w:sz w:val="24"/>
                <w:vertAlign w:val="subscript"/>
              </w:rPr>
              <w:t>gr</w:t>
            </w:r>
            <w:r>
              <w:rPr>
                <w:color w:val="auto"/>
                <w:sz w:val="24"/>
              </w:rPr>
              <w:t>+A</w:t>
            </w:r>
            <w:r>
              <w:rPr>
                <w:color w:val="auto"/>
                <w:sz w:val="24"/>
                <w:vertAlign w:val="subscript"/>
              </w:rPr>
              <w:t>bar</w:t>
            </w:r>
            <w:r>
              <w:rPr>
                <w:color w:val="auto"/>
                <w:sz w:val="24"/>
              </w:rPr>
              <w:t>+A</w:t>
            </w:r>
            <w:r>
              <w:rPr>
                <w:color w:val="auto"/>
                <w:sz w:val="24"/>
                <w:vertAlign w:val="subscript"/>
              </w:rPr>
              <w:t>atm</w:t>
            </w:r>
            <w:r>
              <w:rPr>
                <w:color w:val="auto"/>
                <w:sz w:val="24"/>
              </w:rPr>
              <w:t>+A</w:t>
            </w:r>
            <w:r>
              <w:rPr>
                <w:color w:val="auto"/>
                <w:sz w:val="24"/>
                <w:vertAlign w:val="subscript"/>
              </w:rPr>
              <w:t>misc</w:t>
            </w:r>
            <w:r>
              <w:rPr>
                <w:color w:val="auto"/>
                <w:sz w:val="24"/>
              </w:rPr>
              <w:t>）</w:t>
            </w:r>
          </w:p>
          <w:p w14:paraId="4BD9B84B">
            <w:pPr>
              <w:spacing w:line="360" w:lineRule="auto"/>
              <w:ind w:firstLine="480"/>
              <w:rPr>
                <w:color w:val="auto"/>
                <w:sz w:val="24"/>
              </w:rPr>
            </w:pPr>
            <w:r>
              <w:rPr>
                <w:color w:val="auto"/>
                <w:sz w:val="24"/>
              </w:rPr>
              <w:t>式中：L</w:t>
            </w:r>
            <w:r>
              <w:rPr>
                <w:color w:val="auto"/>
                <w:sz w:val="24"/>
                <w:vertAlign w:val="subscript"/>
              </w:rPr>
              <w:t>A（r）</w:t>
            </w:r>
            <w:r>
              <w:rPr>
                <w:color w:val="auto"/>
                <w:sz w:val="24"/>
              </w:rPr>
              <w:t>为距离声源r处的A声级，dB（A）；</w:t>
            </w:r>
          </w:p>
          <w:p w14:paraId="0628AF51">
            <w:pPr>
              <w:spacing w:line="360" w:lineRule="auto"/>
              <w:ind w:firstLine="1132" w:firstLineChars="472"/>
              <w:rPr>
                <w:color w:val="auto"/>
                <w:sz w:val="24"/>
              </w:rPr>
            </w:pPr>
            <w:r>
              <w:rPr>
                <w:color w:val="auto"/>
                <w:sz w:val="24"/>
              </w:rPr>
              <w:t>L</w:t>
            </w:r>
            <w:r>
              <w:rPr>
                <w:color w:val="auto"/>
                <w:sz w:val="24"/>
                <w:vertAlign w:val="subscript"/>
              </w:rPr>
              <w:t>A（r0）</w:t>
            </w:r>
            <w:r>
              <w:rPr>
                <w:color w:val="auto"/>
                <w:sz w:val="24"/>
              </w:rPr>
              <w:t>为参考位置距离声源r</w:t>
            </w:r>
            <w:r>
              <w:rPr>
                <w:color w:val="auto"/>
                <w:sz w:val="24"/>
                <w:vertAlign w:val="subscript"/>
              </w:rPr>
              <w:t>0</w:t>
            </w:r>
            <w:r>
              <w:rPr>
                <w:color w:val="auto"/>
                <w:sz w:val="24"/>
              </w:rPr>
              <w:t>米处的A声级，dB（A）；</w:t>
            </w:r>
          </w:p>
          <w:p w14:paraId="68356BCF">
            <w:pPr>
              <w:spacing w:line="360" w:lineRule="auto"/>
              <w:ind w:firstLine="1132" w:firstLineChars="472"/>
              <w:rPr>
                <w:color w:val="auto"/>
                <w:sz w:val="24"/>
              </w:rPr>
            </w:pPr>
            <w:r>
              <w:rPr>
                <w:color w:val="auto"/>
                <w:sz w:val="24"/>
              </w:rPr>
              <w:t>D</w:t>
            </w:r>
            <w:r>
              <w:rPr>
                <w:color w:val="auto"/>
                <w:sz w:val="24"/>
                <w:vertAlign w:val="subscript"/>
              </w:rPr>
              <w:t>C</w:t>
            </w:r>
            <w:r>
              <w:rPr>
                <w:color w:val="auto"/>
                <w:sz w:val="24"/>
              </w:rPr>
              <w:t>为指向性校正，它描述点声源的等效连续声压级与产生声功率级Lw的全向点声源在规定方向的声级的偏差程度，dB（A）；</w:t>
            </w:r>
          </w:p>
          <w:p w14:paraId="38265F6E">
            <w:pPr>
              <w:spacing w:line="360" w:lineRule="auto"/>
              <w:ind w:firstLine="1132" w:firstLineChars="472"/>
              <w:rPr>
                <w:color w:val="auto"/>
                <w:sz w:val="24"/>
              </w:rPr>
            </w:pPr>
            <w:r>
              <w:rPr>
                <w:color w:val="auto"/>
                <w:sz w:val="24"/>
              </w:rPr>
              <w:t>A</w:t>
            </w:r>
            <w:r>
              <w:rPr>
                <w:color w:val="auto"/>
                <w:sz w:val="24"/>
                <w:vertAlign w:val="subscript"/>
              </w:rPr>
              <w:t>div</w:t>
            </w:r>
            <w:r>
              <w:rPr>
                <w:color w:val="auto"/>
                <w:sz w:val="24"/>
              </w:rPr>
              <w:t>为声波几何发散引起的A声级衰减量，dB（A）；</w:t>
            </w:r>
          </w:p>
          <w:p w14:paraId="2ABEC10C">
            <w:pPr>
              <w:spacing w:line="360" w:lineRule="auto"/>
              <w:ind w:firstLine="1132" w:firstLineChars="472"/>
              <w:rPr>
                <w:color w:val="auto"/>
                <w:sz w:val="24"/>
              </w:rPr>
            </w:pPr>
            <w:r>
              <w:rPr>
                <w:color w:val="auto"/>
                <w:sz w:val="24"/>
              </w:rPr>
              <w:t>A</w:t>
            </w:r>
            <w:r>
              <w:rPr>
                <w:color w:val="auto"/>
                <w:sz w:val="24"/>
                <w:vertAlign w:val="subscript"/>
              </w:rPr>
              <w:t>atm</w:t>
            </w:r>
            <w:r>
              <w:rPr>
                <w:color w:val="auto"/>
                <w:sz w:val="24"/>
              </w:rPr>
              <w:t>为空气吸收引起的A声级衰减量，dB（A）；</w:t>
            </w:r>
          </w:p>
          <w:p w14:paraId="300A99B5">
            <w:pPr>
              <w:spacing w:line="360" w:lineRule="auto"/>
              <w:ind w:firstLine="1132" w:firstLineChars="472"/>
              <w:rPr>
                <w:color w:val="auto"/>
                <w:sz w:val="24"/>
              </w:rPr>
            </w:pPr>
            <w:r>
              <w:rPr>
                <w:color w:val="auto"/>
                <w:sz w:val="24"/>
              </w:rPr>
              <w:t>A</w:t>
            </w:r>
            <w:r>
              <w:rPr>
                <w:color w:val="auto"/>
                <w:sz w:val="24"/>
                <w:vertAlign w:val="subscript"/>
              </w:rPr>
              <w:t>gr</w:t>
            </w:r>
            <w:r>
              <w:rPr>
                <w:color w:val="auto"/>
                <w:sz w:val="24"/>
              </w:rPr>
              <w:t>为地面效应引起的A 声级衰减量，dB（A）；</w:t>
            </w:r>
          </w:p>
          <w:p w14:paraId="724CE551">
            <w:pPr>
              <w:spacing w:line="360" w:lineRule="auto"/>
              <w:ind w:firstLine="1132" w:firstLineChars="472"/>
              <w:rPr>
                <w:color w:val="auto"/>
                <w:sz w:val="24"/>
              </w:rPr>
            </w:pPr>
            <w:r>
              <w:rPr>
                <w:color w:val="auto"/>
                <w:sz w:val="24"/>
              </w:rPr>
              <w:t>A</w:t>
            </w:r>
            <w:r>
              <w:rPr>
                <w:color w:val="auto"/>
                <w:sz w:val="24"/>
                <w:vertAlign w:val="subscript"/>
              </w:rPr>
              <w:t>bar</w:t>
            </w:r>
            <w:r>
              <w:rPr>
                <w:color w:val="auto"/>
                <w:sz w:val="24"/>
              </w:rPr>
              <w:t>为声屏障引起的A 声级衰减量，dB（A）；</w:t>
            </w:r>
          </w:p>
          <w:p w14:paraId="280BD59E">
            <w:pPr>
              <w:spacing w:line="360" w:lineRule="auto"/>
              <w:ind w:firstLine="1132" w:firstLineChars="472"/>
              <w:rPr>
                <w:color w:val="auto"/>
                <w:sz w:val="24"/>
              </w:rPr>
            </w:pPr>
            <w:r>
              <w:rPr>
                <w:color w:val="auto"/>
                <w:sz w:val="24"/>
              </w:rPr>
              <w:t>A</w:t>
            </w:r>
            <w:r>
              <w:rPr>
                <w:color w:val="auto"/>
                <w:sz w:val="24"/>
                <w:vertAlign w:val="subscript"/>
              </w:rPr>
              <w:t>misc</w:t>
            </w:r>
            <w:r>
              <w:rPr>
                <w:color w:val="auto"/>
                <w:sz w:val="24"/>
              </w:rPr>
              <w:t>为其他多方面效应引起的衰减量，dB（A）。</w:t>
            </w:r>
          </w:p>
          <w:p w14:paraId="79FED566">
            <w:pPr>
              <w:spacing w:line="360" w:lineRule="auto"/>
              <w:ind w:firstLine="480"/>
              <w:rPr>
                <w:color w:val="auto"/>
                <w:sz w:val="24"/>
              </w:rPr>
            </w:pPr>
            <w:r>
              <w:rPr>
                <w:color w:val="auto"/>
                <w:sz w:val="24"/>
              </w:rPr>
              <w:t>噪声在传播过程中受到多种因素的干扰，使其产生衰减，根据项目噪声源和环境特征，预测过程中考虑了厂房等建筑物的屏障作用、几何发散引起的衰减、空气吸收和地面吸收引起的衰减。</w:t>
            </w:r>
          </w:p>
          <w:p w14:paraId="3EBB9CAE">
            <w:pPr>
              <w:spacing w:line="360" w:lineRule="auto"/>
              <w:ind w:firstLine="480"/>
              <w:rPr>
                <w:color w:val="auto"/>
                <w:sz w:val="24"/>
              </w:rPr>
            </w:pPr>
            <w:r>
              <w:rPr>
                <w:color w:val="auto"/>
                <w:sz w:val="24"/>
              </w:rPr>
              <w:t>①几何发散引起的衰减：</w:t>
            </w:r>
          </w:p>
          <w:p w14:paraId="29430A47">
            <w:pPr>
              <w:adjustRightInd w:val="0"/>
              <w:snapToGrid w:val="0"/>
              <w:spacing w:line="360" w:lineRule="auto"/>
              <w:jc w:val="center"/>
              <w:rPr>
                <w:color w:val="auto"/>
                <w:sz w:val="24"/>
              </w:rPr>
            </w:pPr>
            <m:oMathPara>
              <m:oMath>
                <m:sSub>
                  <m:sSubPr>
                    <m:ctrlPr>
                      <w:rPr>
                        <w:rFonts w:ascii="Cambria Math" w:hAnsi="Cambria Math"/>
                        <w:color w:val="auto"/>
                        <w:sz w:val="24"/>
                      </w:rPr>
                    </m:ctrlPr>
                  </m:sSubPr>
                  <m:e>
                    <m:r>
                      <m:rPr/>
                      <w:rPr>
                        <w:rFonts w:ascii="Cambria Math" w:hAnsi="Cambria Math"/>
                        <w:color w:val="auto"/>
                        <w:sz w:val="24"/>
                      </w:rPr>
                      <m:t>A</m:t>
                    </m:r>
                    <m:ctrlPr>
                      <w:rPr>
                        <w:rFonts w:ascii="Cambria Math" w:hAnsi="Cambria Math"/>
                        <w:color w:val="auto"/>
                        <w:sz w:val="24"/>
                      </w:rPr>
                    </m:ctrlPr>
                  </m:e>
                  <m:sub>
                    <m:r>
                      <m:rPr>
                        <m:sty m:val="p"/>
                      </m:rPr>
                      <w:rPr>
                        <w:rFonts w:ascii="Cambria Math" w:hAnsi="Cambria Math"/>
                        <w:color w:val="auto"/>
                        <w:sz w:val="24"/>
                      </w:rPr>
                      <m:t>div</m:t>
                    </m:r>
                    <m:ctrlPr>
                      <w:rPr>
                        <w:rFonts w:ascii="Cambria Math" w:hAnsi="Cambria Math"/>
                        <w:color w:val="auto"/>
                        <w:sz w:val="24"/>
                      </w:rPr>
                    </m:ctrlPr>
                  </m:sub>
                </m:sSub>
                <m:r>
                  <m:rPr/>
                  <w:rPr>
                    <w:rFonts w:ascii="Cambria Math" w:hAnsi="Cambria Math"/>
                    <w:color w:val="auto"/>
                    <w:sz w:val="24"/>
                  </w:rPr>
                  <m:t>=20</m:t>
                </m:r>
                <m:func>
                  <m:funcPr>
                    <m:ctrlPr>
                      <w:rPr>
                        <w:rFonts w:ascii="Cambria Math" w:hAnsi="Cambria Math"/>
                        <w:i/>
                        <w:color w:val="auto"/>
                        <w:sz w:val="24"/>
                      </w:rPr>
                    </m:ctrlPr>
                  </m:funcPr>
                  <m:fName>
                    <m:r>
                      <m:rPr>
                        <m:sty m:val="p"/>
                      </m:rPr>
                      <w:rPr>
                        <w:rFonts w:ascii="Cambria Math" w:hAnsi="Cambria Math"/>
                        <w:color w:val="auto"/>
                        <w:sz w:val="24"/>
                      </w:rPr>
                      <m:t>lg</m:t>
                    </m:r>
                    <m:ctrlPr>
                      <w:rPr>
                        <w:rFonts w:ascii="Cambria Math" w:hAnsi="Cambria Math"/>
                        <w:i/>
                        <w:color w:val="auto"/>
                        <w:sz w:val="24"/>
                      </w:rPr>
                    </m:ctrlPr>
                  </m:fName>
                  <m:e>
                    <m:d>
                      <m:dPr>
                        <m:ctrlPr>
                          <w:rPr>
                            <w:rFonts w:ascii="Cambria Math" w:hAnsi="Cambria Math"/>
                            <w:i/>
                            <w:color w:val="auto"/>
                            <w:sz w:val="24"/>
                          </w:rPr>
                        </m:ctrlPr>
                      </m:dPr>
                      <m:e>
                        <m:f>
                          <m:fPr>
                            <m:ctrlPr>
                              <w:rPr>
                                <w:rFonts w:ascii="Cambria Math" w:hAnsi="Cambria Math"/>
                                <w:i/>
                                <w:color w:val="auto"/>
                                <w:sz w:val="24"/>
                              </w:rPr>
                            </m:ctrlPr>
                          </m:fPr>
                          <m:num>
                            <m:sSub>
                              <m:sSubPr>
                                <m:ctrlPr>
                                  <w:rPr>
                                    <w:rFonts w:ascii="Cambria Math" w:hAnsi="Cambria Math"/>
                                    <w:i/>
                                    <w:color w:val="auto"/>
                                    <w:sz w:val="24"/>
                                  </w:rPr>
                                </m:ctrlPr>
                              </m:sSubPr>
                              <m:e>
                                <m:r>
                                  <m:rPr/>
                                  <w:rPr>
                                    <w:rFonts w:ascii="Cambria Math" w:hAnsi="Cambria Math"/>
                                    <w:color w:val="auto"/>
                                    <w:sz w:val="24"/>
                                  </w:rPr>
                                  <m:t>r</m:t>
                                </m:r>
                                <m:ctrlPr>
                                  <w:rPr>
                                    <w:rFonts w:ascii="Cambria Math" w:hAnsi="Cambria Math"/>
                                    <w:i/>
                                    <w:color w:val="auto"/>
                                    <w:sz w:val="24"/>
                                  </w:rPr>
                                </m:ctrlPr>
                              </m:e>
                              <m:sub>
                                <m:r>
                                  <m:rPr/>
                                  <w:rPr>
                                    <w:rFonts w:ascii="Cambria Math" w:hAnsi="Cambria Math"/>
                                    <w:color w:val="auto"/>
                                    <w:sz w:val="24"/>
                                  </w:rPr>
                                  <m:t>A</m:t>
                                </m:r>
                                <m:ctrlPr>
                                  <w:rPr>
                                    <w:rFonts w:ascii="Cambria Math" w:hAnsi="Cambria Math"/>
                                    <w:i/>
                                    <w:color w:val="auto"/>
                                    <w:sz w:val="24"/>
                                  </w:rPr>
                                </m:ctrlPr>
                              </m:sub>
                            </m:sSub>
                            <m:ctrlPr>
                              <w:rPr>
                                <w:rFonts w:ascii="Cambria Math" w:hAnsi="Cambria Math"/>
                                <w:i/>
                                <w:color w:val="auto"/>
                                <w:sz w:val="24"/>
                              </w:rPr>
                            </m:ctrlPr>
                          </m:num>
                          <m:den>
                            <m:sSub>
                              <m:sSubPr>
                                <m:ctrlPr>
                                  <w:rPr>
                                    <w:rFonts w:ascii="Cambria Math" w:hAnsi="Cambria Math"/>
                                    <w:i/>
                                    <w:color w:val="auto"/>
                                    <w:sz w:val="24"/>
                                  </w:rPr>
                                </m:ctrlPr>
                              </m:sSubPr>
                              <m:e>
                                <m:r>
                                  <m:rPr/>
                                  <w:rPr>
                                    <w:rFonts w:ascii="Cambria Math" w:hAnsi="Cambria Math"/>
                                    <w:color w:val="auto"/>
                                    <w:sz w:val="24"/>
                                  </w:rPr>
                                  <m:t>r</m:t>
                                </m:r>
                                <m:ctrlPr>
                                  <w:rPr>
                                    <w:rFonts w:ascii="Cambria Math" w:hAnsi="Cambria Math"/>
                                    <w:i/>
                                    <w:color w:val="auto"/>
                                    <w:sz w:val="24"/>
                                  </w:rPr>
                                </m:ctrlPr>
                              </m:e>
                              <m:sub>
                                <m:r>
                                  <m:rPr/>
                                  <w:rPr>
                                    <w:rFonts w:ascii="Cambria Math" w:hAnsi="Cambria Math"/>
                                    <w:color w:val="auto"/>
                                    <w:sz w:val="24"/>
                                  </w:rPr>
                                  <m:t>0</m:t>
                                </m:r>
                                <m:ctrlPr>
                                  <w:rPr>
                                    <w:rFonts w:ascii="Cambria Math" w:hAnsi="Cambria Math"/>
                                    <w:i/>
                                    <w:color w:val="auto"/>
                                    <w:sz w:val="24"/>
                                  </w:rPr>
                                </m:ctrlPr>
                              </m:sub>
                            </m:sSub>
                            <m:ctrlPr>
                              <w:rPr>
                                <w:rFonts w:ascii="Cambria Math" w:hAnsi="Cambria Math"/>
                                <w:i/>
                                <w:color w:val="auto"/>
                                <w:sz w:val="24"/>
                              </w:rPr>
                            </m:ctrlPr>
                          </m:den>
                        </m:f>
                        <m:ctrlPr>
                          <w:rPr>
                            <w:rFonts w:ascii="Cambria Math" w:hAnsi="Cambria Math"/>
                            <w:i/>
                            <w:color w:val="auto"/>
                            <w:sz w:val="24"/>
                          </w:rPr>
                        </m:ctrlPr>
                      </m:e>
                    </m:d>
                    <m:ctrlPr>
                      <w:rPr>
                        <w:rFonts w:ascii="Cambria Math" w:hAnsi="Cambria Math"/>
                        <w:i/>
                        <w:color w:val="auto"/>
                        <w:sz w:val="24"/>
                      </w:rPr>
                    </m:ctrlPr>
                  </m:e>
                </m:func>
              </m:oMath>
            </m:oMathPara>
          </w:p>
          <w:p w14:paraId="5A42600E">
            <w:pPr>
              <w:adjustRightInd w:val="0"/>
              <w:snapToGrid w:val="0"/>
              <w:spacing w:line="360" w:lineRule="auto"/>
              <w:ind w:firstLine="480"/>
              <w:rPr>
                <w:color w:val="auto"/>
                <w:sz w:val="24"/>
              </w:rPr>
            </w:pPr>
            <w:r>
              <w:rPr>
                <w:color w:val="auto"/>
                <w:sz w:val="24"/>
              </w:rPr>
              <w:t>式中：r为预测点距声源的距离，m；</w:t>
            </w:r>
          </w:p>
          <w:p w14:paraId="4213193B">
            <w:pPr>
              <w:spacing w:line="360" w:lineRule="auto"/>
              <w:ind w:firstLine="1132" w:firstLineChars="472"/>
              <w:rPr>
                <w:color w:val="auto"/>
                <w:sz w:val="24"/>
              </w:rPr>
            </w:pPr>
            <w:r>
              <w:rPr>
                <w:color w:val="auto"/>
                <w:sz w:val="24"/>
              </w:rPr>
              <w:t>r</w:t>
            </w:r>
            <w:r>
              <w:rPr>
                <w:color w:val="auto"/>
                <w:sz w:val="24"/>
                <w:vertAlign w:val="subscript"/>
              </w:rPr>
              <w:t>0</w:t>
            </w:r>
            <w:r>
              <w:rPr>
                <w:color w:val="auto"/>
                <w:sz w:val="24"/>
              </w:rPr>
              <w:t>为参考位置距离，m；</w:t>
            </w:r>
          </w:p>
          <w:p w14:paraId="5E1BEB62">
            <w:pPr>
              <w:adjustRightInd w:val="0"/>
              <w:snapToGrid w:val="0"/>
              <w:spacing w:line="360" w:lineRule="auto"/>
              <w:ind w:firstLine="480"/>
              <w:rPr>
                <w:color w:val="auto"/>
                <w:sz w:val="24"/>
              </w:rPr>
            </w:pPr>
            <w:r>
              <w:rPr>
                <w:color w:val="auto"/>
                <w:sz w:val="24"/>
              </w:rPr>
              <w:t>②大气吸收引起的衰减：</w:t>
            </w:r>
          </w:p>
          <w:p w14:paraId="261E73F5">
            <w:pPr>
              <w:adjustRightInd w:val="0"/>
              <w:snapToGrid w:val="0"/>
              <w:spacing w:line="360" w:lineRule="auto"/>
              <w:jc w:val="center"/>
              <w:rPr>
                <w:color w:val="auto"/>
                <w:sz w:val="24"/>
              </w:rPr>
            </w:pPr>
            <m:oMathPara>
              <m:oMath>
                <m:sSub>
                  <m:sSubPr>
                    <m:ctrlPr>
                      <w:rPr>
                        <w:rFonts w:ascii="Cambria Math" w:hAnsi="Cambria Math"/>
                        <w:color w:val="auto"/>
                        <w:sz w:val="24"/>
                      </w:rPr>
                    </m:ctrlPr>
                  </m:sSubPr>
                  <m:e>
                    <m:r>
                      <m:rPr/>
                      <w:rPr>
                        <w:rFonts w:ascii="Cambria Math" w:hAnsi="Cambria Math"/>
                        <w:color w:val="auto"/>
                        <w:sz w:val="24"/>
                      </w:rPr>
                      <m:t>A</m:t>
                    </m:r>
                    <m:ctrlPr>
                      <w:rPr>
                        <w:rFonts w:ascii="Cambria Math" w:hAnsi="Cambria Math"/>
                        <w:color w:val="auto"/>
                        <w:sz w:val="24"/>
                      </w:rPr>
                    </m:ctrlPr>
                  </m:e>
                  <m:sub>
                    <m:r>
                      <m:rPr>
                        <m:sty m:val="p"/>
                      </m:rPr>
                      <w:rPr>
                        <w:rFonts w:ascii="Cambria Math" w:hAnsi="Cambria Math"/>
                        <w:color w:val="auto"/>
                        <w:sz w:val="24"/>
                      </w:rPr>
                      <m:t>atm</m:t>
                    </m:r>
                    <m:ctrlPr>
                      <w:rPr>
                        <w:rFonts w:ascii="Cambria Math" w:hAnsi="Cambria Math"/>
                        <w:color w:val="auto"/>
                        <w:sz w:val="24"/>
                      </w:rPr>
                    </m:ctrlPr>
                  </m:sub>
                </m:sSub>
                <m:r>
                  <m:rPr/>
                  <w:rPr>
                    <w:rFonts w:ascii="Cambria Math" w:hAnsi="Cambria Math"/>
                    <w:color w:val="auto"/>
                    <w:sz w:val="24"/>
                  </w:rPr>
                  <m:t>=</m:t>
                </m:r>
                <m:f>
                  <m:fPr>
                    <m:ctrlPr>
                      <w:rPr>
                        <w:rFonts w:ascii="Cambria Math" w:hAnsi="Cambria Math"/>
                        <w:i/>
                        <w:color w:val="auto"/>
                        <w:sz w:val="24"/>
                      </w:rPr>
                    </m:ctrlPr>
                  </m:fPr>
                  <m:num>
                    <m:r>
                      <m:rPr/>
                      <w:rPr>
                        <w:rFonts w:ascii="Cambria Math" w:hAnsi="Cambria Math"/>
                        <w:color w:val="auto"/>
                        <w:sz w:val="24"/>
                      </w:rPr>
                      <m:t>α</m:t>
                    </m:r>
                    <m:d>
                      <m:dPr>
                        <m:ctrlPr>
                          <w:rPr>
                            <w:rFonts w:ascii="Cambria Math" w:hAnsi="Cambria Math"/>
                            <w:i/>
                            <w:color w:val="auto"/>
                            <w:sz w:val="24"/>
                          </w:rPr>
                        </m:ctrlPr>
                      </m:dPr>
                      <m:e>
                        <m:r>
                          <m:rPr/>
                          <w:rPr>
                            <w:rFonts w:ascii="Cambria Math" w:hAnsi="Cambria Math"/>
                            <w:color w:val="auto"/>
                            <w:sz w:val="24"/>
                          </w:rPr>
                          <m:t>r−</m:t>
                        </m:r>
                        <m:sSub>
                          <m:sSubPr>
                            <m:ctrlPr>
                              <w:rPr>
                                <w:rFonts w:ascii="Cambria Math" w:hAnsi="Cambria Math"/>
                                <w:i/>
                                <w:color w:val="auto"/>
                                <w:sz w:val="24"/>
                              </w:rPr>
                            </m:ctrlPr>
                          </m:sSubPr>
                          <m:e>
                            <m:r>
                              <m:rPr/>
                              <w:rPr>
                                <w:rFonts w:ascii="Cambria Math" w:hAnsi="Cambria Math"/>
                                <w:color w:val="auto"/>
                                <w:sz w:val="24"/>
                              </w:rPr>
                              <m:t>r</m:t>
                            </m:r>
                            <m:ctrlPr>
                              <w:rPr>
                                <w:rFonts w:ascii="Cambria Math" w:hAnsi="Cambria Math"/>
                                <w:i/>
                                <w:color w:val="auto"/>
                                <w:sz w:val="24"/>
                              </w:rPr>
                            </m:ctrlPr>
                          </m:e>
                          <m:sub>
                            <m:r>
                              <m:rPr/>
                              <w:rPr>
                                <w:rFonts w:ascii="Cambria Math" w:hAnsi="Cambria Math"/>
                                <w:color w:val="auto"/>
                                <w:sz w:val="24"/>
                              </w:rPr>
                              <m:t>0</m:t>
                            </m:r>
                            <m:ctrlPr>
                              <w:rPr>
                                <w:rFonts w:ascii="Cambria Math" w:hAnsi="Cambria Math"/>
                                <w:i/>
                                <w:color w:val="auto"/>
                                <w:sz w:val="24"/>
                              </w:rPr>
                            </m:ctrlPr>
                          </m:sub>
                        </m:sSub>
                        <m:ctrlPr>
                          <w:rPr>
                            <w:rFonts w:ascii="Cambria Math" w:hAnsi="Cambria Math"/>
                            <w:i/>
                            <w:color w:val="auto"/>
                            <w:sz w:val="24"/>
                          </w:rPr>
                        </m:ctrlPr>
                      </m:e>
                    </m:d>
                    <m:ctrlPr>
                      <w:rPr>
                        <w:rFonts w:ascii="Cambria Math" w:hAnsi="Cambria Math"/>
                        <w:i/>
                        <w:color w:val="auto"/>
                        <w:sz w:val="24"/>
                      </w:rPr>
                    </m:ctrlPr>
                  </m:num>
                  <m:den>
                    <m:r>
                      <m:rPr/>
                      <w:rPr>
                        <w:rFonts w:ascii="Cambria Math" w:hAnsi="Cambria Math"/>
                        <w:color w:val="auto"/>
                        <w:sz w:val="24"/>
                      </w:rPr>
                      <m:t>100</m:t>
                    </m:r>
                    <m:ctrlPr>
                      <w:rPr>
                        <w:rFonts w:ascii="Cambria Math" w:hAnsi="Cambria Math"/>
                        <w:i/>
                        <w:color w:val="auto"/>
                        <w:sz w:val="24"/>
                      </w:rPr>
                    </m:ctrlPr>
                  </m:den>
                </m:f>
              </m:oMath>
            </m:oMathPara>
          </w:p>
          <w:p w14:paraId="748B563E">
            <w:pPr>
              <w:adjustRightInd w:val="0"/>
              <w:snapToGrid w:val="0"/>
              <w:spacing w:line="360" w:lineRule="auto"/>
              <w:ind w:firstLine="482"/>
              <w:rPr>
                <w:color w:val="auto"/>
                <w:spacing w:val="-6"/>
                <w:sz w:val="24"/>
              </w:rPr>
            </w:pPr>
            <w:r>
              <w:rPr>
                <w:color w:val="auto"/>
                <w:spacing w:val="-6"/>
                <w:sz w:val="24"/>
              </w:rPr>
              <w:t>式中：α与温度、湿度和声波频率有关的大气吸收衰减系数，预测计算中一般根据建设项目所处区域常年平均气温和湿度选择相应的大气吸收衰减系数。</w:t>
            </w:r>
          </w:p>
          <w:p w14:paraId="003B1D39">
            <w:pPr>
              <w:adjustRightInd w:val="0"/>
              <w:snapToGrid w:val="0"/>
              <w:spacing w:line="360" w:lineRule="auto"/>
              <w:ind w:firstLine="482"/>
              <w:rPr>
                <w:color w:val="auto"/>
                <w:sz w:val="24"/>
              </w:rPr>
            </w:pPr>
            <w:r>
              <w:rPr>
                <w:color w:val="auto"/>
                <w:sz w:val="24"/>
              </w:rPr>
              <w:t>③地面效应引起的衰减：</w:t>
            </w:r>
          </w:p>
          <w:p w14:paraId="318AEF6A">
            <w:pPr>
              <w:adjustRightInd w:val="0"/>
              <w:snapToGrid w:val="0"/>
              <w:spacing w:line="360" w:lineRule="auto"/>
              <w:jc w:val="center"/>
              <w:rPr>
                <w:color w:val="auto"/>
                <w:sz w:val="24"/>
              </w:rPr>
            </w:pPr>
            <m:oMathPara>
              <m:oMath>
                <m:sSub>
                  <m:sSubPr>
                    <m:ctrlPr>
                      <w:rPr>
                        <w:rFonts w:ascii="Cambria Math" w:hAnsi="Cambria Math"/>
                        <w:color w:val="auto"/>
                        <w:sz w:val="24"/>
                      </w:rPr>
                    </m:ctrlPr>
                  </m:sSubPr>
                  <m:e>
                    <m:r>
                      <m:rPr/>
                      <w:rPr>
                        <w:rFonts w:ascii="Cambria Math" w:hAnsi="Cambria Math"/>
                        <w:color w:val="auto"/>
                        <w:sz w:val="24"/>
                      </w:rPr>
                      <m:t>A</m:t>
                    </m:r>
                    <m:ctrlPr>
                      <w:rPr>
                        <w:rFonts w:ascii="Cambria Math" w:hAnsi="Cambria Math"/>
                        <w:color w:val="auto"/>
                        <w:sz w:val="24"/>
                      </w:rPr>
                    </m:ctrlPr>
                  </m:e>
                  <m:sub>
                    <m:r>
                      <m:rPr>
                        <m:sty m:val="p"/>
                      </m:rPr>
                      <w:rPr>
                        <w:rFonts w:ascii="Cambria Math" w:hAnsi="Cambria Math"/>
                        <w:color w:val="auto"/>
                        <w:sz w:val="24"/>
                      </w:rPr>
                      <m:t>gr</m:t>
                    </m:r>
                    <m:ctrlPr>
                      <w:rPr>
                        <w:rFonts w:ascii="Cambria Math" w:hAnsi="Cambria Math"/>
                        <w:color w:val="auto"/>
                        <w:sz w:val="24"/>
                      </w:rPr>
                    </m:ctrlPr>
                  </m:sub>
                </m:sSub>
                <m:r>
                  <m:rPr/>
                  <w:rPr>
                    <w:rFonts w:ascii="Cambria Math" w:hAnsi="Cambria Math"/>
                    <w:color w:val="auto"/>
                    <w:sz w:val="24"/>
                  </w:rPr>
                  <m:t>=4.8−</m:t>
                </m:r>
                <m:d>
                  <m:dPr>
                    <m:ctrlPr>
                      <w:rPr>
                        <w:rFonts w:ascii="Cambria Math" w:hAnsi="Cambria Math"/>
                        <w:i/>
                        <w:color w:val="auto"/>
                        <w:sz w:val="24"/>
                      </w:rPr>
                    </m:ctrlPr>
                  </m:dPr>
                  <m:e>
                    <m:f>
                      <m:fPr>
                        <m:ctrlPr>
                          <w:rPr>
                            <w:rFonts w:ascii="Cambria Math" w:hAnsi="Cambria Math"/>
                            <w:i/>
                            <w:color w:val="auto"/>
                            <w:sz w:val="24"/>
                          </w:rPr>
                        </m:ctrlPr>
                      </m:fPr>
                      <m:num>
                        <m:r>
                          <m:rPr/>
                          <w:rPr>
                            <w:rFonts w:ascii="Cambria Math" w:hAnsi="Cambria Math"/>
                            <w:color w:val="auto"/>
                            <w:sz w:val="24"/>
                          </w:rPr>
                          <m:t>2</m:t>
                        </m:r>
                        <m:sSub>
                          <m:sSubPr>
                            <m:ctrlPr>
                              <w:rPr>
                                <w:rFonts w:ascii="Cambria Math" w:hAnsi="Cambria Math"/>
                                <w:i/>
                                <w:color w:val="auto"/>
                                <w:sz w:val="24"/>
                              </w:rPr>
                            </m:ctrlPr>
                          </m:sSubPr>
                          <m:e>
                            <m:r>
                              <m:rPr/>
                              <w:rPr>
                                <w:rFonts w:ascii="Cambria Math" w:hAnsi="Cambria Math"/>
                                <w:color w:val="auto"/>
                                <w:sz w:val="24"/>
                              </w:rPr>
                              <m:t>ℎ</m:t>
                            </m:r>
                            <m:ctrlPr>
                              <w:rPr>
                                <w:rFonts w:ascii="Cambria Math" w:hAnsi="Cambria Math"/>
                                <w:i/>
                                <w:color w:val="auto"/>
                                <w:sz w:val="24"/>
                              </w:rPr>
                            </m:ctrlPr>
                          </m:e>
                          <m:sub>
                            <m:r>
                              <m:rPr/>
                              <w:rPr>
                                <w:rFonts w:ascii="Cambria Math" w:hAnsi="Cambria Math"/>
                                <w:color w:val="auto"/>
                                <w:sz w:val="24"/>
                              </w:rPr>
                              <m:t>m</m:t>
                            </m:r>
                            <m:ctrlPr>
                              <w:rPr>
                                <w:rFonts w:ascii="Cambria Math" w:hAnsi="Cambria Math"/>
                                <w:i/>
                                <w:color w:val="auto"/>
                                <w:sz w:val="24"/>
                              </w:rPr>
                            </m:ctrlPr>
                          </m:sub>
                        </m:sSub>
                        <m:ctrlPr>
                          <w:rPr>
                            <w:rFonts w:ascii="Cambria Math" w:hAnsi="Cambria Math"/>
                            <w:i/>
                            <w:color w:val="auto"/>
                            <w:sz w:val="24"/>
                          </w:rPr>
                        </m:ctrlPr>
                      </m:num>
                      <m:den>
                        <m:r>
                          <m:rPr/>
                          <w:rPr>
                            <w:rFonts w:ascii="Cambria Math" w:hAnsi="Cambria Math"/>
                            <w:color w:val="auto"/>
                            <w:sz w:val="24"/>
                          </w:rPr>
                          <m:t>r</m:t>
                        </m:r>
                        <m:ctrlPr>
                          <w:rPr>
                            <w:rFonts w:ascii="Cambria Math" w:hAnsi="Cambria Math"/>
                            <w:i/>
                            <w:color w:val="auto"/>
                            <w:sz w:val="24"/>
                          </w:rPr>
                        </m:ctrlPr>
                      </m:den>
                    </m:f>
                    <m:ctrlPr>
                      <w:rPr>
                        <w:rFonts w:ascii="Cambria Math" w:hAnsi="Cambria Math"/>
                        <w:i/>
                        <w:color w:val="auto"/>
                        <w:sz w:val="24"/>
                      </w:rPr>
                    </m:ctrlPr>
                  </m:e>
                </m:d>
                <m:d>
                  <m:dPr>
                    <m:ctrlPr>
                      <w:rPr>
                        <w:rFonts w:ascii="Cambria Math" w:hAnsi="Cambria Math"/>
                        <w:i/>
                        <w:color w:val="auto"/>
                        <w:sz w:val="24"/>
                      </w:rPr>
                    </m:ctrlPr>
                  </m:dPr>
                  <m:e>
                    <m:r>
                      <m:rPr/>
                      <w:rPr>
                        <w:rFonts w:ascii="Cambria Math" w:hAnsi="Cambria Math"/>
                        <w:color w:val="auto"/>
                        <w:sz w:val="24"/>
                      </w:rPr>
                      <m:t>17+</m:t>
                    </m:r>
                    <m:f>
                      <m:fPr>
                        <m:ctrlPr>
                          <w:rPr>
                            <w:rFonts w:ascii="Cambria Math" w:hAnsi="Cambria Math"/>
                            <w:i/>
                            <w:color w:val="auto"/>
                            <w:sz w:val="24"/>
                          </w:rPr>
                        </m:ctrlPr>
                      </m:fPr>
                      <m:num>
                        <m:r>
                          <m:rPr/>
                          <w:rPr>
                            <w:rFonts w:ascii="Cambria Math" w:hAnsi="Cambria Math"/>
                            <w:color w:val="auto"/>
                            <w:sz w:val="24"/>
                          </w:rPr>
                          <m:t>300</m:t>
                        </m:r>
                        <m:ctrlPr>
                          <w:rPr>
                            <w:rFonts w:ascii="Cambria Math" w:hAnsi="Cambria Math"/>
                            <w:i/>
                            <w:color w:val="auto"/>
                            <w:sz w:val="24"/>
                          </w:rPr>
                        </m:ctrlPr>
                      </m:num>
                      <m:den>
                        <m:r>
                          <m:rPr/>
                          <w:rPr>
                            <w:rFonts w:ascii="Cambria Math" w:hAnsi="Cambria Math"/>
                            <w:color w:val="auto"/>
                            <w:sz w:val="24"/>
                          </w:rPr>
                          <m:t>r</m:t>
                        </m:r>
                        <m:ctrlPr>
                          <w:rPr>
                            <w:rFonts w:ascii="Cambria Math" w:hAnsi="Cambria Math"/>
                            <w:i/>
                            <w:color w:val="auto"/>
                            <w:sz w:val="24"/>
                          </w:rPr>
                        </m:ctrlPr>
                      </m:den>
                    </m:f>
                    <m:ctrlPr>
                      <w:rPr>
                        <w:rFonts w:ascii="Cambria Math" w:hAnsi="Cambria Math"/>
                        <w:i/>
                        <w:color w:val="auto"/>
                        <w:sz w:val="24"/>
                      </w:rPr>
                    </m:ctrlPr>
                  </m:e>
                </m:d>
              </m:oMath>
            </m:oMathPara>
          </w:p>
          <w:p w14:paraId="1B8ED9BD">
            <w:pPr>
              <w:spacing w:line="360" w:lineRule="auto"/>
              <w:ind w:firstLine="1200" w:firstLineChars="500"/>
              <w:rPr>
                <w:color w:val="auto"/>
                <w:sz w:val="24"/>
              </w:rPr>
            </w:pPr>
            <w:r>
              <w:rPr>
                <w:color w:val="auto"/>
                <w:sz w:val="24"/>
              </w:rPr>
              <w:t>式中：r为预测点距声源的距离，m；</w:t>
            </w:r>
          </w:p>
          <w:p w14:paraId="54594AA3">
            <w:pPr>
              <w:spacing w:line="360" w:lineRule="auto"/>
              <w:ind w:firstLine="1200" w:firstLineChars="500"/>
              <w:rPr>
                <w:color w:val="auto"/>
                <w:sz w:val="24"/>
              </w:rPr>
            </w:pPr>
            <w:r>
              <w:rPr>
                <w:color w:val="auto"/>
                <w:sz w:val="24"/>
              </w:rPr>
              <w:t>h</w:t>
            </w:r>
            <w:r>
              <w:rPr>
                <w:color w:val="auto"/>
                <w:sz w:val="24"/>
                <w:vertAlign w:val="subscript"/>
              </w:rPr>
              <w:t>m</w:t>
            </w:r>
            <w:r>
              <w:rPr>
                <w:color w:val="auto"/>
                <w:sz w:val="24"/>
              </w:rPr>
              <w:t>为传播路径的平均离地高度，m。</w:t>
            </w:r>
          </w:p>
          <w:p w14:paraId="00437C60">
            <w:pPr>
              <w:spacing w:line="360" w:lineRule="auto"/>
              <w:ind w:firstLine="480" w:firstLineChars="200"/>
              <w:jc w:val="left"/>
              <w:rPr>
                <w:bCs/>
                <w:color w:val="auto"/>
                <w:sz w:val="24"/>
              </w:rPr>
            </w:pPr>
            <w:r>
              <w:rPr>
                <w:bCs/>
                <w:color w:val="auto"/>
                <w:sz w:val="24"/>
              </w:rPr>
              <w:t>（3）某点总等效声级</w:t>
            </w:r>
          </w:p>
          <w:p w14:paraId="02266924">
            <w:pPr>
              <w:spacing w:line="360" w:lineRule="auto"/>
              <w:ind w:firstLine="480"/>
              <w:rPr>
                <w:color w:val="auto"/>
                <w:sz w:val="24"/>
              </w:rPr>
            </w:pPr>
            <w:r>
              <w:rPr>
                <w:color w:val="auto"/>
                <w:sz w:val="24"/>
              </w:rPr>
              <w:t>多个点源在预测点产生的总等效声级采用以下计算模式：</w:t>
            </w:r>
          </w:p>
          <w:p w14:paraId="2BF5D46F">
            <w:pPr>
              <w:ind w:firstLine="480" w:firstLineChars="200"/>
              <w:jc w:val="center"/>
              <w:rPr>
                <w:bCs/>
                <w:color w:val="auto"/>
                <w:sz w:val="24"/>
              </w:rPr>
            </w:pPr>
            <m:oMathPara>
              <m:oMath>
                <m:sSub>
                  <m:sSubPr>
                    <m:ctrlPr>
                      <w:rPr>
                        <w:rFonts w:ascii="Cambria Math" w:hAnsi="Cambria Math"/>
                        <w:bCs/>
                        <w:i/>
                        <w:color w:val="auto"/>
                        <w:sz w:val="24"/>
                      </w:rPr>
                    </m:ctrlPr>
                  </m:sSubPr>
                  <m:e>
                    <m:r>
                      <m:rPr/>
                      <w:rPr>
                        <w:rFonts w:ascii="Cambria Math" w:hAnsi="Cambria Math"/>
                        <w:color w:val="auto"/>
                        <w:sz w:val="24"/>
                      </w:rPr>
                      <m:t>L</m:t>
                    </m:r>
                    <m:ctrlPr>
                      <w:rPr>
                        <w:rFonts w:ascii="Cambria Math" w:hAnsi="Cambria Math"/>
                        <w:bCs/>
                        <w:i/>
                        <w:color w:val="auto"/>
                        <w:sz w:val="24"/>
                      </w:rPr>
                    </m:ctrlPr>
                  </m:e>
                  <m:sub>
                    <m:r>
                      <m:rPr/>
                      <w:rPr>
                        <w:rFonts w:ascii="Cambria Math" w:hAnsi="Cambria Math"/>
                        <w:color w:val="auto"/>
                        <w:sz w:val="24"/>
                      </w:rPr>
                      <m:t>eqg</m:t>
                    </m:r>
                    <m:ctrlPr>
                      <w:rPr>
                        <w:rFonts w:ascii="Cambria Math" w:hAnsi="Cambria Math"/>
                        <w:bCs/>
                        <w:i/>
                        <w:color w:val="auto"/>
                        <w:sz w:val="24"/>
                      </w:rPr>
                    </m:ctrlPr>
                  </m:sub>
                </m:sSub>
                <m:r>
                  <m:rPr>
                    <m:sty m:val="p"/>
                  </m:rPr>
                  <w:rPr>
                    <w:rFonts w:ascii="Cambria Math" w:hAnsi="Cambria Math"/>
                    <w:color w:val="auto"/>
                    <w:sz w:val="24"/>
                  </w:rPr>
                  <m:t>=10lg</m:t>
                </m:r>
                <m:d>
                  <m:dPr>
                    <m:begChr m:val="["/>
                    <m:endChr m:val="]"/>
                    <m:ctrlPr>
                      <w:rPr>
                        <w:rFonts w:ascii="Cambria Math" w:hAnsi="Cambria Math"/>
                        <w:color w:val="auto"/>
                        <w:sz w:val="24"/>
                      </w:rPr>
                    </m:ctrlPr>
                  </m:dPr>
                  <m:e>
                    <m:f>
                      <m:fPr>
                        <m:ctrlPr>
                          <w:rPr>
                            <w:rFonts w:ascii="Cambria Math" w:hAnsi="Cambria Math"/>
                            <w:bCs/>
                            <w:i/>
                            <w:color w:val="auto"/>
                            <w:sz w:val="24"/>
                          </w:rPr>
                        </m:ctrlPr>
                      </m:fPr>
                      <m:num>
                        <m:r>
                          <m:rPr/>
                          <w:rPr>
                            <w:rFonts w:ascii="Cambria Math" w:hAnsi="Cambria Math"/>
                            <w:color w:val="auto"/>
                            <w:sz w:val="24"/>
                          </w:rPr>
                          <m:t>1</m:t>
                        </m:r>
                        <m:ctrlPr>
                          <w:rPr>
                            <w:rFonts w:ascii="Cambria Math" w:hAnsi="Cambria Math"/>
                            <w:bCs/>
                            <w:i/>
                            <w:color w:val="auto"/>
                            <w:sz w:val="24"/>
                          </w:rPr>
                        </m:ctrlPr>
                      </m:num>
                      <m:den>
                        <m:r>
                          <m:rPr/>
                          <w:rPr>
                            <w:rFonts w:ascii="Cambria Math" w:hAnsi="Cambria Math"/>
                            <w:color w:val="auto"/>
                            <w:sz w:val="24"/>
                          </w:rPr>
                          <m:t>T</m:t>
                        </m:r>
                        <m:ctrlPr>
                          <w:rPr>
                            <w:rFonts w:ascii="Cambria Math" w:hAnsi="Cambria Math"/>
                            <w:bCs/>
                            <w:i/>
                            <w:color w:val="auto"/>
                            <w:sz w:val="24"/>
                          </w:rPr>
                        </m:ctrlPr>
                      </m:den>
                    </m:f>
                    <m:d>
                      <m:dPr>
                        <m:ctrlPr>
                          <w:rPr>
                            <w:rFonts w:ascii="Cambria Math" w:hAnsi="Cambria Math"/>
                            <w:bCs/>
                            <w:i/>
                            <w:color w:val="auto"/>
                            <w:sz w:val="24"/>
                          </w:rPr>
                        </m:ctrlPr>
                      </m:dPr>
                      <m:e>
                        <m:nary>
                          <m:naryPr>
                            <m:chr m:val="∑"/>
                            <m:limLoc m:val="undOvr"/>
                            <m:ctrlPr>
                              <w:rPr>
                                <w:rFonts w:ascii="Cambria Math" w:hAnsi="Cambria Math"/>
                                <w:bCs/>
                                <w:i/>
                                <w:color w:val="auto"/>
                                <w:sz w:val="24"/>
                              </w:rPr>
                            </m:ctrlPr>
                          </m:naryPr>
                          <m:sub>
                            <m:r>
                              <m:rPr/>
                              <w:rPr>
                                <w:rFonts w:ascii="Cambria Math" w:hAnsi="Cambria Math"/>
                                <w:color w:val="auto"/>
                                <w:sz w:val="24"/>
                              </w:rPr>
                              <m:t>i=1</m:t>
                            </m:r>
                            <m:ctrlPr>
                              <w:rPr>
                                <w:rFonts w:ascii="Cambria Math" w:hAnsi="Cambria Math"/>
                                <w:bCs/>
                                <w:i/>
                                <w:color w:val="auto"/>
                                <w:sz w:val="24"/>
                              </w:rPr>
                            </m:ctrlPr>
                          </m:sub>
                          <m:sup>
                            <m:r>
                              <m:rPr/>
                              <w:rPr>
                                <w:rFonts w:ascii="Cambria Math" w:hAnsi="Cambria Math"/>
                                <w:color w:val="auto"/>
                                <w:sz w:val="24"/>
                              </w:rPr>
                              <m:t>N</m:t>
                            </m:r>
                            <m:ctrlPr>
                              <w:rPr>
                                <w:rFonts w:ascii="Cambria Math" w:hAnsi="Cambria Math"/>
                                <w:bCs/>
                                <w:i/>
                                <w:color w:val="auto"/>
                                <w:sz w:val="24"/>
                              </w:rPr>
                            </m:ctrlPr>
                          </m:sup>
                          <m:e>
                            <m:sSub>
                              <m:sSubPr>
                                <m:ctrlPr>
                                  <w:rPr>
                                    <w:rFonts w:ascii="Cambria Math" w:hAnsi="Cambria Math"/>
                                    <w:bCs/>
                                    <w:i/>
                                    <w:color w:val="auto"/>
                                    <w:sz w:val="24"/>
                                  </w:rPr>
                                </m:ctrlPr>
                              </m:sSubPr>
                              <m:e>
                                <m:r>
                                  <m:rPr/>
                                  <w:rPr>
                                    <w:rFonts w:ascii="Cambria Math" w:hAnsi="Cambria Math"/>
                                    <w:color w:val="auto"/>
                                    <w:sz w:val="24"/>
                                  </w:rPr>
                                  <m:t>t</m:t>
                                </m:r>
                                <m:ctrlPr>
                                  <w:rPr>
                                    <w:rFonts w:ascii="Cambria Math" w:hAnsi="Cambria Math"/>
                                    <w:bCs/>
                                    <w:i/>
                                    <w:color w:val="auto"/>
                                    <w:sz w:val="24"/>
                                  </w:rPr>
                                </m:ctrlPr>
                              </m:e>
                              <m:sub>
                                <m:r>
                                  <m:rPr/>
                                  <w:rPr>
                                    <w:rFonts w:ascii="Cambria Math" w:hAnsi="Cambria Math"/>
                                    <w:color w:val="auto"/>
                                    <w:sz w:val="24"/>
                                  </w:rPr>
                                  <m:t>i</m:t>
                                </m:r>
                                <m:ctrlPr>
                                  <w:rPr>
                                    <w:rFonts w:ascii="Cambria Math" w:hAnsi="Cambria Math"/>
                                    <w:bCs/>
                                    <w:i/>
                                    <w:color w:val="auto"/>
                                    <w:sz w:val="24"/>
                                  </w:rPr>
                                </m:ctrlPr>
                              </m:sub>
                            </m:sSub>
                            <m:ctrlPr>
                              <w:rPr>
                                <w:rFonts w:ascii="Cambria Math" w:hAnsi="Cambria Math"/>
                                <w:bCs/>
                                <w:i/>
                                <w:color w:val="auto"/>
                                <w:sz w:val="24"/>
                              </w:rPr>
                            </m:ctrlPr>
                          </m:e>
                        </m:nary>
                        <m:sSup>
                          <m:sSupPr>
                            <m:ctrlPr>
                              <w:rPr>
                                <w:rFonts w:ascii="Cambria Math" w:hAnsi="Cambria Math"/>
                                <w:bCs/>
                                <w:i/>
                                <w:color w:val="auto"/>
                                <w:sz w:val="24"/>
                              </w:rPr>
                            </m:ctrlPr>
                          </m:sSupPr>
                          <m:e>
                            <m:r>
                              <m:rPr/>
                              <w:rPr>
                                <w:rFonts w:ascii="Cambria Math" w:hAnsi="Cambria Math"/>
                                <w:color w:val="auto"/>
                                <w:sz w:val="24"/>
                              </w:rPr>
                              <m:t>10</m:t>
                            </m:r>
                            <m:ctrlPr>
                              <w:rPr>
                                <w:rFonts w:ascii="Cambria Math" w:hAnsi="Cambria Math"/>
                                <w:bCs/>
                                <w:i/>
                                <w:color w:val="auto"/>
                                <w:sz w:val="24"/>
                              </w:rPr>
                            </m:ctrlPr>
                          </m:e>
                          <m:sup>
                            <m:r>
                              <m:rPr/>
                              <w:rPr>
                                <w:rFonts w:ascii="Cambria Math" w:hAnsi="Cambria Math"/>
                                <w:color w:val="auto"/>
                                <w:sz w:val="24"/>
                              </w:rPr>
                              <m:t>0.1</m:t>
                            </m:r>
                            <m:sSub>
                              <m:sSubPr>
                                <m:ctrlPr>
                                  <w:rPr>
                                    <w:rFonts w:ascii="Cambria Math" w:hAnsi="Cambria Math"/>
                                    <w:bCs/>
                                    <w:i/>
                                    <w:color w:val="auto"/>
                                    <w:sz w:val="24"/>
                                  </w:rPr>
                                </m:ctrlPr>
                              </m:sSubPr>
                              <m:e>
                                <m:r>
                                  <m:rPr/>
                                  <w:rPr>
                                    <w:rFonts w:ascii="Cambria Math" w:hAnsi="Cambria Math"/>
                                    <w:color w:val="auto"/>
                                    <w:sz w:val="24"/>
                                  </w:rPr>
                                  <m:t>L</m:t>
                                </m:r>
                                <m:ctrlPr>
                                  <w:rPr>
                                    <w:rFonts w:ascii="Cambria Math" w:hAnsi="Cambria Math"/>
                                    <w:bCs/>
                                    <w:i/>
                                    <w:color w:val="auto"/>
                                    <w:sz w:val="24"/>
                                  </w:rPr>
                                </m:ctrlPr>
                              </m:e>
                              <m:sub>
                                <m:r>
                                  <m:rPr/>
                                  <w:rPr>
                                    <w:rFonts w:ascii="Cambria Math" w:hAnsi="Cambria Math"/>
                                    <w:color w:val="auto"/>
                                    <w:sz w:val="24"/>
                                  </w:rPr>
                                  <m:t>Ai</m:t>
                                </m:r>
                                <m:ctrlPr>
                                  <w:rPr>
                                    <w:rFonts w:ascii="Cambria Math" w:hAnsi="Cambria Math"/>
                                    <w:bCs/>
                                    <w:i/>
                                    <w:color w:val="auto"/>
                                    <w:sz w:val="24"/>
                                  </w:rPr>
                                </m:ctrlPr>
                              </m:sub>
                            </m:sSub>
                            <m:ctrlPr>
                              <w:rPr>
                                <w:rFonts w:ascii="Cambria Math" w:hAnsi="Cambria Math"/>
                                <w:bCs/>
                                <w:i/>
                                <w:color w:val="auto"/>
                                <w:sz w:val="24"/>
                              </w:rPr>
                            </m:ctrlPr>
                          </m:sup>
                        </m:sSup>
                        <m:r>
                          <m:rPr/>
                          <w:rPr>
                            <w:rFonts w:ascii="Cambria Math" w:hAnsi="Cambria Math"/>
                            <w:color w:val="auto"/>
                            <w:sz w:val="24"/>
                          </w:rPr>
                          <m:t>+</m:t>
                        </m:r>
                        <m:nary>
                          <m:naryPr>
                            <m:chr m:val="∑"/>
                            <m:limLoc m:val="undOvr"/>
                            <m:ctrlPr>
                              <w:rPr>
                                <w:rFonts w:ascii="Cambria Math" w:hAnsi="Cambria Math"/>
                                <w:bCs/>
                                <w:i/>
                                <w:color w:val="auto"/>
                                <w:sz w:val="24"/>
                              </w:rPr>
                            </m:ctrlPr>
                          </m:naryPr>
                          <m:sub>
                            <m:r>
                              <m:rPr/>
                              <w:rPr>
                                <w:rFonts w:ascii="Cambria Math" w:hAnsi="Cambria Math"/>
                                <w:color w:val="auto"/>
                                <w:sz w:val="24"/>
                              </w:rPr>
                              <m:t>j=1</m:t>
                            </m:r>
                            <m:ctrlPr>
                              <w:rPr>
                                <w:rFonts w:ascii="Cambria Math" w:hAnsi="Cambria Math"/>
                                <w:bCs/>
                                <w:i/>
                                <w:color w:val="auto"/>
                                <w:sz w:val="24"/>
                              </w:rPr>
                            </m:ctrlPr>
                          </m:sub>
                          <m:sup>
                            <m:r>
                              <m:rPr/>
                              <w:rPr>
                                <w:rFonts w:ascii="Cambria Math" w:hAnsi="Cambria Math"/>
                                <w:color w:val="auto"/>
                                <w:sz w:val="24"/>
                              </w:rPr>
                              <m:t>M</m:t>
                            </m:r>
                            <m:ctrlPr>
                              <w:rPr>
                                <w:rFonts w:ascii="Cambria Math" w:hAnsi="Cambria Math"/>
                                <w:bCs/>
                                <w:i/>
                                <w:color w:val="auto"/>
                                <w:sz w:val="24"/>
                              </w:rPr>
                            </m:ctrlPr>
                          </m:sup>
                          <m:e>
                            <m:sSub>
                              <m:sSubPr>
                                <m:ctrlPr>
                                  <w:rPr>
                                    <w:rFonts w:ascii="Cambria Math" w:hAnsi="Cambria Math"/>
                                    <w:bCs/>
                                    <w:i/>
                                    <w:color w:val="auto"/>
                                    <w:sz w:val="24"/>
                                  </w:rPr>
                                </m:ctrlPr>
                              </m:sSubPr>
                              <m:e>
                                <m:r>
                                  <m:rPr/>
                                  <w:rPr>
                                    <w:rFonts w:ascii="Cambria Math" w:hAnsi="Cambria Math"/>
                                    <w:color w:val="auto"/>
                                    <w:sz w:val="24"/>
                                  </w:rPr>
                                  <m:t>t</m:t>
                                </m:r>
                                <m:ctrlPr>
                                  <w:rPr>
                                    <w:rFonts w:ascii="Cambria Math" w:hAnsi="Cambria Math"/>
                                    <w:bCs/>
                                    <w:i/>
                                    <w:color w:val="auto"/>
                                    <w:sz w:val="24"/>
                                  </w:rPr>
                                </m:ctrlPr>
                              </m:e>
                              <m:sub>
                                <m:r>
                                  <m:rPr/>
                                  <w:rPr>
                                    <w:rFonts w:ascii="Cambria Math" w:hAnsi="Cambria Math"/>
                                    <w:color w:val="auto"/>
                                    <w:sz w:val="24"/>
                                  </w:rPr>
                                  <m:t>j</m:t>
                                </m:r>
                                <m:ctrlPr>
                                  <w:rPr>
                                    <w:rFonts w:ascii="Cambria Math" w:hAnsi="Cambria Math"/>
                                    <w:bCs/>
                                    <w:i/>
                                    <w:color w:val="auto"/>
                                    <w:sz w:val="24"/>
                                  </w:rPr>
                                </m:ctrlPr>
                              </m:sub>
                            </m:sSub>
                            <m:ctrlPr>
                              <w:rPr>
                                <w:rFonts w:ascii="Cambria Math" w:hAnsi="Cambria Math"/>
                                <w:bCs/>
                                <w:i/>
                                <w:color w:val="auto"/>
                                <w:sz w:val="24"/>
                              </w:rPr>
                            </m:ctrlPr>
                          </m:e>
                        </m:nary>
                        <m:sSup>
                          <m:sSupPr>
                            <m:ctrlPr>
                              <w:rPr>
                                <w:rFonts w:ascii="Cambria Math" w:hAnsi="Cambria Math"/>
                                <w:bCs/>
                                <w:i/>
                                <w:color w:val="auto"/>
                                <w:sz w:val="24"/>
                              </w:rPr>
                            </m:ctrlPr>
                          </m:sSupPr>
                          <m:e>
                            <m:r>
                              <m:rPr/>
                              <w:rPr>
                                <w:rFonts w:ascii="Cambria Math" w:hAnsi="Cambria Math"/>
                                <w:color w:val="auto"/>
                                <w:sz w:val="24"/>
                              </w:rPr>
                              <m:t>10</m:t>
                            </m:r>
                            <m:ctrlPr>
                              <w:rPr>
                                <w:rFonts w:ascii="Cambria Math" w:hAnsi="Cambria Math"/>
                                <w:bCs/>
                                <w:i/>
                                <w:color w:val="auto"/>
                                <w:sz w:val="24"/>
                              </w:rPr>
                            </m:ctrlPr>
                          </m:e>
                          <m:sup>
                            <m:r>
                              <m:rPr/>
                              <w:rPr>
                                <w:rFonts w:ascii="Cambria Math" w:hAnsi="Cambria Math"/>
                                <w:color w:val="auto"/>
                                <w:sz w:val="24"/>
                              </w:rPr>
                              <m:t>0.1</m:t>
                            </m:r>
                            <m:sSub>
                              <m:sSubPr>
                                <m:ctrlPr>
                                  <w:rPr>
                                    <w:rFonts w:ascii="Cambria Math" w:hAnsi="Cambria Math"/>
                                    <w:bCs/>
                                    <w:i/>
                                    <w:color w:val="auto"/>
                                    <w:sz w:val="24"/>
                                  </w:rPr>
                                </m:ctrlPr>
                              </m:sSubPr>
                              <m:e>
                                <m:r>
                                  <m:rPr/>
                                  <w:rPr>
                                    <w:rFonts w:ascii="Cambria Math" w:hAnsi="Cambria Math"/>
                                    <w:color w:val="auto"/>
                                    <w:sz w:val="24"/>
                                  </w:rPr>
                                  <m:t>L</m:t>
                                </m:r>
                                <m:ctrlPr>
                                  <w:rPr>
                                    <w:rFonts w:ascii="Cambria Math" w:hAnsi="Cambria Math"/>
                                    <w:bCs/>
                                    <w:i/>
                                    <w:color w:val="auto"/>
                                    <w:sz w:val="24"/>
                                  </w:rPr>
                                </m:ctrlPr>
                              </m:e>
                              <m:sub>
                                <m:r>
                                  <m:rPr/>
                                  <w:rPr>
                                    <w:rFonts w:ascii="Cambria Math" w:hAnsi="Cambria Math"/>
                                    <w:color w:val="auto"/>
                                    <w:sz w:val="24"/>
                                  </w:rPr>
                                  <m:t>Aj</m:t>
                                </m:r>
                                <m:ctrlPr>
                                  <w:rPr>
                                    <w:rFonts w:ascii="Cambria Math" w:hAnsi="Cambria Math"/>
                                    <w:bCs/>
                                    <w:i/>
                                    <w:color w:val="auto"/>
                                    <w:sz w:val="24"/>
                                  </w:rPr>
                                </m:ctrlPr>
                              </m:sub>
                            </m:sSub>
                            <m:ctrlPr>
                              <w:rPr>
                                <w:rFonts w:ascii="Cambria Math" w:hAnsi="Cambria Math"/>
                                <w:bCs/>
                                <w:i/>
                                <w:color w:val="auto"/>
                                <w:sz w:val="24"/>
                              </w:rPr>
                            </m:ctrlPr>
                          </m:sup>
                        </m:sSup>
                        <m:ctrlPr>
                          <w:rPr>
                            <w:rFonts w:ascii="Cambria Math" w:hAnsi="Cambria Math"/>
                            <w:bCs/>
                            <w:i/>
                            <w:color w:val="auto"/>
                            <w:sz w:val="24"/>
                          </w:rPr>
                        </m:ctrlPr>
                      </m:e>
                    </m:d>
                    <m:ctrlPr>
                      <w:rPr>
                        <w:rFonts w:ascii="Cambria Math" w:hAnsi="Cambria Math"/>
                        <w:color w:val="auto"/>
                        <w:sz w:val="24"/>
                      </w:rPr>
                    </m:ctrlPr>
                  </m:e>
                </m:d>
              </m:oMath>
            </m:oMathPara>
          </w:p>
          <w:p w14:paraId="532AC0FD">
            <w:pPr>
              <w:pStyle w:val="62"/>
              <w:spacing w:line="360" w:lineRule="auto"/>
              <w:ind w:firstLine="420" w:firstLineChars="200"/>
              <w:jc w:val="left"/>
              <w:rPr>
                <w:rFonts w:eastAsia="宋体"/>
                <w:bCs/>
                <w:color w:val="auto"/>
                <w:sz w:val="24"/>
              </w:rPr>
            </w:pPr>
            <w:r>
              <w:rPr>
                <w:rFonts w:eastAsia="宋体"/>
                <w:color w:val="auto"/>
              </w:rPr>
              <w:t>式中：</w:t>
            </w:r>
            <w:r>
              <w:rPr>
                <w:rFonts w:eastAsia="宋体"/>
                <w:i/>
                <w:color w:val="auto"/>
              </w:rPr>
              <w:t>Leqg</w:t>
            </w:r>
            <w:r>
              <w:rPr>
                <w:rFonts w:eastAsia="宋体"/>
                <w:bCs/>
                <w:color w:val="auto"/>
                <w:sz w:val="24"/>
              </w:rPr>
              <w:t>——建设项目声源在预测点的等效声级贡献值，</w:t>
            </w:r>
            <w:r>
              <w:rPr>
                <w:rFonts w:eastAsia="宋体"/>
                <w:color w:val="auto"/>
                <w:sz w:val="24"/>
                <w:szCs w:val="24"/>
              </w:rPr>
              <w:t>dB(A)；</w:t>
            </w:r>
          </w:p>
          <w:p w14:paraId="7A134B64">
            <w:pPr>
              <w:pStyle w:val="62"/>
              <w:spacing w:line="360" w:lineRule="auto"/>
              <w:ind w:firstLine="1080" w:firstLineChars="450"/>
              <w:jc w:val="left"/>
              <w:rPr>
                <w:rFonts w:eastAsia="宋体"/>
                <w:bCs/>
                <w:color w:val="auto"/>
                <w:sz w:val="24"/>
              </w:rPr>
            </w:pPr>
            <w:r>
              <w:rPr>
                <w:rFonts w:eastAsia="宋体"/>
                <w:bCs/>
                <w:i/>
                <w:color w:val="auto"/>
                <w:sz w:val="24"/>
              </w:rPr>
              <w:t>T</w:t>
            </w:r>
            <w:r>
              <w:rPr>
                <w:rFonts w:eastAsia="宋体"/>
                <w:bCs/>
                <w:color w:val="auto"/>
                <w:sz w:val="24"/>
              </w:rPr>
              <w:t>——预测计算的时间段，s；</w:t>
            </w:r>
          </w:p>
          <w:p w14:paraId="4F21C13D">
            <w:pPr>
              <w:pStyle w:val="62"/>
              <w:spacing w:line="360" w:lineRule="auto"/>
              <w:ind w:firstLine="1080" w:firstLineChars="450"/>
              <w:jc w:val="left"/>
              <w:rPr>
                <w:rFonts w:eastAsia="宋体"/>
                <w:bCs/>
                <w:color w:val="auto"/>
                <w:sz w:val="24"/>
              </w:rPr>
            </w:pPr>
            <w:r>
              <w:rPr>
                <w:rFonts w:eastAsia="宋体"/>
                <w:bCs/>
                <w:i/>
                <w:color w:val="auto"/>
                <w:sz w:val="24"/>
              </w:rPr>
              <w:t>N</w:t>
            </w:r>
            <w:r>
              <w:rPr>
                <w:rFonts w:eastAsia="宋体"/>
                <w:bCs/>
                <w:color w:val="auto"/>
                <w:sz w:val="24"/>
              </w:rPr>
              <w:t>——室外声源个数；</w:t>
            </w:r>
          </w:p>
          <w:p w14:paraId="546F0A07">
            <w:pPr>
              <w:pStyle w:val="62"/>
              <w:spacing w:line="360" w:lineRule="auto"/>
              <w:ind w:firstLine="1080" w:firstLineChars="450"/>
              <w:jc w:val="left"/>
              <w:rPr>
                <w:rFonts w:eastAsia="宋体"/>
                <w:bCs/>
                <w:color w:val="auto"/>
                <w:sz w:val="24"/>
              </w:rPr>
            </w:pPr>
            <w:r>
              <w:rPr>
                <w:rFonts w:eastAsia="宋体"/>
                <w:bCs/>
                <w:i/>
                <w:color w:val="auto"/>
                <w:sz w:val="24"/>
              </w:rPr>
              <w:t>t</w:t>
            </w:r>
            <w:r>
              <w:rPr>
                <w:rFonts w:eastAsia="宋体"/>
                <w:bCs/>
                <w:i/>
                <w:color w:val="auto"/>
                <w:sz w:val="24"/>
                <w:vertAlign w:val="subscript"/>
              </w:rPr>
              <w:t>i</w:t>
            </w:r>
            <w:r>
              <w:rPr>
                <w:rFonts w:eastAsia="宋体"/>
                <w:bCs/>
                <w:color w:val="auto"/>
                <w:sz w:val="24"/>
              </w:rPr>
              <w:t>——在</w:t>
            </w:r>
            <w:r>
              <w:rPr>
                <w:rFonts w:eastAsia="宋体"/>
                <w:bCs/>
                <w:i/>
                <w:color w:val="auto"/>
                <w:sz w:val="24"/>
              </w:rPr>
              <w:t>T</w:t>
            </w:r>
            <w:r>
              <w:rPr>
                <w:rFonts w:eastAsia="宋体"/>
                <w:bCs/>
                <w:color w:val="auto"/>
                <w:sz w:val="24"/>
              </w:rPr>
              <w:t>时段内</w:t>
            </w:r>
            <w:r>
              <w:rPr>
                <w:rFonts w:eastAsia="宋体"/>
                <w:bCs/>
                <w:i/>
                <w:color w:val="auto"/>
                <w:sz w:val="24"/>
              </w:rPr>
              <w:t>i</w:t>
            </w:r>
            <w:r>
              <w:rPr>
                <w:rFonts w:eastAsia="宋体"/>
                <w:bCs/>
                <w:color w:val="auto"/>
                <w:sz w:val="24"/>
              </w:rPr>
              <w:t>声源工作时间，s；</w:t>
            </w:r>
          </w:p>
          <w:p w14:paraId="156FCCB8">
            <w:pPr>
              <w:pStyle w:val="62"/>
              <w:spacing w:line="360" w:lineRule="auto"/>
              <w:ind w:firstLine="1080" w:firstLineChars="450"/>
              <w:jc w:val="left"/>
              <w:rPr>
                <w:rFonts w:eastAsia="宋体"/>
                <w:bCs/>
                <w:color w:val="auto"/>
                <w:sz w:val="24"/>
              </w:rPr>
            </w:pPr>
            <w:r>
              <w:rPr>
                <w:rFonts w:eastAsia="宋体"/>
                <w:bCs/>
                <w:i/>
                <w:color w:val="auto"/>
                <w:sz w:val="24"/>
              </w:rPr>
              <w:t>M</w:t>
            </w:r>
            <w:r>
              <w:rPr>
                <w:rFonts w:eastAsia="宋体"/>
                <w:bCs/>
                <w:color w:val="auto"/>
                <w:sz w:val="24"/>
              </w:rPr>
              <w:t>——等效室外声源个数；</w:t>
            </w:r>
          </w:p>
          <w:p w14:paraId="62A276E8">
            <w:pPr>
              <w:pStyle w:val="62"/>
              <w:spacing w:line="360" w:lineRule="auto"/>
              <w:ind w:firstLine="1080" w:firstLineChars="450"/>
              <w:jc w:val="left"/>
              <w:rPr>
                <w:rFonts w:eastAsia="宋体"/>
                <w:bCs/>
                <w:color w:val="auto"/>
                <w:sz w:val="24"/>
              </w:rPr>
            </w:pPr>
            <w:r>
              <w:rPr>
                <w:rFonts w:eastAsia="宋体"/>
                <w:bCs/>
                <w:i/>
                <w:color w:val="auto"/>
                <w:sz w:val="24"/>
              </w:rPr>
              <w:t>t</w:t>
            </w:r>
            <w:r>
              <w:rPr>
                <w:rFonts w:eastAsia="宋体"/>
                <w:bCs/>
                <w:i/>
                <w:color w:val="auto"/>
                <w:sz w:val="24"/>
                <w:vertAlign w:val="subscript"/>
              </w:rPr>
              <w:t>j</w:t>
            </w:r>
            <w:r>
              <w:rPr>
                <w:rFonts w:eastAsia="宋体"/>
                <w:bCs/>
                <w:color w:val="auto"/>
                <w:sz w:val="24"/>
              </w:rPr>
              <w:t>——在</w:t>
            </w:r>
            <w:r>
              <w:rPr>
                <w:rFonts w:eastAsia="宋体"/>
                <w:bCs/>
                <w:i/>
                <w:color w:val="auto"/>
                <w:sz w:val="24"/>
              </w:rPr>
              <w:t>T</w:t>
            </w:r>
            <w:r>
              <w:rPr>
                <w:rFonts w:eastAsia="宋体"/>
                <w:bCs/>
                <w:color w:val="auto"/>
                <w:sz w:val="24"/>
              </w:rPr>
              <w:t>时段内</w:t>
            </w:r>
            <w:r>
              <w:rPr>
                <w:rFonts w:eastAsia="宋体"/>
                <w:bCs/>
                <w:i/>
                <w:color w:val="auto"/>
                <w:sz w:val="24"/>
              </w:rPr>
              <w:t>j</w:t>
            </w:r>
            <w:r>
              <w:rPr>
                <w:rFonts w:eastAsia="宋体"/>
                <w:bCs/>
                <w:color w:val="auto"/>
                <w:sz w:val="24"/>
              </w:rPr>
              <w:t>声源工作时间，s。</w:t>
            </w:r>
          </w:p>
          <w:p w14:paraId="2825C407">
            <w:pPr>
              <w:spacing w:line="360" w:lineRule="auto"/>
              <w:ind w:firstLine="480" w:firstLineChars="200"/>
              <w:rPr>
                <w:color w:val="auto"/>
                <w:sz w:val="24"/>
              </w:rPr>
            </w:pPr>
            <w:r>
              <w:rPr>
                <w:color w:val="auto"/>
                <w:sz w:val="24"/>
              </w:rPr>
              <w:t>（4）预测结果</w:t>
            </w:r>
          </w:p>
          <w:p w14:paraId="0381AA3E">
            <w:pPr>
              <w:spacing w:line="360" w:lineRule="auto"/>
              <w:ind w:firstLine="480" w:firstLineChars="200"/>
              <w:rPr>
                <w:bCs/>
                <w:color w:val="auto"/>
                <w:sz w:val="24"/>
                <w:lang w:val="zh-CN"/>
              </w:rPr>
            </w:pPr>
            <w:r>
              <w:rPr>
                <w:bCs/>
                <w:color w:val="auto"/>
                <w:sz w:val="24"/>
              </w:rPr>
              <w:t>本项目主要噪声位于生产厂房中的泵类，通过厂界</w:t>
            </w:r>
            <w:r>
              <w:rPr>
                <w:bCs/>
                <w:color w:val="auto"/>
                <w:sz w:val="24"/>
                <w:lang w:val="zh-CN"/>
              </w:rPr>
              <w:t>噪声叠加预测，具体预测结果见表</w:t>
            </w:r>
            <w:r>
              <w:rPr>
                <w:rFonts w:hint="eastAsia"/>
                <w:bCs/>
                <w:color w:val="auto"/>
                <w:sz w:val="24"/>
              </w:rPr>
              <w:t>4-13</w:t>
            </w:r>
            <w:r>
              <w:rPr>
                <w:bCs/>
                <w:color w:val="auto"/>
                <w:sz w:val="24"/>
                <w:lang w:val="zh-CN"/>
              </w:rPr>
              <w:t>。</w:t>
            </w:r>
          </w:p>
          <w:p w14:paraId="6BA78A7A">
            <w:pPr>
              <w:jc w:val="center"/>
              <w:rPr>
                <w:rFonts w:ascii="宋体" w:hAnsi="宋体" w:cs="宋体"/>
                <w:b/>
                <w:color w:val="auto"/>
                <w:szCs w:val="21"/>
              </w:rPr>
            </w:pPr>
            <w:r>
              <w:rPr>
                <w:rFonts w:hint="eastAsia" w:ascii="宋体" w:hAnsi="宋体" w:cs="宋体"/>
                <w:b/>
                <w:color w:val="auto"/>
                <w:szCs w:val="21"/>
              </w:rPr>
              <w:t>表4-13  厂界预测结果   单位：dB（A）</w:t>
            </w:r>
          </w:p>
          <w:tbl>
            <w:tblPr>
              <w:tblStyle w:val="24"/>
              <w:tblW w:w="4936" w:type="pct"/>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079"/>
              <w:gridCol w:w="896"/>
              <w:gridCol w:w="835"/>
              <w:gridCol w:w="835"/>
              <w:gridCol w:w="834"/>
              <w:gridCol w:w="834"/>
              <w:gridCol w:w="867"/>
              <w:gridCol w:w="867"/>
              <w:gridCol w:w="864"/>
            </w:tblGrid>
            <w:tr w14:paraId="23932E9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682" w:type="pct"/>
                  <w:vAlign w:val="center"/>
                </w:tcPr>
                <w:p w14:paraId="050C4089">
                  <w:pPr>
                    <w:jc w:val="center"/>
                    <w:rPr>
                      <w:color w:val="auto"/>
                      <w:szCs w:val="21"/>
                    </w:rPr>
                  </w:pPr>
                  <w:r>
                    <w:rPr>
                      <w:color w:val="auto"/>
                      <w:szCs w:val="21"/>
                    </w:rPr>
                    <w:t>厂界噪声</w:t>
                  </w:r>
                </w:p>
              </w:tc>
              <w:tc>
                <w:tcPr>
                  <w:tcW w:w="1094" w:type="pct"/>
                  <w:gridSpan w:val="2"/>
                  <w:vAlign w:val="center"/>
                </w:tcPr>
                <w:p w14:paraId="06ACB58D">
                  <w:pPr>
                    <w:jc w:val="center"/>
                    <w:rPr>
                      <w:color w:val="auto"/>
                      <w:szCs w:val="21"/>
                    </w:rPr>
                  </w:pPr>
                  <w:r>
                    <w:rPr>
                      <w:color w:val="auto"/>
                      <w:szCs w:val="21"/>
                    </w:rPr>
                    <w:t>东厂界</w:t>
                  </w:r>
                </w:p>
              </w:tc>
              <w:tc>
                <w:tcPr>
                  <w:tcW w:w="1055" w:type="pct"/>
                  <w:gridSpan w:val="2"/>
                  <w:vAlign w:val="center"/>
                </w:tcPr>
                <w:p w14:paraId="4F58F0FC">
                  <w:pPr>
                    <w:jc w:val="center"/>
                    <w:rPr>
                      <w:color w:val="auto"/>
                      <w:szCs w:val="21"/>
                    </w:rPr>
                  </w:pPr>
                  <w:r>
                    <w:rPr>
                      <w:color w:val="auto"/>
                      <w:szCs w:val="21"/>
                    </w:rPr>
                    <w:t>西厂界</w:t>
                  </w:r>
                </w:p>
              </w:tc>
              <w:tc>
                <w:tcPr>
                  <w:tcW w:w="1075" w:type="pct"/>
                  <w:gridSpan w:val="2"/>
                  <w:vAlign w:val="center"/>
                </w:tcPr>
                <w:p w14:paraId="603DD7AC">
                  <w:pPr>
                    <w:jc w:val="center"/>
                    <w:rPr>
                      <w:color w:val="auto"/>
                      <w:szCs w:val="21"/>
                    </w:rPr>
                  </w:pPr>
                  <w:r>
                    <w:rPr>
                      <w:color w:val="auto"/>
                      <w:szCs w:val="21"/>
                    </w:rPr>
                    <w:t>南厂界</w:t>
                  </w:r>
                </w:p>
              </w:tc>
              <w:tc>
                <w:tcPr>
                  <w:tcW w:w="1094" w:type="pct"/>
                  <w:gridSpan w:val="2"/>
                  <w:vAlign w:val="center"/>
                </w:tcPr>
                <w:p w14:paraId="68912473">
                  <w:pPr>
                    <w:jc w:val="center"/>
                    <w:rPr>
                      <w:color w:val="auto"/>
                      <w:szCs w:val="21"/>
                    </w:rPr>
                  </w:pPr>
                  <w:r>
                    <w:rPr>
                      <w:color w:val="auto"/>
                      <w:szCs w:val="21"/>
                    </w:rPr>
                    <w:t>北厂界</w:t>
                  </w:r>
                </w:p>
              </w:tc>
            </w:tr>
            <w:tr w14:paraId="4D86FA7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682" w:type="pct"/>
                  <w:vAlign w:val="center"/>
                </w:tcPr>
                <w:p w14:paraId="77831BA9">
                  <w:pPr>
                    <w:jc w:val="center"/>
                    <w:rPr>
                      <w:color w:val="auto"/>
                      <w:szCs w:val="21"/>
                    </w:rPr>
                  </w:pPr>
                  <w:r>
                    <w:rPr>
                      <w:color w:val="auto"/>
                      <w:szCs w:val="21"/>
                    </w:rPr>
                    <w:t>时段</w:t>
                  </w:r>
                </w:p>
              </w:tc>
              <w:tc>
                <w:tcPr>
                  <w:tcW w:w="566" w:type="pct"/>
                  <w:vAlign w:val="center"/>
                </w:tcPr>
                <w:p w14:paraId="17301AEF">
                  <w:pPr>
                    <w:jc w:val="center"/>
                    <w:rPr>
                      <w:color w:val="auto"/>
                      <w:szCs w:val="21"/>
                    </w:rPr>
                  </w:pPr>
                  <w:r>
                    <w:rPr>
                      <w:color w:val="auto"/>
                      <w:szCs w:val="21"/>
                    </w:rPr>
                    <w:t>昼间</w:t>
                  </w:r>
                </w:p>
              </w:tc>
              <w:tc>
                <w:tcPr>
                  <w:tcW w:w="528" w:type="pct"/>
                </w:tcPr>
                <w:p w14:paraId="7466E403">
                  <w:pPr>
                    <w:jc w:val="center"/>
                    <w:rPr>
                      <w:color w:val="auto"/>
                      <w:szCs w:val="21"/>
                    </w:rPr>
                  </w:pPr>
                  <w:r>
                    <w:rPr>
                      <w:color w:val="auto"/>
                      <w:szCs w:val="21"/>
                    </w:rPr>
                    <w:t>夜间</w:t>
                  </w:r>
                </w:p>
              </w:tc>
              <w:tc>
                <w:tcPr>
                  <w:tcW w:w="528" w:type="pct"/>
                  <w:vAlign w:val="center"/>
                </w:tcPr>
                <w:p w14:paraId="7275592A">
                  <w:pPr>
                    <w:jc w:val="center"/>
                    <w:rPr>
                      <w:color w:val="auto"/>
                      <w:szCs w:val="21"/>
                    </w:rPr>
                  </w:pPr>
                  <w:r>
                    <w:rPr>
                      <w:color w:val="auto"/>
                      <w:szCs w:val="21"/>
                    </w:rPr>
                    <w:t>昼间</w:t>
                  </w:r>
                </w:p>
              </w:tc>
              <w:tc>
                <w:tcPr>
                  <w:tcW w:w="527" w:type="pct"/>
                </w:tcPr>
                <w:p w14:paraId="54CB8E22">
                  <w:pPr>
                    <w:jc w:val="center"/>
                    <w:rPr>
                      <w:color w:val="auto"/>
                      <w:szCs w:val="21"/>
                    </w:rPr>
                  </w:pPr>
                  <w:r>
                    <w:rPr>
                      <w:color w:val="auto"/>
                      <w:szCs w:val="21"/>
                    </w:rPr>
                    <w:t>夜间</w:t>
                  </w:r>
                </w:p>
              </w:tc>
              <w:tc>
                <w:tcPr>
                  <w:tcW w:w="527" w:type="pct"/>
                  <w:vAlign w:val="center"/>
                </w:tcPr>
                <w:p w14:paraId="11762D54">
                  <w:pPr>
                    <w:jc w:val="center"/>
                    <w:rPr>
                      <w:color w:val="auto"/>
                      <w:szCs w:val="21"/>
                    </w:rPr>
                  </w:pPr>
                  <w:r>
                    <w:rPr>
                      <w:color w:val="auto"/>
                      <w:szCs w:val="21"/>
                    </w:rPr>
                    <w:t>昼间</w:t>
                  </w:r>
                </w:p>
              </w:tc>
              <w:tc>
                <w:tcPr>
                  <w:tcW w:w="548" w:type="pct"/>
                </w:tcPr>
                <w:p w14:paraId="6F19680F">
                  <w:pPr>
                    <w:jc w:val="center"/>
                    <w:rPr>
                      <w:color w:val="auto"/>
                      <w:szCs w:val="21"/>
                    </w:rPr>
                  </w:pPr>
                  <w:r>
                    <w:rPr>
                      <w:color w:val="auto"/>
                      <w:szCs w:val="21"/>
                    </w:rPr>
                    <w:t>夜间</w:t>
                  </w:r>
                </w:p>
              </w:tc>
              <w:tc>
                <w:tcPr>
                  <w:tcW w:w="548" w:type="pct"/>
                  <w:vAlign w:val="center"/>
                </w:tcPr>
                <w:p w14:paraId="720F3FE5">
                  <w:pPr>
                    <w:jc w:val="center"/>
                    <w:rPr>
                      <w:color w:val="auto"/>
                      <w:szCs w:val="21"/>
                    </w:rPr>
                  </w:pPr>
                  <w:r>
                    <w:rPr>
                      <w:color w:val="auto"/>
                      <w:szCs w:val="21"/>
                    </w:rPr>
                    <w:t>昼间</w:t>
                  </w:r>
                </w:p>
              </w:tc>
              <w:tc>
                <w:tcPr>
                  <w:tcW w:w="546" w:type="pct"/>
                </w:tcPr>
                <w:p w14:paraId="515924A7">
                  <w:pPr>
                    <w:jc w:val="center"/>
                    <w:rPr>
                      <w:color w:val="auto"/>
                      <w:szCs w:val="21"/>
                    </w:rPr>
                  </w:pPr>
                  <w:r>
                    <w:rPr>
                      <w:color w:val="auto"/>
                      <w:szCs w:val="21"/>
                    </w:rPr>
                    <w:t>夜间</w:t>
                  </w:r>
                </w:p>
              </w:tc>
            </w:tr>
            <w:tr w14:paraId="41855E0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682" w:type="pct"/>
                  <w:vAlign w:val="center"/>
                </w:tcPr>
                <w:p w14:paraId="5A7A4CA8">
                  <w:pPr>
                    <w:jc w:val="center"/>
                    <w:rPr>
                      <w:color w:val="auto"/>
                      <w:szCs w:val="21"/>
                    </w:rPr>
                  </w:pPr>
                  <w:r>
                    <w:rPr>
                      <w:color w:val="auto"/>
                      <w:szCs w:val="21"/>
                    </w:rPr>
                    <w:t>贡献值</w:t>
                  </w:r>
                </w:p>
              </w:tc>
              <w:tc>
                <w:tcPr>
                  <w:tcW w:w="566" w:type="pct"/>
                  <w:vAlign w:val="center"/>
                </w:tcPr>
                <w:p w14:paraId="6A73E03E">
                  <w:pPr>
                    <w:jc w:val="center"/>
                    <w:rPr>
                      <w:color w:val="auto"/>
                      <w:szCs w:val="21"/>
                    </w:rPr>
                  </w:pPr>
                  <w:r>
                    <w:rPr>
                      <w:color w:val="auto"/>
                      <w:szCs w:val="21"/>
                    </w:rPr>
                    <w:t>45</w:t>
                  </w:r>
                </w:p>
              </w:tc>
              <w:tc>
                <w:tcPr>
                  <w:tcW w:w="528" w:type="pct"/>
                </w:tcPr>
                <w:p w14:paraId="32AB8027">
                  <w:pPr>
                    <w:jc w:val="center"/>
                    <w:rPr>
                      <w:color w:val="auto"/>
                      <w:szCs w:val="21"/>
                    </w:rPr>
                  </w:pPr>
                  <w:r>
                    <w:rPr>
                      <w:color w:val="auto"/>
                      <w:szCs w:val="21"/>
                    </w:rPr>
                    <w:t>45</w:t>
                  </w:r>
                </w:p>
              </w:tc>
              <w:tc>
                <w:tcPr>
                  <w:tcW w:w="528" w:type="pct"/>
                  <w:vAlign w:val="center"/>
                </w:tcPr>
                <w:p w14:paraId="7CA5E1AB">
                  <w:pPr>
                    <w:jc w:val="center"/>
                    <w:rPr>
                      <w:color w:val="auto"/>
                      <w:szCs w:val="21"/>
                    </w:rPr>
                  </w:pPr>
                  <w:r>
                    <w:rPr>
                      <w:color w:val="auto"/>
                      <w:szCs w:val="21"/>
                    </w:rPr>
                    <w:t>39</w:t>
                  </w:r>
                </w:p>
              </w:tc>
              <w:tc>
                <w:tcPr>
                  <w:tcW w:w="527" w:type="pct"/>
                </w:tcPr>
                <w:p w14:paraId="07584B1B">
                  <w:pPr>
                    <w:jc w:val="center"/>
                    <w:rPr>
                      <w:color w:val="auto"/>
                      <w:szCs w:val="21"/>
                    </w:rPr>
                  </w:pPr>
                  <w:r>
                    <w:rPr>
                      <w:color w:val="auto"/>
                      <w:szCs w:val="21"/>
                    </w:rPr>
                    <w:t>39</w:t>
                  </w:r>
                </w:p>
              </w:tc>
              <w:tc>
                <w:tcPr>
                  <w:tcW w:w="527" w:type="pct"/>
                  <w:vAlign w:val="center"/>
                </w:tcPr>
                <w:p w14:paraId="530990C5">
                  <w:pPr>
                    <w:jc w:val="center"/>
                    <w:rPr>
                      <w:color w:val="auto"/>
                      <w:szCs w:val="21"/>
                    </w:rPr>
                  </w:pPr>
                  <w:r>
                    <w:rPr>
                      <w:color w:val="auto"/>
                      <w:szCs w:val="21"/>
                    </w:rPr>
                    <w:t>33</w:t>
                  </w:r>
                </w:p>
              </w:tc>
              <w:tc>
                <w:tcPr>
                  <w:tcW w:w="548" w:type="pct"/>
                </w:tcPr>
                <w:p w14:paraId="6E22CC72">
                  <w:pPr>
                    <w:jc w:val="center"/>
                    <w:rPr>
                      <w:color w:val="auto"/>
                      <w:szCs w:val="21"/>
                    </w:rPr>
                  </w:pPr>
                  <w:r>
                    <w:rPr>
                      <w:color w:val="auto"/>
                      <w:szCs w:val="21"/>
                    </w:rPr>
                    <w:t>33</w:t>
                  </w:r>
                </w:p>
              </w:tc>
              <w:tc>
                <w:tcPr>
                  <w:tcW w:w="548" w:type="pct"/>
                  <w:vAlign w:val="center"/>
                </w:tcPr>
                <w:p w14:paraId="535E1A5E">
                  <w:pPr>
                    <w:jc w:val="center"/>
                    <w:rPr>
                      <w:color w:val="auto"/>
                      <w:szCs w:val="21"/>
                    </w:rPr>
                  </w:pPr>
                  <w:r>
                    <w:rPr>
                      <w:color w:val="auto"/>
                      <w:szCs w:val="21"/>
                    </w:rPr>
                    <w:t>45</w:t>
                  </w:r>
                </w:p>
              </w:tc>
              <w:tc>
                <w:tcPr>
                  <w:tcW w:w="546" w:type="pct"/>
                </w:tcPr>
                <w:p w14:paraId="01D3F15C">
                  <w:pPr>
                    <w:jc w:val="center"/>
                    <w:rPr>
                      <w:color w:val="auto"/>
                      <w:szCs w:val="21"/>
                    </w:rPr>
                  </w:pPr>
                  <w:r>
                    <w:rPr>
                      <w:color w:val="auto"/>
                      <w:szCs w:val="21"/>
                    </w:rPr>
                    <w:t>45</w:t>
                  </w:r>
                </w:p>
              </w:tc>
            </w:tr>
            <w:tr w14:paraId="1003CC9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682" w:type="pct"/>
                  <w:vAlign w:val="center"/>
                </w:tcPr>
                <w:p w14:paraId="40C89B03">
                  <w:pPr>
                    <w:jc w:val="center"/>
                    <w:rPr>
                      <w:color w:val="auto"/>
                      <w:szCs w:val="21"/>
                    </w:rPr>
                  </w:pPr>
                  <w:r>
                    <w:rPr>
                      <w:color w:val="auto"/>
                      <w:szCs w:val="21"/>
                    </w:rPr>
                    <w:t>标准</w:t>
                  </w:r>
                </w:p>
              </w:tc>
              <w:tc>
                <w:tcPr>
                  <w:tcW w:w="566" w:type="pct"/>
                  <w:vAlign w:val="center"/>
                </w:tcPr>
                <w:p w14:paraId="1E4581EF">
                  <w:pPr>
                    <w:jc w:val="center"/>
                    <w:rPr>
                      <w:color w:val="auto"/>
                      <w:szCs w:val="21"/>
                    </w:rPr>
                  </w:pPr>
                  <w:r>
                    <w:rPr>
                      <w:color w:val="auto"/>
                      <w:szCs w:val="21"/>
                    </w:rPr>
                    <w:t>65</w:t>
                  </w:r>
                </w:p>
              </w:tc>
              <w:tc>
                <w:tcPr>
                  <w:tcW w:w="528" w:type="pct"/>
                </w:tcPr>
                <w:p w14:paraId="02FB0CFA">
                  <w:pPr>
                    <w:jc w:val="center"/>
                    <w:rPr>
                      <w:color w:val="auto"/>
                      <w:szCs w:val="21"/>
                    </w:rPr>
                  </w:pPr>
                  <w:r>
                    <w:rPr>
                      <w:color w:val="auto"/>
                      <w:szCs w:val="21"/>
                    </w:rPr>
                    <w:t>55</w:t>
                  </w:r>
                </w:p>
              </w:tc>
              <w:tc>
                <w:tcPr>
                  <w:tcW w:w="528" w:type="pct"/>
                  <w:vAlign w:val="center"/>
                </w:tcPr>
                <w:p w14:paraId="7F6E00C3">
                  <w:pPr>
                    <w:jc w:val="center"/>
                    <w:rPr>
                      <w:color w:val="auto"/>
                      <w:szCs w:val="21"/>
                    </w:rPr>
                  </w:pPr>
                  <w:r>
                    <w:rPr>
                      <w:color w:val="auto"/>
                      <w:szCs w:val="21"/>
                    </w:rPr>
                    <w:t>65</w:t>
                  </w:r>
                </w:p>
              </w:tc>
              <w:tc>
                <w:tcPr>
                  <w:tcW w:w="527" w:type="pct"/>
                </w:tcPr>
                <w:p w14:paraId="14C6F050">
                  <w:pPr>
                    <w:jc w:val="center"/>
                    <w:rPr>
                      <w:color w:val="auto"/>
                      <w:szCs w:val="21"/>
                    </w:rPr>
                  </w:pPr>
                  <w:r>
                    <w:rPr>
                      <w:color w:val="auto"/>
                      <w:szCs w:val="21"/>
                    </w:rPr>
                    <w:t>55</w:t>
                  </w:r>
                </w:p>
              </w:tc>
              <w:tc>
                <w:tcPr>
                  <w:tcW w:w="527" w:type="pct"/>
                  <w:vAlign w:val="center"/>
                </w:tcPr>
                <w:p w14:paraId="650105EA">
                  <w:pPr>
                    <w:jc w:val="center"/>
                    <w:rPr>
                      <w:color w:val="auto"/>
                      <w:szCs w:val="21"/>
                    </w:rPr>
                  </w:pPr>
                  <w:r>
                    <w:rPr>
                      <w:color w:val="auto"/>
                      <w:szCs w:val="21"/>
                    </w:rPr>
                    <w:t>65</w:t>
                  </w:r>
                </w:p>
              </w:tc>
              <w:tc>
                <w:tcPr>
                  <w:tcW w:w="548" w:type="pct"/>
                </w:tcPr>
                <w:p w14:paraId="16A68976">
                  <w:pPr>
                    <w:jc w:val="center"/>
                    <w:rPr>
                      <w:color w:val="auto"/>
                      <w:szCs w:val="21"/>
                    </w:rPr>
                  </w:pPr>
                  <w:r>
                    <w:rPr>
                      <w:color w:val="auto"/>
                      <w:szCs w:val="21"/>
                    </w:rPr>
                    <w:t>55</w:t>
                  </w:r>
                </w:p>
              </w:tc>
              <w:tc>
                <w:tcPr>
                  <w:tcW w:w="548" w:type="pct"/>
                  <w:vAlign w:val="center"/>
                </w:tcPr>
                <w:p w14:paraId="55123AFC">
                  <w:pPr>
                    <w:jc w:val="center"/>
                    <w:rPr>
                      <w:color w:val="auto"/>
                      <w:szCs w:val="21"/>
                    </w:rPr>
                  </w:pPr>
                  <w:r>
                    <w:rPr>
                      <w:color w:val="auto"/>
                      <w:szCs w:val="21"/>
                    </w:rPr>
                    <w:t>65</w:t>
                  </w:r>
                </w:p>
              </w:tc>
              <w:tc>
                <w:tcPr>
                  <w:tcW w:w="546" w:type="pct"/>
                </w:tcPr>
                <w:p w14:paraId="78DA178D">
                  <w:pPr>
                    <w:jc w:val="center"/>
                    <w:rPr>
                      <w:color w:val="auto"/>
                      <w:szCs w:val="21"/>
                    </w:rPr>
                  </w:pPr>
                  <w:r>
                    <w:rPr>
                      <w:color w:val="auto"/>
                      <w:szCs w:val="21"/>
                    </w:rPr>
                    <w:t>55</w:t>
                  </w:r>
                </w:p>
              </w:tc>
            </w:tr>
            <w:tr w14:paraId="478D228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682" w:type="pct"/>
                  <w:vAlign w:val="center"/>
                </w:tcPr>
                <w:p w14:paraId="26D0A097">
                  <w:pPr>
                    <w:jc w:val="center"/>
                    <w:rPr>
                      <w:color w:val="auto"/>
                      <w:szCs w:val="21"/>
                    </w:rPr>
                  </w:pPr>
                  <w:r>
                    <w:rPr>
                      <w:color w:val="auto"/>
                      <w:szCs w:val="21"/>
                    </w:rPr>
                    <w:t>达标情况</w:t>
                  </w:r>
                </w:p>
              </w:tc>
              <w:tc>
                <w:tcPr>
                  <w:tcW w:w="566" w:type="pct"/>
                  <w:vAlign w:val="center"/>
                </w:tcPr>
                <w:p w14:paraId="281A611E">
                  <w:pPr>
                    <w:jc w:val="center"/>
                    <w:rPr>
                      <w:color w:val="auto"/>
                      <w:szCs w:val="21"/>
                    </w:rPr>
                  </w:pPr>
                  <w:r>
                    <w:rPr>
                      <w:color w:val="auto"/>
                      <w:szCs w:val="21"/>
                    </w:rPr>
                    <w:t>达标</w:t>
                  </w:r>
                </w:p>
              </w:tc>
              <w:tc>
                <w:tcPr>
                  <w:tcW w:w="528" w:type="pct"/>
                </w:tcPr>
                <w:p w14:paraId="25C05274">
                  <w:pPr>
                    <w:jc w:val="center"/>
                    <w:rPr>
                      <w:color w:val="auto"/>
                      <w:szCs w:val="21"/>
                    </w:rPr>
                  </w:pPr>
                  <w:r>
                    <w:rPr>
                      <w:color w:val="auto"/>
                      <w:szCs w:val="21"/>
                    </w:rPr>
                    <w:t>达标</w:t>
                  </w:r>
                </w:p>
              </w:tc>
              <w:tc>
                <w:tcPr>
                  <w:tcW w:w="528" w:type="pct"/>
                  <w:vAlign w:val="center"/>
                </w:tcPr>
                <w:p w14:paraId="02F194FF">
                  <w:pPr>
                    <w:jc w:val="center"/>
                    <w:rPr>
                      <w:color w:val="auto"/>
                      <w:szCs w:val="21"/>
                    </w:rPr>
                  </w:pPr>
                  <w:r>
                    <w:rPr>
                      <w:color w:val="auto"/>
                      <w:szCs w:val="21"/>
                    </w:rPr>
                    <w:t>达标</w:t>
                  </w:r>
                </w:p>
              </w:tc>
              <w:tc>
                <w:tcPr>
                  <w:tcW w:w="527" w:type="pct"/>
                </w:tcPr>
                <w:p w14:paraId="21D2C238">
                  <w:pPr>
                    <w:jc w:val="center"/>
                    <w:rPr>
                      <w:color w:val="auto"/>
                      <w:szCs w:val="21"/>
                    </w:rPr>
                  </w:pPr>
                  <w:r>
                    <w:rPr>
                      <w:color w:val="auto"/>
                      <w:szCs w:val="21"/>
                    </w:rPr>
                    <w:t>达标</w:t>
                  </w:r>
                </w:p>
              </w:tc>
              <w:tc>
                <w:tcPr>
                  <w:tcW w:w="527" w:type="pct"/>
                  <w:vAlign w:val="center"/>
                </w:tcPr>
                <w:p w14:paraId="282F4004">
                  <w:pPr>
                    <w:jc w:val="center"/>
                    <w:rPr>
                      <w:color w:val="auto"/>
                      <w:szCs w:val="21"/>
                    </w:rPr>
                  </w:pPr>
                  <w:r>
                    <w:rPr>
                      <w:color w:val="auto"/>
                      <w:szCs w:val="21"/>
                    </w:rPr>
                    <w:t>达标</w:t>
                  </w:r>
                </w:p>
              </w:tc>
              <w:tc>
                <w:tcPr>
                  <w:tcW w:w="548" w:type="pct"/>
                </w:tcPr>
                <w:p w14:paraId="2E2C6642">
                  <w:pPr>
                    <w:jc w:val="center"/>
                    <w:rPr>
                      <w:color w:val="auto"/>
                      <w:szCs w:val="21"/>
                    </w:rPr>
                  </w:pPr>
                  <w:r>
                    <w:rPr>
                      <w:color w:val="auto"/>
                      <w:szCs w:val="21"/>
                    </w:rPr>
                    <w:t>达标</w:t>
                  </w:r>
                </w:p>
              </w:tc>
              <w:tc>
                <w:tcPr>
                  <w:tcW w:w="548" w:type="pct"/>
                  <w:vAlign w:val="center"/>
                </w:tcPr>
                <w:p w14:paraId="389D4179">
                  <w:pPr>
                    <w:jc w:val="center"/>
                    <w:rPr>
                      <w:color w:val="auto"/>
                      <w:szCs w:val="21"/>
                    </w:rPr>
                  </w:pPr>
                  <w:r>
                    <w:rPr>
                      <w:color w:val="auto"/>
                      <w:szCs w:val="21"/>
                    </w:rPr>
                    <w:t>达标</w:t>
                  </w:r>
                </w:p>
              </w:tc>
              <w:tc>
                <w:tcPr>
                  <w:tcW w:w="546" w:type="pct"/>
                </w:tcPr>
                <w:p w14:paraId="7EE0A456">
                  <w:pPr>
                    <w:jc w:val="center"/>
                    <w:rPr>
                      <w:color w:val="auto"/>
                      <w:szCs w:val="21"/>
                    </w:rPr>
                  </w:pPr>
                  <w:r>
                    <w:rPr>
                      <w:color w:val="auto"/>
                      <w:szCs w:val="21"/>
                    </w:rPr>
                    <w:t>达标</w:t>
                  </w:r>
                </w:p>
              </w:tc>
            </w:tr>
          </w:tbl>
          <w:p w14:paraId="4BFA5D3C">
            <w:pPr>
              <w:adjustRightInd w:val="0"/>
              <w:spacing w:line="360" w:lineRule="auto"/>
              <w:ind w:firstLine="480" w:firstLineChars="200"/>
              <w:rPr>
                <w:color w:val="auto"/>
                <w:sz w:val="24"/>
                <w:szCs w:val="22"/>
              </w:rPr>
            </w:pPr>
            <w:r>
              <w:rPr>
                <w:color w:val="auto"/>
                <w:sz w:val="24"/>
                <w:szCs w:val="22"/>
              </w:rPr>
              <w:t>由上表可看出，项目厂界昼、夜间噪声贡献值均能够达到</w:t>
            </w:r>
            <w:r>
              <w:rPr>
                <w:color w:val="auto"/>
                <w:sz w:val="24"/>
              </w:rPr>
              <w:t>《工业企业厂界环境噪声排放标准》（GB12348-2008）中的3类排放标准</w:t>
            </w:r>
            <w:r>
              <w:rPr>
                <w:color w:val="auto"/>
                <w:kern w:val="0"/>
                <w:sz w:val="24"/>
              </w:rPr>
              <w:t>（昼间≤65dB(A)，夜间≤55dB(A)）</w:t>
            </w:r>
            <w:r>
              <w:rPr>
                <w:color w:val="auto"/>
                <w:sz w:val="24"/>
              </w:rPr>
              <w:t>，</w:t>
            </w:r>
            <w:r>
              <w:rPr>
                <w:bCs/>
                <w:color w:val="auto"/>
                <w:sz w:val="24"/>
              </w:rPr>
              <w:t>项目周边无声环境保护</w:t>
            </w:r>
            <w:r>
              <w:rPr>
                <w:color w:val="auto"/>
                <w:sz w:val="24"/>
                <w:szCs w:val="22"/>
              </w:rPr>
              <w:t>目标，对周边声环境影响较小。</w:t>
            </w:r>
          </w:p>
          <w:p w14:paraId="6CF83276">
            <w:pPr>
              <w:adjustRightInd w:val="0"/>
              <w:spacing w:line="360" w:lineRule="auto"/>
              <w:ind w:firstLine="482" w:firstLineChars="200"/>
              <w:rPr>
                <w:b/>
                <w:bCs/>
                <w:color w:val="auto"/>
                <w:sz w:val="24"/>
                <w:szCs w:val="22"/>
              </w:rPr>
            </w:pPr>
            <w:r>
              <w:rPr>
                <w:b/>
                <w:bCs/>
                <w:color w:val="auto"/>
                <w:sz w:val="24"/>
                <w:szCs w:val="22"/>
              </w:rPr>
              <w:t>3.3噪声防治措施</w:t>
            </w:r>
          </w:p>
          <w:p w14:paraId="3C363427">
            <w:pPr>
              <w:adjustRightInd w:val="0"/>
              <w:spacing w:line="360" w:lineRule="auto"/>
              <w:ind w:firstLine="480" w:firstLineChars="200"/>
              <w:rPr>
                <w:color w:val="auto"/>
                <w:sz w:val="24"/>
                <w:szCs w:val="22"/>
              </w:rPr>
            </w:pPr>
            <w:r>
              <w:rPr>
                <w:color w:val="auto"/>
                <w:sz w:val="24"/>
                <w:szCs w:val="22"/>
              </w:rPr>
              <w:t>综上所述，建设项目噪声排放对周围的环境影响较小，噪声防治措施可行。 企业在生产过程中应注意加强设备噪声治理，在项目设备安装过程中应重视减震工程的设计及施工质量。确保厂界噪声达标，不影响周边环境。</w:t>
            </w:r>
          </w:p>
          <w:p w14:paraId="0E6AAD0D">
            <w:pPr>
              <w:adjustRightInd w:val="0"/>
              <w:spacing w:line="360" w:lineRule="auto"/>
              <w:ind w:firstLine="480" w:firstLineChars="200"/>
              <w:rPr>
                <w:color w:val="auto"/>
                <w:sz w:val="24"/>
                <w:szCs w:val="22"/>
              </w:rPr>
            </w:pPr>
            <w:r>
              <w:rPr>
                <w:color w:val="auto"/>
                <w:sz w:val="24"/>
                <w:szCs w:val="22"/>
              </w:rPr>
              <w:t>为进一步减小运营过程中噪声对工作人员的影响，建设单位拟采取如下措施：</w:t>
            </w:r>
          </w:p>
          <w:p w14:paraId="191683EC">
            <w:pPr>
              <w:adjustRightInd w:val="0"/>
              <w:spacing w:line="360" w:lineRule="auto"/>
              <w:ind w:firstLine="480" w:firstLineChars="200"/>
              <w:rPr>
                <w:color w:val="auto"/>
                <w:sz w:val="24"/>
                <w:szCs w:val="22"/>
              </w:rPr>
            </w:pPr>
            <w:r>
              <w:rPr>
                <w:color w:val="auto"/>
                <w:sz w:val="24"/>
                <w:szCs w:val="22"/>
              </w:rPr>
              <w:t>（1）加强设备维护，对各机械设备及运输车辆进行定期检查、维护以及维 修，及时更换一些破损零部件，确保机械设备正常运转，减少非正常生产噪声；</w:t>
            </w:r>
          </w:p>
          <w:p w14:paraId="4A777D35">
            <w:pPr>
              <w:adjustRightInd w:val="0"/>
              <w:spacing w:line="360" w:lineRule="auto"/>
              <w:ind w:firstLine="480" w:firstLineChars="200"/>
              <w:rPr>
                <w:rFonts w:ascii="宋体" w:hAnsi="宋体" w:cs="宋体"/>
                <w:bCs/>
                <w:color w:val="auto"/>
                <w:kern w:val="0"/>
                <w:sz w:val="24"/>
              </w:rPr>
            </w:pPr>
            <w:r>
              <w:rPr>
                <w:rFonts w:hint="eastAsia"/>
                <w:color w:val="auto"/>
                <w:sz w:val="24"/>
                <w:szCs w:val="22"/>
              </w:rPr>
              <w:t>（2）将拌合机、装载机等高噪声设备均放置于室</w:t>
            </w:r>
            <w:r>
              <w:rPr>
                <w:rFonts w:hint="eastAsia" w:ascii="宋体" w:hAnsi="宋体" w:cs="宋体"/>
                <w:bCs/>
                <w:color w:val="auto"/>
                <w:kern w:val="0"/>
                <w:sz w:val="24"/>
              </w:rPr>
              <w:t>内，并对通风机等高噪设备房采用密封措施，安装通风消声器，室内安装墙体吸声材料。</w:t>
            </w:r>
          </w:p>
          <w:p w14:paraId="376A58CC">
            <w:pPr>
              <w:adjustRightInd w:val="0"/>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（3）进一步加强厂区绿化，在厂界周围种植绿化树种，选择叶高大的乔灌相结合的立体绿化方式，增加噪声衰减量。</w:t>
            </w:r>
          </w:p>
          <w:p w14:paraId="22F8EB27">
            <w:pPr>
              <w:adjustRightInd w:val="0"/>
              <w:snapToGrid w:val="0"/>
              <w:spacing w:line="360" w:lineRule="auto"/>
              <w:ind w:firstLine="482" w:firstLineChars="200"/>
              <w:rPr>
                <w:rFonts w:ascii="宋体" w:hAnsi="宋体" w:cs="宋体"/>
                <w:b/>
                <w:bCs w:val="0"/>
                <w:color w:val="auto"/>
                <w:kern w:val="0"/>
                <w:sz w:val="24"/>
              </w:rPr>
            </w:pPr>
            <w:r>
              <w:rPr>
                <w:rFonts w:hint="default" w:ascii="Times New Roman" w:hAnsi="Times New Roman" w:cs="Times New Roman"/>
                <w:b/>
                <w:bCs w:val="0"/>
                <w:color w:val="auto"/>
                <w:kern w:val="0"/>
                <w:sz w:val="24"/>
              </w:rPr>
              <w:t>3.4</w:t>
            </w:r>
            <w:r>
              <w:rPr>
                <w:rFonts w:hint="eastAsia" w:ascii="宋体" w:hAnsi="宋体" w:cs="宋体"/>
                <w:b/>
                <w:bCs w:val="0"/>
                <w:color w:val="auto"/>
                <w:kern w:val="0"/>
                <w:sz w:val="24"/>
              </w:rPr>
              <w:t>监测计划</w:t>
            </w:r>
          </w:p>
          <w:p w14:paraId="50A0A6C1">
            <w:pPr>
              <w:adjustRightInd w:val="0"/>
              <w:snapToGrid w:val="0"/>
              <w:spacing w:line="360" w:lineRule="auto"/>
              <w:ind w:firstLine="480" w:firstLineChars="200"/>
              <w:rPr>
                <w:bCs/>
                <w:color w:val="auto"/>
                <w:sz w:val="24"/>
              </w:rPr>
            </w:pPr>
            <w:r>
              <w:rPr>
                <w:rFonts w:hint="eastAsia" w:ascii="宋体" w:hAnsi="宋体" w:cs="宋体"/>
                <w:color w:val="auto"/>
                <w:sz w:val="24"/>
              </w:rPr>
              <w:t>本项目根据</w:t>
            </w:r>
            <w:r>
              <w:rPr>
                <w:bCs/>
                <w:color w:val="auto"/>
                <w:sz w:val="24"/>
              </w:rPr>
              <w:t>《排污单位自行监测技术指南 总则》（HJ 819-2017）、《排污许可证申请及核发技术规范 工业噪声》（HJ 1301-2023）</w:t>
            </w:r>
            <w:r>
              <w:rPr>
                <w:color w:val="auto"/>
                <w:sz w:val="24"/>
              </w:rPr>
              <w:t>开展自行监测</w:t>
            </w:r>
            <w:r>
              <w:rPr>
                <w:bCs/>
                <w:color w:val="auto"/>
                <w:sz w:val="24"/>
                <w:lang w:bidi="ar"/>
              </w:rPr>
              <w:t>，环评提出运行期每年应对项目污染进行监测，本项目噪声监测计划见表</w:t>
            </w:r>
            <w:r>
              <w:rPr>
                <w:rFonts w:hint="eastAsia"/>
                <w:bCs/>
                <w:color w:val="auto"/>
                <w:sz w:val="24"/>
                <w:lang w:bidi="ar"/>
              </w:rPr>
              <w:t>4-14</w:t>
            </w:r>
            <w:r>
              <w:rPr>
                <w:bCs/>
                <w:color w:val="auto"/>
                <w:sz w:val="24"/>
                <w:lang w:bidi="ar"/>
              </w:rPr>
              <w:t>。</w:t>
            </w:r>
          </w:p>
          <w:p w14:paraId="665C1DD2">
            <w:pPr>
              <w:tabs>
                <w:tab w:val="left" w:pos="420"/>
              </w:tabs>
              <w:spacing w:line="360" w:lineRule="auto"/>
              <w:jc w:val="center"/>
              <w:rPr>
                <w:b/>
                <w:bCs/>
                <w:color w:val="auto"/>
                <w:szCs w:val="21"/>
              </w:rPr>
            </w:pPr>
            <w:r>
              <w:rPr>
                <w:b/>
                <w:bCs/>
                <w:color w:val="auto"/>
                <w:szCs w:val="21"/>
                <w:lang w:bidi="ar"/>
              </w:rPr>
              <w:t>表4-1</w:t>
            </w:r>
            <w:r>
              <w:rPr>
                <w:rFonts w:hint="eastAsia"/>
                <w:b/>
                <w:bCs/>
                <w:color w:val="auto"/>
                <w:szCs w:val="21"/>
                <w:lang w:bidi="ar"/>
              </w:rPr>
              <w:t>4</w:t>
            </w:r>
            <w:r>
              <w:rPr>
                <w:b/>
                <w:bCs/>
                <w:color w:val="auto"/>
                <w:szCs w:val="21"/>
                <w:lang w:bidi="ar"/>
              </w:rPr>
              <w:t xml:space="preserve">  环境管理与监测计划一览表</w:t>
            </w:r>
          </w:p>
          <w:tbl>
            <w:tblPr>
              <w:tblStyle w:val="24"/>
              <w:tblW w:w="5000" w:type="pct"/>
              <w:jc w:val="center"/>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Layout w:type="autofit"/>
              <w:tblCellMar>
                <w:top w:w="0" w:type="dxa"/>
                <w:left w:w="28" w:type="dxa"/>
                <w:bottom w:w="0" w:type="dxa"/>
                <w:right w:w="28" w:type="dxa"/>
              </w:tblCellMar>
            </w:tblPr>
            <w:tblGrid>
              <w:gridCol w:w="906"/>
              <w:gridCol w:w="1167"/>
              <w:gridCol w:w="1161"/>
              <w:gridCol w:w="1033"/>
              <w:gridCol w:w="1204"/>
              <w:gridCol w:w="2553"/>
            </w:tblGrid>
            <w:tr w14:paraId="34BF2E37">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28" w:type="dxa"/>
                  <w:bottom w:w="0" w:type="dxa"/>
                  <w:right w:w="28" w:type="dxa"/>
                </w:tblCellMar>
              </w:tblPrEx>
              <w:trPr>
                <w:tblHeader/>
                <w:jc w:val="center"/>
              </w:trPr>
              <w:tc>
                <w:tcPr>
                  <w:tcW w:w="564" w:type="pct"/>
                  <w:tcBorders>
                    <w:top w:val="single" w:color="auto" w:sz="12" w:space="0"/>
                    <w:left w:val="nil"/>
                    <w:bottom w:val="single" w:color="auto" w:sz="2" w:space="0"/>
                    <w:right w:val="single" w:color="auto" w:sz="2" w:space="0"/>
                  </w:tcBorders>
                  <w:shd w:val="clear" w:color="auto" w:fill="auto"/>
                  <w:vAlign w:val="center"/>
                </w:tcPr>
                <w:p w14:paraId="5196F2C2">
                  <w:pPr>
                    <w:pStyle w:val="19"/>
                    <w:widowControl w:val="0"/>
                    <w:spacing w:before="0" w:beforeAutospacing="0" w:after="0" w:afterAutospacing="0"/>
                    <w:jc w:val="center"/>
                    <w:rPr>
                      <w:rFonts w:ascii="Times New Roman" w:hAnsi="Times New Roman"/>
                      <w:b/>
                      <w:bCs/>
                      <w:color w:val="auto"/>
                      <w:szCs w:val="21"/>
                    </w:rPr>
                  </w:pPr>
                  <w:r>
                    <w:rPr>
                      <w:rFonts w:ascii="Times New Roman" w:hAnsi="Times New Roman"/>
                      <w:b/>
                      <w:bCs/>
                      <w:color w:val="auto"/>
                      <w:kern w:val="2"/>
                      <w:sz w:val="21"/>
                      <w:szCs w:val="21"/>
                      <w:lang w:bidi="ar"/>
                    </w:rPr>
                    <w:t>项目</w:t>
                  </w:r>
                </w:p>
              </w:tc>
              <w:tc>
                <w:tcPr>
                  <w:tcW w:w="727" w:type="pct"/>
                  <w:tcBorders>
                    <w:top w:val="single" w:color="auto" w:sz="12" w:space="0"/>
                    <w:left w:val="single" w:color="auto" w:sz="2" w:space="0"/>
                    <w:bottom w:val="single" w:color="auto" w:sz="2" w:space="0"/>
                    <w:right w:val="single" w:color="auto" w:sz="2" w:space="0"/>
                  </w:tcBorders>
                  <w:shd w:val="clear" w:color="auto" w:fill="auto"/>
                  <w:vAlign w:val="center"/>
                </w:tcPr>
                <w:p w14:paraId="78D7202C">
                  <w:pPr>
                    <w:pStyle w:val="19"/>
                    <w:widowControl w:val="0"/>
                    <w:spacing w:before="0" w:beforeAutospacing="0" w:after="0" w:afterAutospacing="0"/>
                    <w:jc w:val="center"/>
                    <w:rPr>
                      <w:rFonts w:ascii="Times New Roman" w:hAnsi="Times New Roman"/>
                      <w:b/>
                      <w:bCs/>
                      <w:color w:val="auto"/>
                      <w:szCs w:val="21"/>
                    </w:rPr>
                  </w:pPr>
                  <w:r>
                    <w:rPr>
                      <w:rFonts w:ascii="Times New Roman" w:hAnsi="Times New Roman"/>
                      <w:b/>
                      <w:bCs/>
                      <w:color w:val="auto"/>
                      <w:kern w:val="2"/>
                      <w:sz w:val="21"/>
                      <w:szCs w:val="21"/>
                      <w:lang w:bidi="ar"/>
                    </w:rPr>
                    <w:t>监测点位</w:t>
                  </w:r>
                </w:p>
              </w:tc>
              <w:tc>
                <w:tcPr>
                  <w:tcW w:w="723" w:type="pct"/>
                  <w:tcBorders>
                    <w:top w:val="single" w:color="auto" w:sz="12" w:space="0"/>
                    <w:left w:val="single" w:color="auto" w:sz="2" w:space="0"/>
                    <w:bottom w:val="single" w:color="auto" w:sz="2" w:space="0"/>
                    <w:right w:val="single" w:color="auto" w:sz="2" w:space="0"/>
                  </w:tcBorders>
                  <w:shd w:val="clear" w:color="auto" w:fill="auto"/>
                  <w:vAlign w:val="center"/>
                </w:tcPr>
                <w:p w14:paraId="0C10C1C3">
                  <w:pPr>
                    <w:pStyle w:val="19"/>
                    <w:widowControl w:val="0"/>
                    <w:spacing w:before="0" w:beforeAutospacing="0" w:after="0" w:afterAutospacing="0"/>
                    <w:jc w:val="center"/>
                    <w:rPr>
                      <w:rFonts w:ascii="Times New Roman" w:hAnsi="Times New Roman"/>
                      <w:b/>
                      <w:bCs/>
                      <w:color w:val="auto"/>
                      <w:szCs w:val="21"/>
                    </w:rPr>
                  </w:pPr>
                  <w:r>
                    <w:rPr>
                      <w:rFonts w:ascii="Times New Roman" w:hAnsi="Times New Roman"/>
                      <w:b/>
                      <w:bCs/>
                      <w:color w:val="auto"/>
                      <w:kern w:val="2"/>
                      <w:sz w:val="21"/>
                      <w:szCs w:val="21"/>
                      <w:lang w:bidi="ar"/>
                    </w:rPr>
                    <w:t>监测项目</w:t>
                  </w:r>
                </w:p>
              </w:tc>
              <w:tc>
                <w:tcPr>
                  <w:tcW w:w="643" w:type="pct"/>
                  <w:tcBorders>
                    <w:top w:val="single" w:color="auto" w:sz="12" w:space="0"/>
                    <w:left w:val="single" w:color="auto" w:sz="2" w:space="0"/>
                    <w:bottom w:val="single" w:color="auto" w:sz="2" w:space="0"/>
                    <w:right w:val="single" w:color="auto" w:sz="2" w:space="0"/>
                  </w:tcBorders>
                  <w:shd w:val="clear" w:color="auto" w:fill="auto"/>
                  <w:vAlign w:val="center"/>
                </w:tcPr>
                <w:p w14:paraId="77E89656">
                  <w:pPr>
                    <w:pStyle w:val="19"/>
                    <w:widowControl w:val="0"/>
                    <w:spacing w:before="0" w:beforeAutospacing="0" w:after="0" w:afterAutospacing="0"/>
                    <w:jc w:val="center"/>
                    <w:rPr>
                      <w:rFonts w:ascii="Times New Roman" w:hAnsi="Times New Roman"/>
                      <w:b/>
                      <w:bCs/>
                      <w:color w:val="auto"/>
                      <w:szCs w:val="21"/>
                    </w:rPr>
                  </w:pPr>
                  <w:r>
                    <w:rPr>
                      <w:rFonts w:ascii="Times New Roman" w:hAnsi="Times New Roman"/>
                      <w:b/>
                      <w:bCs/>
                      <w:color w:val="auto"/>
                      <w:kern w:val="2"/>
                      <w:sz w:val="21"/>
                      <w:szCs w:val="21"/>
                      <w:lang w:bidi="ar"/>
                    </w:rPr>
                    <w:t>监测单位</w:t>
                  </w:r>
                </w:p>
              </w:tc>
              <w:tc>
                <w:tcPr>
                  <w:tcW w:w="750" w:type="pct"/>
                  <w:tcBorders>
                    <w:top w:val="single" w:color="auto" w:sz="12" w:space="0"/>
                    <w:left w:val="single" w:color="auto" w:sz="2" w:space="0"/>
                    <w:bottom w:val="single" w:color="auto" w:sz="2" w:space="0"/>
                    <w:right w:val="single" w:color="auto" w:sz="2" w:space="0"/>
                  </w:tcBorders>
                  <w:shd w:val="clear" w:color="auto" w:fill="auto"/>
                  <w:vAlign w:val="center"/>
                </w:tcPr>
                <w:p w14:paraId="5CAA14C9">
                  <w:pPr>
                    <w:pStyle w:val="19"/>
                    <w:widowControl w:val="0"/>
                    <w:spacing w:before="0" w:beforeAutospacing="0" w:after="0" w:afterAutospacing="0"/>
                    <w:jc w:val="center"/>
                    <w:rPr>
                      <w:rFonts w:ascii="Times New Roman" w:hAnsi="Times New Roman"/>
                      <w:b/>
                      <w:bCs/>
                      <w:color w:val="auto"/>
                      <w:szCs w:val="21"/>
                    </w:rPr>
                  </w:pPr>
                  <w:r>
                    <w:rPr>
                      <w:rFonts w:ascii="Times New Roman" w:hAnsi="Times New Roman"/>
                      <w:b/>
                      <w:bCs/>
                      <w:color w:val="auto"/>
                      <w:kern w:val="2"/>
                      <w:sz w:val="21"/>
                      <w:szCs w:val="21"/>
                      <w:lang w:bidi="ar"/>
                    </w:rPr>
                    <w:t>监测频次</w:t>
                  </w:r>
                </w:p>
              </w:tc>
              <w:tc>
                <w:tcPr>
                  <w:tcW w:w="1590" w:type="pct"/>
                  <w:tcBorders>
                    <w:top w:val="single" w:color="auto" w:sz="12" w:space="0"/>
                    <w:left w:val="single" w:color="auto" w:sz="2" w:space="0"/>
                    <w:bottom w:val="single" w:color="auto" w:sz="2" w:space="0"/>
                    <w:right w:val="nil"/>
                  </w:tcBorders>
                  <w:shd w:val="clear" w:color="auto" w:fill="auto"/>
                  <w:vAlign w:val="center"/>
                </w:tcPr>
                <w:p w14:paraId="7BE6D525">
                  <w:pPr>
                    <w:pStyle w:val="19"/>
                    <w:widowControl w:val="0"/>
                    <w:spacing w:before="0" w:beforeAutospacing="0" w:after="0" w:afterAutospacing="0"/>
                    <w:jc w:val="center"/>
                    <w:rPr>
                      <w:rFonts w:ascii="Times New Roman" w:hAnsi="Times New Roman"/>
                      <w:b/>
                      <w:bCs/>
                      <w:color w:val="auto"/>
                      <w:szCs w:val="21"/>
                    </w:rPr>
                  </w:pPr>
                  <w:r>
                    <w:rPr>
                      <w:rFonts w:ascii="Times New Roman" w:hAnsi="Times New Roman"/>
                      <w:b/>
                      <w:bCs/>
                      <w:color w:val="auto"/>
                      <w:kern w:val="2"/>
                      <w:sz w:val="21"/>
                      <w:szCs w:val="21"/>
                      <w:lang w:bidi="ar"/>
                    </w:rPr>
                    <w:t>执行标准</w:t>
                  </w:r>
                </w:p>
              </w:tc>
            </w:tr>
            <w:tr w14:paraId="36AFDBF2">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28" w:type="dxa"/>
                  <w:bottom w:w="0" w:type="dxa"/>
                  <w:right w:w="28" w:type="dxa"/>
                </w:tblCellMar>
              </w:tblPrEx>
              <w:trPr>
                <w:tblHeader/>
                <w:jc w:val="center"/>
              </w:trPr>
              <w:tc>
                <w:tcPr>
                  <w:tcW w:w="564" w:type="pct"/>
                  <w:tcBorders>
                    <w:top w:val="single" w:color="auto" w:sz="12" w:space="0"/>
                    <w:left w:val="nil"/>
                    <w:bottom w:val="single" w:color="auto" w:sz="2" w:space="0"/>
                    <w:right w:val="single" w:color="auto" w:sz="2" w:space="0"/>
                  </w:tcBorders>
                  <w:shd w:val="clear" w:color="auto" w:fill="auto"/>
                  <w:vAlign w:val="center"/>
                </w:tcPr>
                <w:p w14:paraId="676F7BB2">
                  <w:pPr>
                    <w:pStyle w:val="19"/>
                    <w:widowControl w:val="0"/>
                    <w:spacing w:before="0" w:beforeAutospacing="0" w:after="0" w:afterAutospacing="0"/>
                    <w:jc w:val="center"/>
                    <w:rPr>
                      <w:rFonts w:ascii="Times New Roman" w:hAnsi="Times New Roman"/>
                      <w:color w:val="auto"/>
                      <w:szCs w:val="21"/>
                    </w:rPr>
                  </w:pPr>
                  <w:r>
                    <w:rPr>
                      <w:rFonts w:ascii="Times New Roman" w:hAnsi="Times New Roman"/>
                      <w:color w:val="auto"/>
                      <w:kern w:val="2"/>
                      <w:sz w:val="21"/>
                      <w:szCs w:val="21"/>
                      <w:lang w:bidi="ar"/>
                    </w:rPr>
                    <w:t>噪声</w:t>
                  </w:r>
                </w:p>
              </w:tc>
              <w:tc>
                <w:tcPr>
                  <w:tcW w:w="727" w:type="pct"/>
                  <w:tcBorders>
                    <w:top w:val="single" w:color="auto" w:sz="12" w:space="0"/>
                    <w:left w:val="single" w:color="auto" w:sz="2" w:space="0"/>
                    <w:bottom w:val="single" w:color="auto" w:sz="2" w:space="0"/>
                    <w:right w:val="single" w:color="auto" w:sz="2" w:space="0"/>
                  </w:tcBorders>
                  <w:shd w:val="clear" w:color="auto" w:fill="auto"/>
                  <w:vAlign w:val="center"/>
                </w:tcPr>
                <w:p w14:paraId="1B40F948">
                  <w:pPr>
                    <w:pStyle w:val="19"/>
                    <w:widowControl w:val="0"/>
                    <w:spacing w:before="0" w:beforeAutospacing="0" w:after="0" w:afterAutospacing="0"/>
                    <w:jc w:val="center"/>
                    <w:rPr>
                      <w:rFonts w:ascii="Times New Roman" w:hAnsi="Times New Roman"/>
                      <w:color w:val="auto"/>
                      <w:szCs w:val="21"/>
                    </w:rPr>
                  </w:pPr>
                  <w:r>
                    <w:rPr>
                      <w:rFonts w:ascii="Times New Roman" w:hAnsi="Times New Roman"/>
                      <w:color w:val="auto"/>
                      <w:kern w:val="2"/>
                      <w:sz w:val="21"/>
                      <w:szCs w:val="21"/>
                      <w:lang w:bidi="ar"/>
                    </w:rPr>
                    <w:t>厂界</w:t>
                  </w:r>
                </w:p>
              </w:tc>
              <w:tc>
                <w:tcPr>
                  <w:tcW w:w="723" w:type="pct"/>
                  <w:tcBorders>
                    <w:top w:val="single" w:color="auto" w:sz="12" w:space="0"/>
                    <w:left w:val="single" w:color="auto" w:sz="2" w:space="0"/>
                    <w:bottom w:val="single" w:color="auto" w:sz="2" w:space="0"/>
                    <w:right w:val="single" w:color="auto" w:sz="2" w:space="0"/>
                  </w:tcBorders>
                  <w:shd w:val="clear" w:color="auto" w:fill="auto"/>
                  <w:vAlign w:val="center"/>
                </w:tcPr>
                <w:p w14:paraId="5DF4D2C0">
                  <w:pPr>
                    <w:pStyle w:val="19"/>
                    <w:widowControl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等效连续A声级</w:t>
                  </w:r>
                </w:p>
              </w:tc>
              <w:tc>
                <w:tcPr>
                  <w:tcW w:w="643" w:type="pct"/>
                  <w:tcBorders>
                    <w:top w:val="single" w:color="auto" w:sz="12" w:space="0"/>
                    <w:left w:val="single" w:color="auto" w:sz="2" w:space="0"/>
                    <w:bottom w:val="single" w:color="auto" w:sz="2" w:space="0"/>
                    <w:right w:val="single" w:color="auto" w:sz="2" w:space="0"/>
                  </w:tcBorders>
                  <w:shd w:val="clear" w:color="auto" w:fill="auto"/>
                  <w:vAlign w:val="center"/>
                </w:tcPr>
                <w:p w14:paraId="17CEF23D">
                  <w:pPr>
                    <w:pStyle w:val="19"/>
                    <w:widowControl w:val="0"/>
                    <w:spacing w:before="0" w:beforeAutospacing="0" w:after="0" w:afterAutospacing="0"/>
                    <w:jc w:val="center"/>
                    <w:rPr>
                      <w:rFonts w:ascii="Times New Roman" w:hAnsi="Times New Roman"/>
                      <w:color w:val="auto"/>
                      <w:szCs w:val="21"/>
                    </w:rPr>
                  </w:pPr>
                  <w:r>
                    <w:rPr>
                      <w:rFonts w:ascii="Times New Roman" w:hAnsi="Times New Roman"/>
                      <w:color w:val="auto"/>
                      <w:kern w:val="2"/>
                      <w:sz w:val="21"/>
                      <w:szCs w:val="21"/>
                      <w:lang w:bidi="ar"/>
                    </w:rPr>
                    <w:t>委托有资质单位代为监测</w:t>
                  </w:r>
                </w:p>
              </w:tc>
              <w:tc>
                <w:tcPr>
                  <w:tcW w:w="750" w:type="pct"/>
                  <w:tcBorders>
                    <w:top w:val="single" w:color="auto" w:sz="12" w:space="0"/>
                    <w:left w:val="single" w:color="auto" w:sz="2" w:space="0"/>
                    <w:bottom w:val="single" w:color="auto" w:sz="2" w:space="0"/>
                    <w:right w:val="single" w:color="auto" w:sz="2" w:space="0"/>
                  </w:tcBorders>
                  <w:shd w:val="clear" w:color="auto" w:fill="auto"/>
                  <w:vAlign w:val="center"/>
                </w:tcPr>
                <w:p w14:paraId="59128056">
                  <w:pPr>
                    <w:pStyle w:val="19"/>
                    <w:widowControl w:val="0"/>
                    <w:spacing w:before="0" w:beforeAutospacing="0" w:after="0" w:afterAutospacing="0"/>
                    <w:jc w:val="center"/>
                    <w:rPr>
                      <w:rFonts w:ascii="Times New Roman" w:hAnsi="Times New Roman"/>
                      <w:color w:val="auto"/>
                      <w:szCs w:val="21"/>
                    </w:rPr>
                  </w:pPr>
                  <w:r>
                    <w:rPr>
                      <w:rFonts w:ascii="Times New Roman" w:hAnsi="Times New Roman"/>
                      <w:color w:val="auto"/>
                      <w:kern w:val="2"/>
                      <w:sz w:val="21"/>
                      <w:szCs w:val="21"/>
                      <w:lang w:bidi="ar"/>
                    </w:rPr>
                    <w:t>一季度一次</w:t>
                  </w:r>
                </w:p>
              </w:tc>
              <w:tc>
                <w:tcPr>
                  <w:tcW w:w="1590" w:type="pct"/>
                  <w:tcBorders>
                    <w:top w:val="single" w:color="auto" w:sz="12" w:space="0"/>
                    <w:left w:val="single" w:color="auto" w:sz="2" w:space="0"/>
                    <w:bottom w:val="single" w:color="auto" w:sz="2" w:space="0"/>
                    <w:right w:val="nil"/>
                  </w:tcBorders>
                  <w:shd w:val="clear" w:color="auto" w:fill="auto"/>
                  <w:vAlign w:val="center"/>
                </w:tcPr>
                <w:p w14:paraId="05BEAEE1">
                  <w:pPr>
                    <w:pStyle w:val="19"/>
                    <w:widowControl w:val="0"/>
                    <w:spacing w:before="0" w:beforeAutospacing="0" w:after="0" w:afterAutospacing="0"/>
                    <w:jc w:val="center"/>
                    <w:rPr>
                      <w:rFonts w:ascii="Times New Roman" w:hAnsi="Times New Roman"/>
                      <w:color w:val="auto"/>
                      <w:szCs w:val="21"/>
                    </w:rPr>
                  </w:pPr>
                  <w:r>
                    <w:rPr>
                      <w:rFonts w:ascii="Times New Roman" w:hAnsi="Times New Roman"/>
                      <w:color w:val="auto"/>
                      <w:kern w:val="2"/>
                      <w:sz w:val="21"/>
                      <w:szCs w:val="21"/>
                      <w:lang w:bidi="ar"/>
                    </w:rPr>
                    <w:t>《工业企业厂界环境噪声排放标准》（GB12348-2008）3类标准</w:t>
                  </w:r>
                </w:p>
              </w:tc>
            </w:tr>
          </w:tbl>
          <w:p w14:paraId="71126440">
            <w:pPr>
              <w:adjustRightInd w:val="0"/>
              <w:snapToGrid w:val="0"/>
              <w:spacing w:line="360" w:lineRule="auto"/>
              <w:ind w:firstLine="482" w:firstLineChars="200"/>
              <w:rPr>
                <w:b/>
                <w:color w:val="auto"/>
                <w:kern w:val="0"/>
                <w:sz w:val="24"/>
              </w:rPr>
            </w:pPr>
            <w:r>
              <w:rPr>
                <w:b/>
                <w:color w:val="auto"/>
                <w:kern w:val="0"/>
                <w:sz w:val="24"/>
              </w:rPr>
              <w:t>4、</w:t>
            </w:r>
            <w:r>
              <w:rPr>
                <w:b/>
                <w:bCs/>
                <w:color w:val="auto"/>
                <w:sz w:val="24"/>
                <w:lang w:bidi="ar"/>
              </w:rPr>
              <w:t>固体废物</w:t>
            </w:r>
          </w:p>
          <w:p w14:paraId="378FE3E4">
            <w:pPr>
              <w:spacing w:line="360" w:lineRule="auto"/>
              <w:ind w:firstLine="482" w:firstLineChars="200"/>
              <w:outlineLvl w:val="2"/>
              <w:rPr>
                <w:rFonts w:ascii="宋体" w:hAnsi="宋体" w:cs="宋体"/>
                <w:b/>
                <w:bCs/>
                <w:color w:val="auto"/>
                <w:kern w:val="0"/>
                <w:sz w:val="24"/>
                <w:lang w:bidi="ar"/>
              </w:rPr>
            </w:pPr>
            <w:r>
              <w:rPr>
                <w:rFonts w:hint="eastAsia" w:ascii="宋体" w:hAnsi="宋体" w:cs="宋体"/>
                <w:b/>
                <w:color w:val="auto"/>
                <w:kern w:val="0"/>
                <w:sz w:val="24"/>
              </w:rPr>
              <w:t>4.1</w:t>
            </w:r>
            <w:r>
              <w:rPr>
                <w:rFonts w:hint="eastAsia" w:ascii="宋体" w:hAnsi="宋体" w:cs="宋体"/>
                <w:b/>
                <w:bCs/>
                <w:color w:val="auto"/>
                <w:kern w:val="0"/>
                <w:sz w:val="24"/>
                <w:lang w:bidi="ar"/>
              </w:rPr>
              <w:t>固体废物源强核算</w:t>
            </w:r>
          </w:p>
          <w:p w14:paraId="72412C8E">
            <w:pPr>
              <w:adjustRightInd w:val="0"/>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本项目营运期产生的固废主要有：炉渣、脱模剂外包装、废边角料、废金属模具、残次品、废机油、废乳化液、废液压油、除尘灰及生活垃圾。</w:t>
            </w:r>
          </w:p>
          <w:p w14:paraId="612A1F80">
            <w:pPr>
              <w:adjustRightInd w:val="0"/>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（1）炉渣</w:t>
            </w:r>
          </w:p>
          <w:p w14:paraId="06EE270A">
            <w:pPr>
              <w:adjustRightInd w:val="0"/>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本项目熔炼过程中会产生炉渣，炉渣产生量约为</w:t>
            </w:r>
            <w:r>
              <w:rPr>
                <w:rFonts w:hint="default" w:ascii="Times New Roman" w:hAnsi="Times New Roman" w:cs="Times New Roman"/>
                <w:bCs/>
                <w:color w:val="auto"/>
                <w:kern w:val="0"/>
                <w:sz w:val="24"/>
              </w:rPr>
              <w:t>200t/a</w:t>
            </w:r>
            <w:r>
              <w:rPr>
                <w:rFonts w:hint="eastAsia" w:ascii="宋体" w:hAnsi="宋体" w:cs="宋体"/>
                <w:bCs/>
                <w:color w:val="auto"/>
                <w:kern w:val="0"/>
                <w:sz w:val="24"/>
              </w:rPr>
              <w:t>，由建设单位收集后综合利用。</w:t>
            </w:r>
          </w:p>
          <w:p w14:paraId="01883773">
            <w:pPr>
              <w:adjustRightInd w:val="0"/>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（2）脱模剂外包装</w:t>
            </w:r>
          </w:p>
          <w:p w14:paraId="15605A7B">
            <w:pPr>
              <w:adjustRightInd w:val="0"/>
              <w:snapToGrid w:val="0"/>
              <w:spacing w:line="360" w:lineRule="auto"/>
              <w:ind w:firstLine="480" w:firstLineChars="200"/>
              <w:rPr>
                <w:rFonts w:hint="default" w:ascii="宋体" w:hAnsi="宋体" w:eastAsia="宋体" w:cs="宋体"/>
                <w:bCs/>
                <w:color w:val="auto"/>
                <w:kern w:val="0"/>
                <w:sz w:val="24"/>
                <w:lang w:val="en-US" w:eastAsia="zh-CN"/>
              </w:rPr>
            </w:pPr>
            <w:r>
              <w:rPr>
                <w:rFonts w:hint="eastAsia" w:ascii="宋体" w:hAnsi="宋体" w:cs="宋体"/>
                <w:bCs/>
                <w:color w:val="auto"/>
                <w:kern w:val="0"/>
                <w:sz w:val="24"/>
              </w:rPr>
              <w:t>本项目会在浇筑工序过程中产生脱模剂外包装，产生量为</w:t>
            </w:r>
            <w:r>
              <w:rPr>
                <w:rFonts w:hint="default" w:ascii="Times New Roman" w:hAnsi="Times New Roman" w:cs="Times New Roman"/>
                <w:bCs/>
                <w:color w:val="auto"/>
                <w:kern w:val="0"/>
                <w:sz w:val="24"/>
                <w:lang w:val="en-US" w:eastAsia="zh-CN"/>
              </w:rPr>
              <w:t>0.3</w:t>
            </w:r>
            <w:r>
              <w:rPr>
                <w:rFonts w:hint="default" w:ascii="Times New Roman" w:hAnsi="Times New Roman" w:cs="Times New Roman"/>
                <w:bCs/>
                <w:color w:val="auto"/>
                <w:kern w:val="0"/>
                <w:sz w:val="24"/>
              </w:rPr>
              <w:t>t/a</w:t>
            </w:r>
            <w:r>
              <w:rPr>
                <w:rFonts w:hint="eastAsia" w:ascii="宋体" w:hAnsi="宋体" w:cs="宋体"/>
                <w:bCs/>
                <w:color w:val="auto"/>
                <w:kern w:val="0"/>
                <w:sz w:val="24"/>
              </w:rPr>
              <w:t>，由</w:t>
            </w:r>
            <w:r>
              <w:rPr>
                <w:rFonts w:hint="eastAsia" w:ascii="宋体" w:hAnsi="宋体" w:cs="宋体"/>
                <w:bCs/>
                <w:color w:val="auto"/>
                <w:kern w:val="0"/>
                <w:sz w:val="24"/>
                <w:lang w:val="en-US" w:eastAsia="zh-CN"/>
              </w:rPr>
              <w:t xml:space="preserve">废品回收站处理。                                                           </w:t>
            </w:r>
          </w:p>
          <w:p w14:paraId="5C466559">
            <w:pPr>
              <w:adjustRightInd w:val="0"/>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（3）废边角料及残次品</w:t>
            </w:r>
          </w:p>
          <w:p w14:paraId="4B3381AE">
            <w:pPr>
              <w:adjustRightInd w:val="0"/>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本项目会在加工过程中产生废边角料及残次品，其中废边角料产生量为4</w:t>
            </w:r>
            <w:r>
              <w:rPr>
                <w:rFonts w:hint="eastAsia"/>
                <w:bCs/>
                <w:color w:val="auto"/>
                <w:kern w:val="0"/>
                <w:sz w:val="24"/>
              </w:rPr>
              <w:t>50</w:t>
            </w:r>
            <w:r>
              <w:rPr>
                <w:bCs/>
                <w:color w:val="auto"/>
                <w:kern w:val="0"/>
                <w:sz w:val="24"/>
              </w:rPr>
              <w:t>t/a</w:t>
            </w:r>
            <w:r>
              <w:rPr>
                <w:rFonts w:hint="eastAsia" w:ascii="宋体" w:hAnsi="宋体" w:cs="宋体"/>
                <w:bCs/>
                <w:color w:val="auto"/>
                <w:kern w:val="0"/>
                <w:sz w:val="24"/>
              </w:rPr>
              <w:t>，残次品产生量为</w:t>
            </w:r>
            <w:r>
              <w:rPr>
                <w:rFonts w:hint="default" w:ascii="Times New Roman" w:hAnsi="Times New Roman" w:cs="Times New Roman"/>
                <w:bCs/>
                <w:color w:val="auto"/>
                <w:kern w:val="0"/>
                <w:sz w:val="24"/>
              </w:rPr>
              <w:t>250t/a</w:t>
            </w:r>
            <w:r>
              <w:rPr>
                <w:rFonts w:hint="eastAsia" w:ascii="宋体" w:hAnsi="宋体" w:cs="宋体"/>
                <w:bCs/>
                <w:color w:val="auto"/>
                <w:kern w:val="0"/>
                <w:sz w:val="24"/>
              </w:rPr>
              <w:t>，由建设单位收集后回炉。</w:t>
            </w:r>
          </w:p>
          <w:p w14:paraId="1AB54A68">
            <w:pPr>
              <w:adjustRightInd w:val="0"/>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（4）废金属模具</w:t>
            </w:r>
          </w:p>
          <w:p w14:paraId="7BCA8B08">
            <w:pPr>
              <w:adjustRightInd w:val="0"/>
              <w:snapToGrid w:val="0"/>
              <w:spacing w:line="360" w:lineRule="auto"/>
              <w:ind w:firstLine="480" w:firstLineChars="200"/>
              <w:rPr>
                <w:rFonts w:ascii="宋体" w:hAnsi="宋体" w:cs="宋体"/>
                <w:bCs/>
                <w:color w:val="auto"/>
                <w:kern w:val="0"/>
                <w:sz w:val="24"/>
              </w:rPr>
            </w:pPr>
            <w:r>
              <w:rPr>
                <w:rFonts w:hint="eastAsia"/>
                <w:bCs/>
                <w:color w:val="auto"/>
                <w:kern w:val="0"/>
                <w:sz w:val="24"/>
              </w:rPr>
              <w:t>废金属模具在浇筑工序过程产生，</w:t>
            </w:r>
            <w:r>
              <w:rPr>
                <w:bCs/>
                <w:color w:val="auto"/>
                <w:kern w:val="0"/>
                <w:sz w:val="24"/>
              </w:rPr>
              <w:t>产生量为</w:t>
            </w:r>
            <w:r>
              <w:rPr>
                <w:rFonts w:hint="eastAsia"/>
                <w:bCs/>
                <w:color w:val="auto"/>
                <w:kern w:val="0"/>
                <w:sz w:val="24"/>
              </w:rPr>
              <w:t>100</w:t>
            </w:r>
            <w:r>
              <w:rPr>
                <w:bCs/>
                <w:color w:val="auto"/>
                <w:kern w:val="0"/>
                <w:sz w:val="24"/>
              </w:rPr>
              <w:t>t/a</w:t>
            </w:r>
            <w:r>
              <w:rPr>
                <w:rFonts w:hint="eastAsia"/>
                <w:bCs/>
                <w:color w:val="auto"/>
                <w:kern w:val="0"/>
                <w:sz w:val="24"/>
              </w:rPr>
              <w:t>，处理方式为：经厂家回收后，以旧换新；</w:t>
            </w:r>
          </w:p>
          <w:p w14:paraId="0E499320">
            <w:pPr>
              <w:adjustRightInd w:val="0"/>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（5）废机油</w:t>
            </w:r>
          </w:p>
          <w:p w14:paraId="4016C7A8">
            <w:pPr>
              <w:adjustRightInd w:val="0"/>
              <w:snapToGrid w:val="0"/>
              <w:spacing w:line="360" w:lineRule="auto"/>
              <w:ind w:firstLine="480" w:firstLineChars="200"/>
              <w:rPr>
                <w:rFonts w:ascii="宋体" w:hAnsi="宋体" w:cs="宋体"/>
                <w:bCs/>
                <w:color w:val="auto"/>
                <w:kern w:val="0"/>
                <w:sz w:val="24"/>
                <w:highlight w:val="yellow"/>
              </w:rPr>
            </w:pPr>
            <w:r>
              <w:rPr>
                <w:rFonts w:hint="eastAsia" w:ascii="宋体" w:hAnsi="宋体" w:cs="宋体"/>
                <w:bCs/>
                <w:color w:val="auto"/>
                <w:kern w:val="0"/>
                <w:sz w:val="24"/>
              </w:rPr>
              <w:t>本项目在设备运行和保养过程中会产生废机油，废机油产生量为</w:t>
            </w:r>
            <w:r>
              <w:rPr>
                <w:rFonts w:hint="default" w:ascii="Times New Roman" w:hAnsi="Times New Roman" w:cs="Times New Roman"/>
                <w:bCs/>
                <w:color w:val="auto"/>
                <w:kern w:val="0"/>
                <w:sz w:val="24"/>
              </w:rPr>
              <w:t>0.03t/a</w:t>
            </w:r>
            <w:r>
              <w:rPr>
                <w:rFonts w:hint="eastAsia" w:ascii="宋体" w:hAnsi="宋体" w:cs="宋体"/>
                <w:bCs/>
                <w:color w:val="auto"/>
                <w:kern w:val="0"/>
                <w:sz w:val="24"/>
              </w:rPr>
              <w:t>，由建设单位收集后暂存于场内的固废间，做好防雨淋、防渗漏等措施，定期委托有资质单位处置。</w:t>
            </w:r>
          </w:p>
          <w:p w14:paraId="2849FA74">
            <w:pPr>
              <w:adjustRightInd w:val="0"/>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（6）废乳化液</w:t>
            </w:r>
          </w:p>
          <w:p w14:paraId="25BF26A5">
            <w:pPr>
              <w:adjustRightInd w:val="0"/>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本项目在裁剪工序过程中会产生废乳化液，乳化液年使用量</w:t>
            </w:r>
            <w:r>
              <w:rPr>
                <w:rFonts w:hint="default" w:ascii="Times New Roman" w:hAnsi="Times New Roman" w:cs="Times New Roman"/>
                <w:bCs/>
                <w:color w:val="auto"/>
                <w:kern w:val="0"/>
                <w:sz w:val="24"/>
              </w:rPr>
              <w:t>2t</w:t>
            </w:r>
            <w:r>
              <w:rPr>
                <w:rFonts w:hint="eastAsia" w:ascii="宋体" w:hAnsi="宋体" w:cs="宋体"/>
                <w:bCs/>
                <w:color w:val="auto"/>
                <w:kern w:val="0"/>
                <w:sz w:val="24"/>
              </w:rPr>
              <w:t>，废乳化液产生系数约为</w:t>
            </w:r>
            <w:r>
              <w:rPr>
                <w:rFonts w:hint="default" w:ascii="Times New Roman" w:hAnsi="Times New Roman" w:cs="Times New Roman"/>
                <w:bCs/>
                <w:color w:val="auto"/>
                <w:kern w:val="0"/>
                <w:sz w:val="24"/>
              </w:rPr>
              <w:t>0.6</w:t>
            </w:r>
            <w:r>
              <w:rPr>
                <w:rFonts w:hint="eastAsia" w:ascii="宋体" w:hAnsi="宋体" w:cs="宋体"/>
                <w:bCs/>
                <w:color w:val="auto"/>
                <w:kern w:val="0"/>
                <w:sz w:val="24"/>
              </w:rPr>
              <w:t>，因此废</w:t>
            </w:r>
            <w:r>
              <w:rPr>
                <w:rFonts w:hint="eastAsia" w:ascii="宋体" w:hAnsi="宋体" w:cs="宋体"/>
                <w:bCs/>
                <w:color w:val="auto"/>
                <w:kern w:val="0"/>
                <w:sz w:val="24"/>
                <w:lang w:val="en-US" w:eastAsia="zh-CN"/>
              </w:rPr>
              <w:t>乳化液</w:t>
            </w:r>
            <w:r>
              <w:rPr>
                <w:rFonts w:hint="eastAsia" w:ascii="宋体" w:hAnsi="宋体" w:cs="宋体"/>
                <w:bCs/>
                <w:color w:val="auto"/>
                <w:kern w:val="0"/>
                <w:sz w:val="24"/>
              </w:rPr>
              <w:t>产生量约为</w:t>
            </w:r>
            <w:r>
              <w:rPr>
                <w:rFonts w:hint="default" w:ascii="Times New Roman" w:hAnsi="Times New Roman" w:cs="Times New Roman"/>
                <w:bCs/>
                <w:color w:val="auto"/>
                <w:kern w:val="0"/>
                <w:sz w:val="24"/>
              </w:rPr>
              <w:t>1.2t/a</w:t>
            </w:r>
            <w:r>
              <w:rPr>
                <w:rFonts w:hint="eastAsia" w:ascii="宋体" w:hAnsi="宋体" w:cs="宋体"/>
                <w:bCs/>
                <w:color w:val="auto"/>
                <w:kern w:val="0"/>
                <w:sz w:val="24"/>
              </w:rPr>
              <w:t>，由建设单位收集后暂存于场内的固废间，做好防雨淋、防渗漏等措施，定期委托有资质单位处置。</w:t>
            </w:r>
          </w:p>
          <w:p w14:paraId="349C2A28">
            <w:pPr>
              <w:adjustRightInd w:val="0"/>
              <w:snapToGrid w:val="0"/>
              <w:spacing w:line="360" w:lineRule="auto"/>
              <w:ind w:left="420"/>
              <w:rPr>
                <w:rFonts w:ascii="宋体" w:hAnsi="宋体" w:cs="宋体"/>
                <w:bCs/>
                <w:color w:val="auto"/>
                <w:kern w:val="0"/>
                <w:sz w:val="24"/>
              </w:rPr>
            </w:pPr>
            <w:r>
              <w:rPr>
                <w:rFonts w:hint="eastAsia" w:ascii="宋体" w:hAnsi="宋体" w:cs="宋体"/>
                <w:bCs/>
                <w:color w:val="auto"/>
                <w:kern w:val="0"/>
                <w:sz w:val="24"/>
              </w:rPr>
              <w:t>（7）废液压油</w:t>
            </w:r>
          </w:p>
          <w:p w14:paraId="4575368C">
            <w:pPr>
              <w:adjustRightInd w:val="0"/>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本项目在裁剪工序过程中会产生废液压油，产生量为</w:t>
            </w:r>
            <w:r>
              <w:rPr>
                <w:rFonts w:hint="default" w:ascii="Times New Roman" w:hAnsi="Times New Roman" w:cs="Times New Roman"/>
                <w:bCs/>
                <w:color w:val="auto"/>
                <w:kern w:val="0"/>
                <w:sz w:val="24"/>
              </w:rPr>
              <w:t>0.02t/a</w:t>
            </w:r>
            <w:r>
              <w:rPr>
                <w:rFonts w:hint="eastAsia" w:ascii="宋体" w:hAnsi="宋体" w:cs="宋体"/>
                <w:bCs/>
                <w:color w:val="auto"/>
                <w:kern w:val="0"/>
                <w:sz w:val="24"/>
              </w:rPr>
              <w:t>，由建设单位收集后暂存于场内的固废间，做好防雨淋、防渗漏等措施，定期委托有资质单位处置。</w:t>
            </w:r>
          </w:p>
          <w:p w14:paraId="4C94C7E7">
            <w:pPr>
              <w:adjustRightInd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（8）除尘灰</w:t>
            </w:r>
          </w:p>
          <w:p w14:paraId="2E9AF525">
            <w:pPr>
              <w:adjustRightInd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 xml:space="preserve">本项目生产过程中产生的粉尘收集后经布袋除尘处理，经核算，除尘灰产量约为 </w:t>
            </w:r>
            <w:r>
              <w:rPr>
                <w:rFonts w:hint="default" w:ascii="Times New Roman" w:hAnsi="Times New Roman" w:cs="Times New Roman"/>
                <w:bCs/>
                <w:color w:val="auto"/>
                <w:kern w:val="0"/>
                <w:sz w:val="24"/>
                <w:highlight w:val="none"/>
                <w:lang w:val="en-US" w:eastAsia="zh-CN"/>
              </w:rPr>
              <w:t>50.5</w:t>
            </w:r>
            <w:r>
              <w:rPr>
                <w:rFonts w:hint="default" w:ascii="Times New Roman" w:hAnsi="Times New Roman" w:cs="Times New Roman"/>
                <w:bCs/>
                <w:color w:val="auto"/>
                <w:kern w:val="0"/>
                <w:sz w:val="24"/>
                <w:highlight w:val="none"/>
              </w:rPr>
              <w:t>t/a</w:t>
            </w:r>
            <w:r>
              <w:rPr>
                <w:rFonts w:hint="eastAsia" w:ascii="宋体" w:hAnsi="宋体" w:cs="宋体"/>
                <w:bCs/>
                <w:color w:val="auto"/>
                <w:kern w:val="0"/>
                <w:sz w:val="24"/>
                <w:highlight w:val="none"/>
              </w:rPr>
              <w:t>，由建设单位收集后回用于生产。</w:t>
            </w:r>
          </w:p>
          <w:p w14:paraId="3B924346">
            <w:pPr>
              <w:adjustRightInd w:val="0"/>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（9）生活垃圾</w:t>
            </w:r>
          </w:p>
          <w:p w14:paraId="55260911">
            <w:pPr>
              <w:adjustRightInd w:val="0"/>
              <w:snapToGrid w:val="0"/>
              <w:spacing w:line="360" w:lineRule="auto"/>
              <w:ind w:firstLine="480" w:firstLineChars="200"/>
              <w:rPr>
                <w:bCs/>
                <w:color w:val="auto"/>
                <w:kern w:val="0"/>
                <w:sz w:val="24"/>
              </w:rPr>
            </w:pPr>
            <w:r>
              <w:rPr>
                <w:bCs/>
                <w:color w:val="auto"/>
                <w:kern w:val="0"/>
                <w:sz w:val="24"/>
              </w:rPr>
              <w:t>营运期员工</w:t>
            </w:r>
            <w:r>
              <w:rPr>
                <w:rFonts w:hint="eastAsia"/>
                <w:bCs/>
                <w:color w:val="auto"/>
                <w:kern w:val="0"/>
                <w:sz w:val="24"/>
              </w:rPr>
              <w:t>50</w:t>
            </w:r>
            <w:r>
              <w:rPr>
                <w:bCs/>
                <w:color w:val="auto"/>
                <w:kern w:val="0"/>
                <w:sz w:val="24"/>
              </w:rPr>
              <w:t>人，生活垃圾产生量按 0.5kg/人•d ，生产时间</w:t>
            </w:r>
            <w:r>
              <w:rPr>
                <w:rFonts w:hint="eastAsia"/>
                <w:bCs/>
                <w:color w:val="auto"/>
                <w:kern w:val="0"/>
                <w:sz w:val="24"/>
              </w:rPr>
              <w:t>按250</w:t>
            </w:r>
            <w:r>
              <w:rPr>
                <w:bCs/>
                <w:color w:val="auto"/>
                <w:kern w:val="0"/>
                <w:sz w:val="24"/>
              </w:rPr>
              <w:t>天计， 则预计产生量约为</w:t>
            </w:r>
            <w:r>
              <w:rPr>
                <w:rFonts w:hint="eastAsia"/>
                <w:bCs/>
                <w:color w:val="auto"/>
                <w:kern w:val="0"/>
                <w:sz w:val="24"/>
              </w:rPr>
              <w:t>6.25</w:t>
            </w:r>
            <w:r>
              <w:rPr>
                <w:bCs/>
                <w:color w:val="auto"/>
                <w:kern w:val="0"/>
                <w:sz w:val="24"/>
              </w:rPr>
              <w:t>t/a。</w:t>
            </w:r>
          </w:p>
          <w:p w14:paraId="714BB3DB">
            <w:pPr>
              <w:adjustRightInd w:val="0"/>
              <w:spacing w:line="360" w:lineRule="auto"/>
              <w:ind w:firstLine="482"/>
              <w:rPr>
                <w:rFonts w:ascii="宋体" w:hAnsi="宋体" w:cs="宋体"/>
                <w:b/>
                <w:color w:val="auto"/>
                <w:szCs w:val="21"/>
              </w:rPr>
            </w:pPr>
            <w:r>
              <w:rPr>
                <w:rFonts w:hint="eastAsia" w:ascii="宋体" w:hAnsi="宋体" w:cs="宋体"/>
                <w:bCs/>
                <w:color w:val="auto"/>
                <w:sz w:val="24"/>
                <w:lang w:bidi="ar"/>
              </w:rPr>
              <w:t>根据《中华人民共和国固体废物污染环境防治法》、《国家危险废物名录》 （</w:t>
            </w:r>
            <w:r>
              <w:rPr>
                <w:rFonts w:hint="default" w:ascii="Times New Roman" w:hAnsi="Times New Roman" w:cs="Times New Roman"/>
                <w:bCs/>
                <w:color w:val="auto"/>
                <w:sz w:val="24"/>
                <w:lang w:bidi="ar"/>
              </w:rPr>
              <w:t>2021</w:t>
            </w:r>
            <w:r>
              <w:rPr>
                <w:rFonts w:ascii="宋体" w:hAnsi="宋体" w:cs="宋体"/>
                <w:bCs/>
                <w:color w:val="auto"/>
                <w:sz w:val="24"/>
                <w:lang w:bidi="ar"/>
              </w:rPr>
              <w:t xml:space="preserve"> </w:t>
            </w:r>
            <w:r>
              <w:rPr>
                <w:rFonts w:hint="eastAsia" w:ascii="宋体" w:hAnsi="宋体" w:cs="宋体"/>
                <w:bCs/>
                <w:color w:val="auto"/>
                <w:sz w:val="24"/>
                <w:lang w:bidi="ar"/>
              </w:rPr>
              <w:t>年版）和《固体废物鉴别标准 通则》（</w:t>
            </w:r>
            <w:r>
              <w:rPr>
                <w:rFonts w:hint="default" w:ascii="Times New Roman" w:hAnsi="Times New Roman" w:cs="Times New Roman"/>
                <w:bCs/>
                <w:color w:val="auto"/>
                <w:sz w:val="24"/>
                <w:lang w:bidi="ar"/>
              </w:rPr>
              <w:t>GB34330-2017</w:t>
            </w:r>
            <w:r>
              <w:rPr>
                <w:rFonts w:hint="eastAsia" w:ascii="宋体" w:hAnsi="宋体" w:cs="宋体"/>
                <w:bCs/>
                <w:color w:val="auto"/>
                <w:sz w:val="24"/>
                <w:lang w:bidi="ar"/>
              </w:rPr>
              <w:t xml:space="preserve">），对建设项目全厂产生的副产物（依据产生来源、利用和处置过程鉴别，属于固体废物并且作为固体废物管理的物质）进行属性判定，本项目副产物判定见表 </w:t>
            </w:r>
            <w:r>
              <w:rPr>
                <w:rFonts w:hint="default" w:ascii="Times New Roman" w:hAnsi="Times New Roman" w:cs="Times New Roman"/>
                <w:bCs/>
                <w:color w:val="auto"/>
                <w:sz w:val="24"/>
                <w:lang w:bidi="ar"/>
              </w:rPr>
              <w:t>4-15</w:t>
            </w:r>
            <w:r>
              <w:rPr>
                <w:rFonts w:hint="eastAsia" w:ascii="宋体" w:hAnsi="宋体" w:cs="宋体"/>
                <w:bCs/>
                <w:color w:val="auto"/>
                <w:sz w:val="24"/>
                <w:lang w:bidi="ar"/>
              </w:rPr>
              <w:t xml:space="preserve">，本项目建成后全厂危险废物汇总见表 </w:t>
            </w:r>
            <w:r>
              <w:rPr>
                <w:rFonts w:hint="default" w:ascii="Times New Roman" w:hAnsi="Times New Roman" w:cs="Times New Roman"/>
                <w:bCs/>
                <w:color w:val="auto"/>
                <w:sz w:val="24"/>
                <w:lang w:bidi="ar"/>
              </w:rPr>
              <w:t>4-16</w:t>
            </w:r>
            <w:r>
              <w:rPr>
                <w:rFonts w:hint="eastAsia" w:ascii="宋体" w:hAnsi="宋体" w:cs="宋体"/>
                <w:bCs/>
                <w:color w:val="auto"/>
                <w:sz w:val="24"/>
                <w:lang w:bidi="ar"/>
              </w:rPr>
              <w:t>。</w:t>
            </w:r>
          </w:p>
          <w:p w14:paraId="3332FB6E">
            <w:pPr>
              <w:jc w:val="center"/>
              <w:rPr>
                <w:rFonts w:ascii="宋体" w:hAnsi="宋体" w:cs="宋体"/>
                <w:b/>
                <w:color w:val="auto"/>
                <w:szCs w:val="21"/>
              </w:rPr>
            </w:pPr>
            <w:r>
              <w:rPr>
                <w:rFonts w:hint="eastAsia" w:ascii="宋体" w:hAnsi="宋体" w:cs="宋体"/>
                <w:b/>
                <w:color w:val="auto"/>
                <w:szCs w:val="21"/>
              </w:rPr>
              <w:t xml:space="preserve">表4-15  本项目固废产生判定表   </w:t>
            </w:r>
          </w:p>
          <w:tbl>
            <w:tblPr>
              <w:tblStyle w:val="24"/>
              <w:tblW w:w="4997" w:type="pct"/>
              <w:tblInd w:w="5"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095"/>
              <w:gridCol w:w="876"/>
              <w:gridCol w:w="876"/>
              <w:gridCol w:w="844"/>
              <w:gridCol w:w="847"/>
              <w:gridCol w:w="860"/>
              <w:gridCol w:w="860"/>
              <w:gridCol w:w="880"/>
              <w:gridCol w:w="881"/>
            </w:tblGrid>
            <w:tr w14:paraId="46C4AD95">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682" w:type="pct"/>
                  <w:vMerge w:val="restart"/>
                  <w:tcBorders>
                    <w:tl2br w:val="nil"/>
                    <w:tr2bl w:val="nil"/>
                  </w:tcBorders>
                  <w:vAlign w:val="center"/>
                </w:tcPr>
                <w:p w14:paraId="286D493C">
                  <w:pPr>
                    <w:jc w:val="center"/>
                    <w:rPr>
                      <w:color w:val="auto"/>
                      <w:szCs w:val="21"/>
                    </w:rPr>
                  </w:pPr>
                  <w:r>
                    <w:rPr>
                      <w:rFonts w:hint="eastAsia"/>
                      <w:color w:val="auto"/>
                      <w:szCs w:val="21"/>
                    </w:rPr>
                    <w:t>序号</w:t>
                  </w:r>
                </w:p>
              </w:tc>
              <w:tc>
                <w:tcPr>
                  <w:tcW w:w="546" w:type="pct"/>
                  <w:vMerge w:val="restart"/>
                  <w:tcBorders>
                    <w:tl2br w:val="nil"/>
                    <w:tr2bl w:val="nil"/>
                  </w:tcBorders>
                  <w:vAlign w:val="center"/>
                </w:tcPr>
                <w:p w14:paraId="1370D072">
                  <w:pPr>
                    <w:jc w:val="center"/>
                    <w:rPr>
                      <w:color w:val="auto"/>
                      <w:szCs w:val="21"/>
                    </w:rPr>
                  </w:pPr>
                  <w:r>
                    <w:rPr>
                      <w:rFonts w:hint="eastAsia"/>
                      <w:color w:val="auto"/>
                      <w:szCs w:val="21"/>
                    </w:rPr>
                    <w:t>副产物名称</w:t>
                  </w:r>
                </w:p>
              </w:tc>
              <w:tc>
                <w:tcPr>
                  <w:tcW w:w="546" w:type="pct"/>
                  <w:vMerge w:val="restart"/>
                  <w:tcBorders>
                    <w:tl2br w:val="nil"/>
                    <w:tr2bl w:val="nil"/>
                  </w:tcBorders>
                  <w:vAlign w:val="center"/>
                </w:tcPr>
                <w:p w14:paraId="07F22614">
                  <w:pPr>
                    <w:jc w:val="center"/>
                    <w:rPr>
                      <w:color w:val="auto"/>
                      <w:szCs w:val="21"/>
                    </w:rPr>
                  </w:pPr>
                  <w:r>
                    <w:rPr>
                      <w:rFonts w:hint="eastAsia"/>
                      <w:color w:val="auto"/>
                      <w:szCs w:val="21"/>
                    </w:rPr>
                    <w:t>产生工序</w:t>
                  </w:r>
                </w:p>
              </w:tc>
              <w:tc>
                <w:tcPr>
                  <w:tcW w:w="526" w:type="pct"/>
                  <w:vMerge w:val="restart"/>
                  <w:tcBorders>
                    <w:tl2br w:val="nil"/>
                    <w:tr2bl w:val="nil"/>
                  </w:tcBorders>
                  <w:vAlign w:val="center"/>
                </w:tcPr>
                <w:p w14:paraId="4ADF98AB">
                  <w:pPr>
                    <w:jc w:val="center"/>
                    <w:rPr>
                      <w:color w:val="auto"/>
                      <w:szCs w:val="21"/>
                    </w:rPr>
                  </w:pPr>
                  <w:r>
                    <w:rPr>
                      <w:rFonts w:hint="eastAsia"/>
                      <w:color w:val="auto"/>
                      <w:szCs w:val="21"/>
                    </w:rPr>
                    <w:t>形态</w:t>
                  </w:r>
                </w:p>
              </w:tc>
              <w:tc>
                <w:tcPr>
                  <w:tcW w:w="528" w:type="pct"/>
                  <w:vMerge w:val="restart"/>
                  <w:tcBorders>
                    <w:tl2br w:val="nil"/>
                    <w:tr2bl w:val="nil"/>
                  </w:tcBorders>
                  <w:vAlign w:val="center"/>
                </w:tcPr>
                <w:p w14:paraId="5BF22E4D">
                  <w:pPr>
                    <w:jc w:val="center"/>
                    <w:rPr>
                      <w:color w:val="auto"/>
                      <w:szCs w:val="21"/>
                    </w:rPr>
                  </w:pPr>
                  <w:r>
                    <w:rPr>
                      <w:rFonts w:hint="eastAsia"/>
                      <w:color w:val="auto"/>
                      <w:szCs w:val="21"/>
                    </w:rPr>
                    <w:t>主要成分</w:t>
                  </w:r>
                </w:p>
              </w:tc>
              <w:tc>
                <w:tcPr>
                  <w:tcW w:w="536" w:type="pct"/>
                  <w:vMerge w:val="restart"/>
                  <w:tcBorders>
                    <w:tl2br w:val="nil"/>
                    <w:tr2bl w:val="nil"/>
                  </w:tcBorders>
                  <w:vAlign w:val="center"/>
                </w:tcPr>
                <w:p w14:paraId="55FC6372">
                  <w:pPr>
                    <w:jc w:val="center"/>
                    <w:rPr>
                      <w:color w:val="auto"/>
                      <w:szCs w:val="21"/>
                    </w:rPr>
                  </w:pPr>
                  <w:r>
                    <w:rPr>
                      <w:rFonts w:hint="eastAsia"/>
                      <w:color w:val="auto"/>
                      <w:szCs w:val="21"/>
                    </w:rPr>
                    <w:t>预测产量（t/a）</w:t>
                  </w:r>
                </w:p>
              </w:tc>
              <w:tc>
                <w:tcPr>
                  <w:tcW w:w="1632" w:type="pct"/>
                  <w:gridSpan w:val="3"/>
                  <w:tcBorders>
                    <w:tl2br w:val="nil"/>
                    <w:tr2bl w:val="nil"/>
                  </w:tcBorders>
                  <w:vAlign w:val="center"/>
                </w:tcPr>
                <w:p w14:paraId="5CB5E5F1">
                  <w:pPr>
                    <w:jc w:val="center"/>
                    <w:rPr>
                      <w:color w:val="auto"/>
                      <w:szCs w:val="21"/>
                    </w:rPr>
                  </w:pPr>
                  <w:r>
                    <w:rPr>
                      <w:rFonts w:hint="eastAsia"/>
                      <w:color w:val="auto"/>
                      <w:szCs w:val="21"/>
                    </w:rPr>
                    <w:t>种类判定</w:t>
                  </w:r>
                </w:p>
                <w:p w14:paraId="7C4BC838">
                  <w:pPr>
                    <w:jc w:val="center"/>
                    <w:rPr>
                      <w:color w:val="auto"/>
                      <w:szCs w:val="21"/>
                    </w:rPr>
                  </w:pPr>
                </w:p>
              </w:tc>
            </w:tr>
            <w:tr w14:paraId="692AD13A">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682" w:type="pct"/>
                  <w:vMerge w:val="continue"/>
                  <w:tcBorders>
                    <w:tl2br w:val="nil"/>
                    <w:tr2bl w:val="nil"/>
                  </w:tcBorders>
                  <w:vAlign w:val="center"/>
                </w:tcPr>
                <w:p w14:paraId="6A84C89F">
                  <w:pPr>
                    <w:jc w:val="center"/>
                    <w:rPr>
                      <w:color w:val="auto"/>
                      <w:szCs w:val="21"/>
                    </w:rPr>
                  </w:pPr>
                </w:p>
              </w:tc>
              <w:tc>
                <w:tcPr>
                  <w:tcW w:w="546" w:type="pct"/>
                  <w:vMerge w:val="continue"/>
                  <w:tcBorders>
                    <w:tl2br w:val="nil"/>
                    <w:tr2bl w:val="nil"/>
                  </w:tcBorders>
                  <w:vAlign w:val="center"/>
                </w:tcPr>
                <w:p w14:paraId="34710C0C">
                  <w:pPr>
                    <w:jc w:val="center"/>
                    <w:rPr>
                      <w:color w:val="auto"/>
                      <w:szCs w:val="21"/>
                    </w:rPr>
                  </w:pPr>
                </w:p>
              </w:tc>
              <w:tc>
                <w:tcPr>
                  <w:tcW w:w="546" w:type="pct"/>
                  <w:vMerge w:val="continue"/>
                  <w:tcBorders>
                    <w:tl2br w:val="nil"/>
                    <w:tr2bl w:val="nil"/>
                  </w:tcBorders>
                  <w:vAlign w:val="center"/>
                </w:tcPr>
                <w:p w14:paraId="6CF1AB75">
                  <w:pPr>
                    <w:jc w:val="center"/>
                    <w:rPr>
                      <w:color w:val="auto"/>
                      <w:szCs w:val="21"/>
                    </w:rPr>
                  </w:pPr>
                </w:p>
              </w:tc>
              <w:tc>
                <w:tcPr>
                  <w:tcW w:w="526" w:type="pct"/>
                  <w:vMerge w:val="continue"/>
                  <w:tcBorders>
                    <w:tl2br w:val="nil"/>
                    <w:tr2bl w:val="nil"/>
                  </w:tcBorders>
                  <w:vAlign w:val="center"/>
                </w:tcPr>
                <w:p w14:paraId="33DFC2BC">
                  <w:pPr>
                    <w:jc w:val="center"/>
                    <w:rPr>
                      <w:color w:val="auto"/>
                      <w:szCs w:val="21"/>
                    </w:rPr>
                  </w:pPr>
                </w:p>
              </w:tc>
              <w:tc>
                <w:tcPr>
                  <w:tcW w:w="528" w:type="pct"/>
                  <w:vMerge w:val="continue"/>
                  <w:tcBorders>
                    <w:tl2br w:val="nil"/>
                    <w:tr2bl w:val="nil"/>
                  </w:tcBorders>
                  <w:vAlign w:val="center"/>
                </w:tcPr>
                <w:p w14:paraId="79D0212B">
                  <w:pPr>
                    <w:jc w:val="center"/>
                    <w:rPr>
                      <w:color w:val="auto"/>
                      <w:szCs w:val="21"/>
                    </w:rPr>
                  </w:pPr>
                </w:p>
              </w:tc>
              <w:tc>
                <w:tcPr>
                  <w:tcW w:w="536" w:type="pct"/>
                  <w:vMerge w:val="continue"/>
                  <w:tcBorders>
                    <w:tl2br w:val="nil"/>
                    <w:tr2bl w:val="nil"/>
                  </w:tcBorders>
                  <w:vAlign w:val="center"/>
                </w:tcPr>
                <w:p w14:paraId="5D97C734">
                  <w:pPr>
                    <w:jc w:val="center"/>
                    <w:rPr>
                      <w:color w:val="auto"/>
                      <w:szCs w:val="21"/>
                    </w:rPr>
                  </w:pPr>
                </w:p>
              </w:tc>
              <w:tc>
                <w:tcPr>
                  <w:tcW w:w="536" w:type="pct"/>
                  <w:tcBorders>
                    <w:tl2br w:val="nil"/>
                    <w:tr2bl w:val="nil"/>
                  </w:tcBorders>
                  <w:vAlign w:val="center"/>
                </w:tcPr>
                <w:p w14:paraId="2F05EC79">
                  <w:pPr>
                    <w:jc w:val="center"/>
                    <w:rPr>
                      <w:color w:val="auto"/>
                      <w:szCs w:val="21"/>
                    </w:rPr>
                  </w:pPr>
                  <w:r>
                    <w:rPr>
                      <w:rFonts w:hint="eastAsia"/>
                      <w:color w:val="auto"/>
                      <w:szCs w:val="21"/>
                    </w:rPr>
                    <w:t>固体废物</w:t>
                  </w:r>
                </w:p>
              </w:tc>
              <w:tc>
                <w:tcPr>
                  <w:tcW w:w="548" w:type="pct"/>
                  <w:tcBorders>
                    <w:tl2br w:val="nil"/>
                    <w:tr2bl w:val="nil"/>
                  </w:tcBorders>
                  <w:vAlign w:val="center"/>
                </w:tcPr>
                <w:p w14:paraId="6AF85827">
                  <w:pPr>
                    <w:jc w:val="center"/>
                    <w:rPr>
                      <w:color w:val="auto"/>
                      <w:szCs w:val="21"/>
                    </w:rPr>
                  </w:pPr>
                  <w:r>
                    <w:rPr>
                      <w:rFonts w:hint="eastAsia"/>
                      <w:color w:val="auto"/>
                      <w:szCs w:val="21"/>
                    </w:rPr>
                    <w:t>副产品</w:t>
                  </w:r>
                </w:p>
              </w:tc>
              <w:tc>
                <w:tcPr>
                  <w:tcW w:w="547" w:type="pct"/>
                  <w:tcBorders>
                    <w:tl2br w:val="nil"/>
                    <w:tr2bl w:val="nil"/>
                  </w:tcBorders>
                  <w:vAlign w:val="center"/>
                </w:tcPr>
                <w:p w14:paraId="7BDA7FEB">
                  <w:pPr>
                    <w:jc w:val="center"/>
                    <w:rPr>
                      <w:color w:val="auto"/>
                      <w:szCs w:val="21"/>
                    </w:rPr>
                  </w:pPr>
                  <w:r>
                    <w:rPr>
                      <w:rFonts w:hint="eastAsia"/>
                      <w:color w:val="auto"/>
                      <w:szCs w:val="21"/>
                    </w:rPr>
                    <w:t>判定依据</w:t>
                  </w:r>
                </w:p>
              </w:tc>
            </w:tr>
            <w:tr w14:paraId="11F16D9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682" w:type="pct"/>
                  <w:tcBorders>
                    <w:tl2br w:val="nil"/>
                    <w:tr2bl w:val="nil"/>
                  </w:tcBorders>
                  <w:vAlign w:val="center"/>
                </w:tcPr>
                <w:p w14:paraId="467EE727">
                  <w:pPr>
                    <w:jc w:val="center"/>
                    <w:rPr>
                      <w:color w:val="auto"/>
                      <w:szCs w:val="21"/>
                    </w:rPr>
                  </w:pPr>
                  <w:r>
                    <w:rPr>
                      <w:rFonts w:hint="eastAsia"/>
                      <w:color w:val="auto"/>
                      <w:szCs w:val="21"/>
                    </w:rPr>
                    <w:t>1</w:t>
                  </w:r>
                </w:p>
              </w:tc>
              <w:tc>
                <w:tcPr>
                  <w:tcW w:w="546" w:type="pct"/>
                  <w:tcBorders>
                    <w:tl2br w:val="nil"/>
                    <w:tr2bl w:val="nil"/>
                  </w:tcBorders>
                  <w:vAlign w:val="center"/>
                </w:tcPr>
                <w:p w14:paraId="560C35F1">
                  <w:pPr>
                    <w:jc w:val="center"/>
                    <w:rPr>
                      <w:color w:val="auto"/>
                      <w:szCs w:val="21"/>
                    </w:rPr>
                  </w:pPr>
                  <w:r>
                    <w:rPr>
                      <w:rFonts w:hint="eastAsia"/>
                      <w:color w:val="auto"/>
                      <w:szCs w:val="21"/>
                    </w:rPr>
                    <w:t>炉渣</w:t>
                  </w:r>
                </w:p>
              </w:tc>
              <w:tc>
                <w:tcPr>
                  <w:tcW w:w="546" w:type="pct"/>
                  <w:tcBorders>
                    <w:tl2br w:val="nil"/>
                    <w:tr2bl w:val="nil"/>
                  </w:tcBorders>
                  <w:vAlign w:val="center"/>
                </w:tcPr>
                <w:p w14:paraId="4D44170B">
                  <w:pPr>
                    <w:jc w:val="center"/>
                    <w:rPr>
                      <w:color w:val="auto"/>
                      <w:szCs w:val="21"/>
                    </w:rPr>
                  </w:pPr>
                  <w:r>
                    <w:rPr>
                      <w:rFonts w:hint="eastAsia"/>
                      <w:color w:val="auto"/>
                      <w:szCs w:val="21"/>
                    </w:rPr>
                    <w:t>熔炼</w:t>
                  </w:r>
                </w:p>
              </w:tc>
              <w:tc>
                <w:tcPr>
                  <w:tcW w:w="526" w:type="pct"/>
                  <w:tcBorders>
                    <w:tl2br w:val="nil"/>
                    <w:tr2bl w:val="nil"/>
                  </w:tcBorders>
                  <w:vAlign w:val="center"/>
                </w:tcPr>
                <w:p w14:paraId="4AEEADCE">
                  <w:pPr>
                    <w:jc w:val="center"/>
                    <w:rPr>
                      <w:color w:val="auto"/>
                      <w:szCs w:val="21"/>
                    </w:rPr>
                  </w:pPr>
                  <w:r>
                    <w:rPr>
                      <w:rFonts w:hint="eastAsia"/>
                      <w:color w:val="auto"/>
                      <w:szCs w:val="21"/>
                    </w:rPr>
                    <w:t>固态</w:t>
                  </w:r>
                </w:p>
              </w:tc>
              <w:tc>
                <w:tcPr>
                  <w:tcW w:w="528" w:type="pct"/>
                  <w:tcBorders>
                    <w:tl2br w:val="nil"/>
                    <w:tr2bl w:val="nil"/>
                  </w:tcBorders>
                  <w:vAlign w:val="center"/>
                </w:tcPr>
                <w:p w14:paraId="0CEEF4F9">
                  <w:pPr>
                    <w:jc w:val="center"/>
                    <w:rPr>
                      <w:color w:val="auto"/>
                      <w:szCs w:val="21"/>
                    </w:rPr>
                  </w:pPr>
                  <w:r>
                    <w:rPr>
                      <w:rFonts w:hint="eastAsia"/>
                      <w:color w:val="auto"/>
                      <w:szCs w:val="21"/>
                    </w:rPr>
                    <w:t>铁金属等</w:t>
                  </w:r>
                </w:p>
              </w:tc>
              <w:tc>
                <w:tcPr>
                  <w:tcW w:w="536" w:type="pct"/>
                  <w:tcBorders>
                    <w:tl2br w:val="nil"/>
                    <w:tr2bl w:val="nil"/>
                  </w:tcBorders>
                  <w:vAlign w:val="center"/>
                </w:tcPr>
                <w:p w14:paraId="40A1B988">
                  <w:pPr>
                    <w:jc w:val="center"/>
                    <w:rPr>
                      <w:color w:val="auto"/>
                      <w:szCs w:val="21"/>
                    </w:rPr>
                  </w:pPr>
                  <w:r>
                    <w:rPr>
                      <w:rFonts w:hint="eastAsia"/>
                      <w:color w:val="auto"/>
                      <w:szCs w:val="21"/>
                    </w:rPr>
                    <w:t>200</w:t>
                  </w:r>
                </w:p>
              </w:tc>
              <w:tc>
                <w:tcPr>
                  <w:tcW w:w="536" w:type="pct"/>
                  <w:tcBorders>
                    <w:tl2br w:val="nil"/>
                    <w:tr2bl w:val="nil"/>
                  </w:tcBorders>
                  <w:vAlign w:val="center"/>
                </w:tcPr>
                <w:p w14:paraId="3C3BD17B">
                  <w:pPr>
                    <w:jc w:val="center"/>
                    <w:rPr>
                      <w:color w:val="auto"/>
                      <w:szCs w:val="21"/>
                    </w:rPr>
                  </w:pPr>
                  <w:r>
                    <w:rPr>
                      <w:rFonts w:ascii="Arial" w:hAnsi="Arial" w:cs="Arial"/>
                      <w:color w:val="auto"/>
                      <w:szCs w:val="21"/>
                    </w:rPr>
                    <w:t>√</w:t>
                  </w:r>
                </w:p>
              </w:tc>
              <w:tc>
                <w:tcPr>
                  <w:tcW w:w="548" w:type="pct"/>
                  <w:tcBorders>
                    <w:tl2br w:val="nil"/>
                    <w:tr2bl w:val="nil"/>
                  </w:tcBorders>
                  <w:vAlign w:val="center"/>
                </w:tcPr>
                <w:p w14:paraId="57A8C103">
                  <w:pPr>
                    <w:jc w:val="center"/>
                    <w:rPr>
                      <w:color w:val="auto"/>
                      <w:szCs w:val="21"/>
                    </w:rPr>
                  </w:pPr>
                </w:p>
              </w:tc>
              <w:tc>
                <w:tcPr>
                  <w:tcW w:w="547" w:type="pct"/>
                  <w:vMerge w:val="restart"/>
                  <w:tcBorders>
                    <w:tl2br w:val="nil"/>
                    <w:tr2bl w:val="nil"/>
                  </w:tcBorders>
                  <w:vAlign w:val="center"/>
                </w:tcPr>
                <w:p w14:paraId="719FCCC5">
                  <w:pPr>
                    <w:jc w:val="center"/>
                    <w:rPr>
                      <w:color w:val="auto"/>
                      <w:szCs w:val="21"/>
                    </w:rPr>
                  </w:pPr>
                  <w:r>
                    <w:rPr>
                      <w:rFonts w:hint="eastAsia"/>
                      <w:color w:val="auto"/>
                      <w:szCs w:val="21"/>
                    </w:rPr>
                    <w:t>固体废物鉴别标准通则</w:t>
                  </w:r>
                </w:p>
                <w:p w14:paraId="70CA282F">
                  <w:pPr>
                    <w:jc w:val="center"/>
                    <w:rPr>
                      <w:color w:val="auto"/>
                      <w:szCs w:val="21"/>
                    </w:rPr>
                  </w:pPr>
                </w:p>
              </w:tc>
            </w:tr>
            <w:tr w14:paraId="6734D2C2">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682" w:type="pct"/>
                  <w:tcBorders>
                    <w:tl2br w:val="nil"/>
                    <w:tr2bl w:val="nil"/>
                  </w:tcBorders>
                  <w:vAlign w:val="center"/>
                </w:tcPr>
                <w:p w14:paraId="56721F52">
                  <w:pPr>
                    <w:jc w:val="center"/>
                    <w:rPr>
                      <w:color w:val="auto"/>
                      <w:szCs w:val="21"/>
                    </w:rPr>
                  </w:pPr>
                  <w:r>
                    <w:rPr>
                      <w:rFonts w:hint="eastAsia"/>
                      <w:color w:val="auto"/>
                      <w:szCs w:val="21"/>
                    </w:rPr>
                    <w:t>2</w:t>
                  </w:r>
                </w:p>
              </w:tc>
              <w:tc>
                <w:tcPr>
                  <w:tcW w:w="546" w:type="pct"/>
                  <w:tcBorders>
                    <w:tl2br w:val="nil"/>
                    <w:tr2bl w:val="nil"/>
                  </w:tcBorders>
                  <w:vAlign w:val="center"/>
                </w:tcPr>
                <w:p w14:paraId="250BCDF1">
                  <w:pPr>
                    <w:jc w:val="center"/>
                    <w:rPr>
                      <w:color w:val="auto"/>
                      <w:szCs w:val="21"/>
                    </w:rPr>
                  </w:pPr>
                  <w:r>
                    <w:rPr>
                      <w:rFonts w:hint="eastAsia"/>
                      <w:color w:val="auto"/>
                      <w:szCs w:val="21"/>
                    </w:rPr>
                    <w:t>脱模剂外包装</w:t>
                  </w:r>
                </w:p>
              </w:tc>
              <w:tc>
                <w:tcPr>
                  <w:tcW w:w="546" w:type="pct"/>
                  <w:tcBorders>
                    <w:tl2br w:val="nil"/>
                    <w:tr2bl w:val="nil"/>
                  </w:tcBorders>
                  <w:vAlign w:val="center"/>
                </w:tcPr>
                <w:p w14:paraId="0CD07706">
                  <w:pPr>
                    <w:jc w:val="center"/>
                    <w:rPr>
                      <w:color w:val="auto"/>
                      <w:szCs w:val="21"/>
                    </w:rPr>
                  </w:pPr>
                  <w:r>
                    <w:rPr>
                      <w:rFonts w:hint="eastAsia"/>
                      <w:color w:val="auto"/>
                      <w:szCs w:val="21"/>
                    </w:rPr>
                    <w:t>浇筑</w:t>
                  </w:r>
                </w:p>
              </w:tc>
              <w:tc>
                <w:tcPr>
                  <w:tcW w:w="526" w:type="pct"/>
                  <w:tcBorders>
                    <w:tl2br w:val="nil"/>
                    <w:tr2bl w:val="nil"/>
                  </w:tcBorders>
                  <w:vAlign w:val="center"/>
                </w:tcPr>
                <w:p w14:paraId="4443A526">
                  <w:pPr>
                    <w:jc w:val="center"/>
                    <w:rPr>
                      <w:color w:val="auto"/>
                      <w:szCs w:val="21"/>
                    </w:rPr>
                  </w:pPr>
                  <w:r>
                    <w:rPr>
                      <w:rFonts w:hint="eastAsia"/>
                      <w:color w:val="auto"/>
                      <w:szCs w:val="21"/>
                    </w:rPr>
                    <w:t>固态</w:t>
                  </w:r>
                </w:p>
              </w:tc>
              <w:tc>
                <w:tcPr>
                  <w:tcW w:w="528" w:type="pct"/>
                  <w:tcBorders>
                    <w:tl2br w:val="nil"/>
                    <w:tr2bl w:val="nil"/>
                  </w:tcBorders>
                  <w:vAlign w:val="center"/>
                </w:tcPr>
                <w:p w14:paraId="4CC9F2CA">
                  <w:pPr>
                    <w:jc w:val="center"/>
                    <w:rPr>
                      <w:color w:val="auto"/>
                      <w:szCs w:val="21"/>
                    </w:rPr>
                  </w:pPr>
                  <w:r>
                    <w:rPr>
                      <w:rFonts w:hint="eastAsia"/>
                      <w:color w:val="auto"/>
                      <w:szCs w:val="21"/>
                    </w:rPr>
                    <w:t>包装袋、桶</w:t>
                  </w:r>
                </w:p>
              </w:tc>
              <w:tc>
                <w:tcPr>
                  <w:tcW w:w="536" w:type="pct"/>
                  <w:tcBorders>
                    <w:tl2br w:val="nil"/>
                    <w:tr2bl w:val="nil"/>
                  </w:tcBorders>
                  <w:vAlign w:val="center"/>
                </w:tcPr>
                <w:p w14:paraId="1C21E6F6">
                  <w:pPr>
                    <w:jc w:val="center"/>
                    <w:rPr>
                      <w:rFonts w:hint="default"/>
                      <w:color w:val="auto"/>
                      <w:szCs w:val="21"/>
                      <w:lang w:val="en-US"/>
                    </w:rPr>
                  </w:pPr>
                  <w:r>
                    <w:rPr>
                      <w:rFonts w:hint="eastAsia"/>
                      <w:color w:val="auto"/>
                      <w:szCs w:val="21"/>
                      <w:lang w:val="en-US" w:eastAsia="zh-CN"/>
                    </w:rPr>
                    <w:t>0.3</w:t>
                  </w:r>
                </w:p>
              </w:tc>
              <w:tc>
                <w:tcPr>
                  <w:tcW w:w="536" w:type="pct"/>
                  <w:tcBorders>
                    <w:tl2br w:val="nil"/>
                    <w:tr2bl w:val="nil"/>
                  </w:tcBorders>
                  <w:vAlign w:val="center"/>
                </w:tcPr>
                <w:p w14:paraId="4B522A32">
                  <w:pPr>
                    <w:jc w:val="center"/>
                    <w:rPr>
                      <w:color w:val="auto"/>
                      <w:szCs w:val="21"/>
                    </w:rPr>
                  </w:pPr>
                  <w:r>
                    <w:rPr>
                      <w:rFonts w:ascii="Arial" w:hAnsi="Arial" w:cs="Arial"/>
                      <w:color w:val="auto"/>
                      <w:szCs w:val="21"/>
                    </w:rPr>
                    <w:t>√</w:t>
                  </w:r>
                </w:p>
              </w:tc>
              <w:tc>
                <w:tcPr>
                  <w:tcW w:w="548" w:type="pct"/>
                  <w:tcBorders>
                    <w:tl2br w:val="nil"/>
                    <w:tr2bl w:val="nil"/>
                  </w:tcBorders>
                  <w:vAlign w:val="center"/>
                </w:tcPr>
                <w:p w14:paraId="28B02440">
                  <w:pPr>
                    <w:jc w:val="center"/>
                    <w:rPr>
                      <w:color w:val="auto"/>
                      <w:szCs w:val="21"/>
                    </w:rPr>
                  </w:pPr>
                </w:p>
              </w:tc>
              <w:tc>
                <w:tcPr>
                  <w:tcW w:w="547" w:type="pct"/>
                  <w:vMerge w:val="continue"/>
                  <w:tcBorders>
                    <w:tl2br w:val="nil"/>
                    <w:tr2bl w:val="nil"/>
                  </w:tcBorders>
                </w:tcPr>
                <w:p w14:paraId="40AF9192">
                  <w:pPr>
                    <w:jc w:val="center"/>
                    <w:rPr>
                      <w:color w:val="auto"/>
                      <w:szCs w:val="21"/>
                    </w:rPr>
                  </w:pPr>
                </w:p>
              </w:tc>
            </w:tr>
            <w:tr w14:paraId="130E62B4">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682" w:type="pct"/>
                  <w:tcBorders>
                    <w:tl2br w:val="nil"/>
                    <w:tr2bl w:val="nil"/>
                  </w:tcBorders>
                  <w:vAlign w:val="center"/>
                </w:tcPr>
                <w:p w14:paraId="032FE2D9">
                  <w:pPr>
                    <w:jc w:val="center"/>
                    <w:rPr>
                      <w:color w:val="auto"/>
                      <w:szCs w:val="21"/>
                    </w:rPr>
                  </w:pPr>
                  <w:r>
                    <w:rPr>
                      <w:rFonts w:hint="eastAsia"/>
                      <w:color w:val="auto"/>
                      <w:szCs w:val="21"/>
                    </w:rPr>
                    <w:t>3</w:t>
                  </w:r>
                </w:p>
              </w:tc>
              <w:tc>
                <w:tcPr>
                  <w:tcW w:w="546" w:type="pct"/>
                  <w:tcBorders>
                    <w:tl2br w:val="nil"/>
                    <w:tr2bl w:val="nil"/>
                  </w:tcBorders>
                  <w:vAlign w:val="center"/>
                </w:tcPr>
                <w:p w14:paraId="4C8102C2">
                  <w:pPr>
                    <w:jc w:val="center"/>
                    <w:rPr>
                      <w:color w:val="auto"/>
                      <w:szCs w:val="21"/>
                    </w:rPr>
                  </w:pPr>
                  <w:r>
                    <w:rPr>
                      <w:rFonts w:hint="eastAsia"/>
                      <w:color w:val="auto"/>
                      <w:szCs w:val="21"/>
                    </w:rPr>
                    <w:t>废边角料</w:t>
                  </w:r>
                </w:p>
              </w:tc>
              <w:tc>
                <w:tcPr>
                  <w:tcW w:w="546" w:type="pct"/>
                  <w:tcBorders>
                    <w:tl2br w:val="nil"/>
                    <w:tr2bl w:val="nil"/>
                  </w:tcBorders>
                  <w:vAlign w:val="center"/>
                </w:tcPr>
                <w:p w14:paraId="1A19EC8F">
                  <w:pPr>
                    <w:jc w:val="center"/>
                    <w:rPr>
                      <w:color w:val="auto"/>
                      <w:szCs w:val="21"/>
                    </w:rPr>
                  </w:pPr>
                  <w:r>
                    <w:rPr>
                      <w:rFonts w:hint="eastAsia"/>
                      <w:color w:val="auto"/>
                      <w:szCs w:val="21"/>
                    </w:rPr>
                    <w:t>加工</w:t>
                  </w:r>
                </w:p>
              </w:tc>
              <w:tc>
                <w:tcPr>
                  <w:tcW w:w="526" w:type="pct"/>
                  <w:tcBorders>
                    <w:tl2br w:val="nil"/>
                    <w:tr2bl w:val="nil"/>
                  </w:tcBorders>
                  <w:vAlign w:val="center"/>
                </w:tcPr>
                <w:p w14:paraId="1DDB1024">
                  <w:pPr>
                    <w:jc w:val="center"/>
                    <w:rPr>
                      <w:color w:val="auto"/>
                      <w:szCs w:val="21"/>
                    </w:rPr>
                  </w:pPr>
                  <w:r>
                    <w:rPr>
                      <w:rFonts w:hint="eastAsia"/>
                      <w:color w:val="auto"/>
                      <w:szCs w:val="21"/>
                    </w:rPr>
                    <w:t>固态</w:t>
                  </w:r>
                </w:p>
              </w:tc>
              <w:tc>
                <w:tcPr>
                  <w:tcW w:w="528" w:type="pct"/>
                  <w:tcBorders>
                    <w:tl2br w:val="nil"/>
                    <w:tr2bl w:val="nil"/>
                  </w:tcBorders>
                  <w:vAlign w:val="center"/>
                </w:tcPr>
                <w:p w14:paraId="437C6760">
                  <w:pPr>
                    <w:jc w:val="center"/>
                    <w:rPr>
                      <w:color w:val="auto"/>
                      <w:szCs w:val="21"/>
                    </w:rPr>
                  </w:pPr>
                  <w:r>
                    <w:rPr>
                      <w:rFonts w:hint="eastAsia"/>
                      <w:color w:val="auto"/>
                      <w:szCs w:val="21"/>
                    </w:rPr>
                    <w:t>铁金属等</w:t>
                  </w:r>
                </w:p>
              </w:tc>
              <w:tc>
                <w:tcPr>
                  <w:tcW w:w="536" w:type="pct"/>
                  <w:tcBorders>
                    <w:tl2br w:val="nil"/>
                    <w:tr2bl w:val="nil"/>
                  </w:tcBorders>
                  <w:vAlign w:val="center"/>
                </w:tcPr>
                <w:p w14:paraId="60339EA9">
                  <w:pPr>
                    <w:jc w:val="center"/>
                    <w:rPr>
                      <w:color w:val="auto"/>
                      <w:szCs w:val="21"/>
                    </w:rPr>
                  </w:pPr>
                  <w:r>
                    <w:rPr>
                      <w:rFonts w:hint="eastAsia"/>
                      <w:color w:val="auto"/>
                      <w:szCs w:val="21"/>
                    </w:rPr>
                    <w:t>450</w:t>
                  </w:r>
                </w:p>
              </w:tc>
              <w:tc>
                <w:tcPr>
                  <w:tcW w:w="536" w:type="pct"/>
                  <w:tcBorders>
                    <w:tl2br w:val="nil"/>
                    <w:tr2bl w:val="nil"/>
                  </w:tcBorders>
                  <w:vAlign w:val="center"/>
                </w:tcPr>
                <w:p w14:paraId="4F372711">
                  <w:pPr>
                    <w:jc w:val="center"/>
                    <w:rPr>
                      <w:color w:val="auto"/>
                      <w:szCs w:val="21"/>
                    </w:rPr>
                  </w:pPr>
                  <w:r>
                    <w:rPr>
                      <w:rFonts w:ascii="Arial" w:hAnsi="Arial" w:cs="Arial"/>
                      <w:color w:val="auto"/>
                      <w:szCs w:val="21"/>
                    </w:rPr>
                    <w:t>√</w:t>
                  </w:r>
                </w:p>
              </w:tc>
              <w:tc>
                <w:tcPr>
                  <w:tcW w:w="548" w:type="pct"/>
                  <w:tcBorders>
                    <w:tl2br w:val="nil"/>
                    <w:tr2bl w:val="nil"/>
                  </w:tcBorders>
                  <w:vAlign w:val="center"/>
                </w:tcPr>
                <w:p w14:paraId="6F4AE4E0">
                  <w:pPr>
                    <w:jc w:val="center"/>
                    <w:rPr>
                      <w:color w:val="auto"/>
                      <w:szCs w:val="21"/>
                    </w:rPr>
                  </w:pPr>
                </w:p>
              </w:tc>
              <w:tc>
                <w:tcPr>
                  <w:tcW w:w="547" w:type="pct"/>
                  <w:vMerge w:val="continue"/>
                  <w:tcBorders>
                    <w:tl2br w:val="nil"/>
                    <w:tr2bl w:val="nil"/>
                  </w:tcBorders>
                </w:tcPr>
                <w:p w14:paraId="161A82B4">
                  <w:pPr>
                    <w:jc w:val="center"/>
                    <w:rPr>
                      <w:color w:val="auto"/>
                      <w:szCs w:val="21"/>
                    </w:rPr>
                  </w:pPr>
                </w:p>
              </w:tc>
            </w:tr>
            <w:tr w14:paraId="63D5673D">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682" w:type="pct"/>
                  <w:tcBorders>
                    <w:tl2br w:val="nil"/>
                    <w:tr2bl w:val="nil"/>
                  </w:tcBorders>
                  <w:vAlign w:val="center"/>
                </w:tcPr>
                <w:p w14:paraId="3792B400">
                  <w:pPr>
                    <w:jc w:val="center"/>
                    <w:rPr>
                      <w:color w:val="auto"/>
                      <w:szCs w:val="21"/>
                    </w:rPr>
                  </w:pPr>
                  <w:r>
                    <w:rPr>
                      <w:rFonts w:hint="eastAsia"/>
                      <w:color w:val="auto"/>
                      <w:szCs w:val="21"/>
                    </w:rPr>
                    <w:t>4</w:t>
                  </w:r>
                </w:p>
              </w:tc>
              <w:tc>
                <w:tcPr>
                  <w:tcW w:w="546" w:type="pct"/>
                  <w:tcBorders>
                    <w:tl2br w:val="nil"/>
                    <w:tr2bl w:val="nil"/>
                  </w:tcBorders>
                  <w:vAlign w:val="center"/>
                </w:tcPr>
                <w:p w14:paraId="294D44FB">
                  <w:pPr>
                    <w:jc w:val="center"/>
                    <w:rPr>
                      <w:color w:val="auto"/>
                      <w:szCs w:val="21"/>
                    </w:rPr>
                  </w:pPr>
                  <w:r>
                    <w:rPr>
                      <w:rFonts w:hint="eastAsia"/>
                      <w:color w:val="auto"/>
                      <w:szCs w:val="21"/>
                    </w:rPr>
                    <w:t>废金属模具</w:t>
                  </w:r>
                </w:p>
              </w:tc>
              <w:tc>
                <w:tcPr>
                  <w:tcW w:w="546" w:type="pct"/>
                  <w:tcBorders>
                    <w:tl2br w:val="nil"/>
                    <w:tr2bl w:val="nil"/>
                  </w:tcBorders>
                  <w:vAlign w:val="center"/>
                </w:tcPr>
                <w:p w14:paraId="20519AE6">
                  <w:pPr>
                    <w:jc w:val="center"/>
                    <w:rPr>
                      <w:color w:val="auto"/>
                      <w:szCs w:val="21"/>
                    </w:rPr>
                  </w:pPr>
                  <w:r>
                    <w:rPr>
                      <w:rFonts w:hint="eastAsia"/>
                      <w:color w:val="auto"/>
                      <w:szCs w:val="21"/>
                    </w:rPr>
                    <w:t>浇筑</w:t>
                  </w:r>
                </w:p>
              </w:tc>
              <w:tc>
                <w:tcPr>
                  <w:tcW w:w="526" w:type="pct"/>
                  <w:tcBorders>
                    <w:tl2br w:val="nil"/>
                    <w:tr2bl w:val="nil"/>
                  </w:tcBorders>
                  <w:vAlign w:val="center"/>
                </w:tcPr>
                <w:p w14:paraId="7631F054">
                  <w:pPr>
                    <w:jc w:val="center"/>
                    <w:rPr>
                      <w:color w:val="auto"/>
                      <w:szCs w:val="21"/>
                    </w:rPr>
                  </w:pPr>
                  <w:r>
                    <w:rPr>
                      <w:rFonts w:hint="eastAsia"/>
                      <w:color w:val="auto"/>
                      <w:szCs w:val="21"/>
                    </w:rPr>
                    <w:t>固态</w:t>
                  </w:r>
                </w:p>
              </w:tc>
              <w:tc>
                <w:tcPr>
                  <w:tcW w:w="528" w:type="pct"/>
                  <w:tcBorders>
                    <w:tl2br w:val="nil"/>
                    <w:tr2bl w:val="nil"/>
                  </w:tcBorders>
                  <w:vAlign w:val="center"/>
                </w:tcPr>
                <w:p w14:paraId="20E6D27F">
                  <w:pPr>
                    <w:jc w:val="center"/>
                    <w:rPr>
                      <w:color w:val="auto"/>
                      <w:szCs w:val="21"/>
                    </w:rPr>
                  </w:pPr>
                  <w:r>
                    <w:rPr>
                      <w:rFonts w:hint="eastAsia"/>
                      <w:color w:val="auto"/>
                      <w:szCs w:val="21"/>
                    </w:rPr>
                    <w:t>铁金属等</w:t>
                  </w:r>
                </w:p>
              </w:tc>
              <w:tc>
                <w:tcPr>
                  <w:tcW w:w="536" w:type="pct"/>
                  <w:tcBorders>
                    <w:tl2br w:val="nil"/>
                    <w:tr2bl w:val="nil"/>
                  </w:tcBorders>
                  <w:vAlign w:val="center"/>
                </w:tcPr>
                <w:p w14:paraId="34F2C539">
                  <w:pPr>
                    <w:jc w:val="center"/>
                    <w:rPr>
                      <w:color w:val="auto"/>
                      <w:szCs w:val="21"/>
                    </w:rPr>
                  </w:pPr>
                  <w:r>
                    <w:rPr>
                      <w:rFonts w:hint="eastAsia"/>
                      <w:color w:val="auto"/>
                      <w:szCs w:val="21"/>
                    </w:rPr>
                    <w:t>100</w:t>
                  </w:r>
                </w:p>
              </w:tc>
              <w:tc>
                <w:tcPr>
                  <w:tcW w:w="536" w:type="pct"/>
                  <w:tcBorders>
                    <w:tl2br w:val="nil"/>
                    <w:tr2bl w:val="nil"/>
                  </w:tcBorders>
                  <w:vAlign w:val="center"/>
                </w:tcPr>
                <w:p w14:paraId="3015FA05">
                  <w:pPr>
                    <w:jc w:val="center"/>
                    <w:rPr>
                      <w:color w:val="auto"/>
                      <w:szCs w:val="21"/>
                    </w:rPr>
                  </w:pPr>
                  <w:r>
                    <w:rPr>
                      <w:rFonts w:ascii="Arial" w:hAnsi="Arial" w:cs="Arial"/>
                      <w:color w:val="auto"/>
                      <w:szCs w:val="21"/>
                    </w:rPr>
                    <w:t>√</w:t>
                  </w:r>
                </w:p>
              </w:tc>
              <w:tc>
                <w:tcPr>
                  <w:tcW w:w="548" w:type="pct"/>
                  <w:tcBorders>
                    <w:tl2br w:val="nil"/>
                    <w:tr2bl w:val="nil"/>
                  </w:tcBorders>
                  <w:vAlign w:val="center"/>
                </w:tcPr>
                <w:p w14:paraId="3DE11513">
                  <w:pPr>
                    <w:jc w:val="center"/>
                    <w:rPr>
                      <w:color w:val="auto"/>
                      <w:szCs w:val="21"/>
                    </w:rPr>
                  </w:pPr>
                </w:p>
              </w:tc>
              <w:tc>
                <w:tcPr>
                  <w:tcW w:w="547" w:type="pct"/>
                  <w:vMerge w:val="continue"/>
                  <w:tcBorders>
                    <w:tl2br w:val="nil"/>
                    <w:tr2bl w:val="nil"/>
                  </w:tcBorders>
                </w:tcPr>
                <w:p w14:paraId="11D884F2">
                  <w:pPr>
                    <w:jc w:val="center"/>
                    <w:rPr>
                      <w:color w:val="auto"/>
                      <w:szCs w:val="21"/>
                    </w:rPr>
                  </w:pPr>
                </w:p>
              </w:tc>
            </w:tr>
            <w:tr w14:paraId="7DA7E0CD">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682" w:type="pct"/>
                  <w:tcBorders>
                    <w:tl2br w:val="nil"/>
                    <w:tr2bl w:val="nil"/>
                  </w:tcBorders>
                  <w:vAlign w:val="center"/>
                </w:tcPr>
                <w:p w14:paraId="7670D1E5">
                  <w:pPr>
                    <w:jc w:val="center"/>
                    <w:rPr>
                      <w:color w:val="auto"/>
                      <w:szCs w:val="21"/>
                    </w:rPr>
                  </w:pPr>
                  <w:r>
                    <w:rPr>
                      <w:rFonts w:hint="eastAsia"/>
                      <w:color w:val="auto"/>
                      <w:szCs w:val="21"/>
                    </w:rPr>
                    <w:t>5</w:t>
                  </w:r>
                </w:p>
              </w:tc>
              <w:tc>
                <w:tcPr>
                  <w:tcW w:w="546" w:type="pct"/>
                  <w:tcBorders>
                    <w:tl2br w:val="nil"/>
                    <w:tr2bl w:val="nil"/>
                  </w:tcBorders>
                  <w:vAlign w:val="center"/>
                </w:tcPr>
                <w:p w14:paraId="78810364">
                  <w:pPr>
                    <w:jc w:val="center"/>
                    <w:rPr>
                      <w:color w:val="auto"/>
                      <w:szCs w:val="21"/>
                    </w:rPr>
                  </w:pPr>
                  <w:r>
                    <w:rPr>
                      <w:rFonts w:hint="eastAsia"/>
                      <w:color w:val="auto"/>
                      <w:szCs w:val="21"/>
                    </w:rPr>
                    <w:t>残次品</w:t>
                  </w:r>
                </w:p>
              </w:tc>
              <w:tc>
                <w:tcPr>
                  <w:tcW w:w="546" w:type="pct"/>
                  <w:tcBorders>
                    <w:tl2br w:val="nil"/>
                    <w:tr2bl w:val="nil"/>
                  </w:tcBorders>
                  <w:vAlign w:val="center"/>
                </w:tcPr>
                <w:p w14:paraId="00036C39">
                  <w:pPr>
                    <w:jc w:val="center"/>
                    <w:rPr>
                      <w:color w:val="auto"/>
                      <w:szCs w:val="21"/>
                    </w:rPr>
                  </w:pPr>
                  <w:r>
                    <w:rPr>
                      <w:rFonts w:hint="eastAsia"/>
                      <w:color w:val="auto"/>
                      <w:szCs w:val="21"/>
                    </w:rPr>
                    <w:t>加工</w:t>
                  </w:r>
                </w:p>
              </w:tc>
              <w:tc>
                <w:tcPr>
                  <w:tcW w:w="526" w:type="pct"/>
                  <w:tcBorders>
                    <w:tl2br w:val="nil"/>
                    <w:tr2bl w:val="nil"/>
                  </w:tcBorders>
                  <w:vAlign w:val="center"/>
                </w:tcPr>
                <w:p w14:paraId="60E7B0F4">
                  <w:pPr>
                    <w:jc w:val="center"/>
                    <w:rPr>
                      <w:color w:val="auto"/>
                      <w:szCs w:val="21"/>
                    </w:rPr>
                  </w:pPr>
                  <w:r>
                    <w:rPr>
                      <w:rFonts w:hint="eastAsia"/>
                      <w:color w:val="auto"/>
                      <w:szCs w:val="21"/>
                    </w:rPr>
                    <w:t>固态</w:t>
                  </w:r>
                </w:p>
              </w:tc>
              <w:tc>
                <w:tcPr>
                  <w:tcW w:w="528" w:type="pct"/>
                  <w:tcBorders>
                    <w:tl2br w:val="nil"/>
                    <w:tr2bl w:val="nil"/>
                  </w:tcBorders>
                  <w:vAlign w:val="center"/>
                </w:tcPr>
                <w:p w14:paraId="4DB74791">
                  <w:pPr>
                    <w:jc w:val="center"/>
                    <w:rPr>
                      <w:color w:val="auto"/>
                      <w:szCs w:val="21"/>
                    </w:rPr>
                  </w:pPr>
                  <w:r>
                    <w:rPr>
                      <w:rFonts w:hint="eastAsia"/>
                      <w:color w:val="auto"/>
                      <w:szCs w:val="21"/>
                    </w:rPr>
                    <w:t>铁金属等</w:t>
                  </w:r>
                </w:p>
              </w:tc>
              <w:tc>
                <w:tcPr>
                  <w:tcW w:w="536" w:type="pct"/>
                  <w:tcBorders>
                    <w:tl2br w:val="nil"/>
                    <w:tr2bl w:val="nil"/>
                  </w:tcBorders>
                  <w:vAlign w:val="center"/>
                </w:tcPr>
                <w:p w14:paraId="00D4279A">
                  <w:pPr>
                    <w:jc w:val="center"/>
                    <w:rPr>
                      <w:color w:val="auto"/>
                      <w:szCs w:val="21"/>
                    </w:rPr>
                  </w:pPr>
                  <w:r>
                    <w:rPr>
                      <w:rFonts w:hint="eastAsia"/>
                      <w:color w:val="auto"/>
                      <w:szCs w:val="21"/>
                    </w:rPr>
                    <w:t>250</w:t>
                  </w:r>
                </w:p>
              </w:tc>
              <w:tc>
                <w:tcPr>
                  <w:tcW w:w="536" w:type="pct"/>
                  <w:tcBorders>
                    <w:tl2br w:val="nil"/>
                    <w:tr2bl w:val="nil"/>
                  </w:tcBorders>
                  <w:vAlign w:val="center"/>
                </w:tcPr>
                <w:p w14:paraId="3517ACE4">
                  <w:pPr>
                    <w:jc w:val="center"/>
                    <w:rPr>
                      <w:color w:val="auto"/>
                      <w:szCs w:val="21"/>
                    </w:rPr>
                  </w:pPr>
                  <w:r>
                    <w:rPr>
                      <w:rFonts w:ascii="Arial" w:hAnsi="Arial" w:cs="Arial"/>
                      <w:color w:val="auto"/>
                      <w:szCs w:val="21"/>
                    </w:rPr>
                    <w:t>√</w:t>
                  </w:r>
                </w:p>
              </w:tc>
              <w:tc>
                <w:tcPr>
                  <w:tcW w:w="548" w:type="pct"/>
                  <w:tcBorders>
                    <w:tl2br w:val="nil"/>
                    <w:tr2bl w:val="nil"/>
                  </w:tcBorders>
                  <w:vAlign w:val="center"/>
                </w:tcPr>
                <w:p w14:paraId="48FD75BC">
                  <w:pPr>
                    <w:jc w:val="center"/>
                    <w:rPr>
                      <w:color w:val="auto"/>
                      <w:szCs w:val="21"/>
                    </w:rPr>
                  </w:pPr>
                </w:p>
              </w:tc>
              <w:tc>
                <w:tcPr>
                  <w:tcW w:w="547" w:type="pct"/>
                  <w:vMerge w:val="continue"/>
                  <w:tcBorders>
                    <w:tl2br w:val="nil"/>
                    <w:tr2bl w:val="nil"/>
                  </w:tcBorders>
                </w:tcPr>
                <w:p w14:paraId="194264F0">
                  <w:pPr>
                    <w:jc w:val="center"/>
                    <w:rPr>
                      <w:color w:val="auto"/>
                      <w:szCs w:val="21"/>
                    </w:rPr>
                  </w:pPr>
                </w:p>
              </w:tc>
            </w:tr>
            <w:tr w14:paraId="14B1AADB">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682" w:type="pct"/>
                  <w:tcBorders>
                    <w:tl2br w:val="nil"/>
                    <w:tr2bl w:val="nil"/>
                  </w:tcBorders>
                  <w:vAlign w:val="center"/>
                </w:tcPr>
                <w:p w14:paraId="42B39231">
                  <w:pPr>
                    <w:jc w:val="center"/>
                    <w:rPr>
                      <w:color w:val="auto"/>
                      <w:szCs w:val="21"/>
                    </w:rPr>
                  </w:pPr>
                  <w:r>
                    <w:rPr>
                      <w:rFonts w:hint="eastAsia"/>
                      <w:color w:val="auto"/>
                      <w:szCs w:val="21"/>
                    </w:rPr>
                    <w:t>6</w:t>
                  </w:r>
                </w:p>
              </w:tc>
              <w:tc>
                <w:tcPr>
                  <w:tcW w:w="546" w:type="pct"/>
                  <w:tcBorders>
                    <w:tl2br w:val="nil"/>
                    <w:tr2bl w:val="nil"/>
                  </w:tcBorders>
                  <w:vAlign w:val="center"/>
                </w:tcPr>
                <w:p w14:paraId="691EE932">
                  <w:pPr>
                    <w:jc w:val="center"/>
                    <w:rPr>
                      <w:color w:val="auto"/>
                      <w:szCs w:val="21"/>
                    </w:rPr>
                  </w:pPr>
                  <w:r>
                    <w:rPr>
                      <w:rFonts w:hint="eastAsia"/>
                      <w:color w:val="auto"/>
                      <w:szCs w:val="21"/>
                    </w:rPr>
                    <w:t>废机油</w:t>
                  </w:r>
                </w:p>
              </w:tc>
              <w:tc>
                <w:tcPr>
                  <w:tcW w:w="546" w:type="pct"/>
                  <w:tcBorders>
                    <w:tl2br w:val="nil"/>
                    <w:tr2bl w:val="nil"/>
                  </w:tcBorders>
                  <w:vAlign w:val="center"/>
                </w:tcPr>
                <w:p w14:paraId="252C7D49">
                  <w:pPr>
                    <w:jc w:val="center"/>
                    <w:rPr>
                      <w:color w:val="auto"/>
                      <w:szCs w:val="21"/>
                    </w:rPr>
                  </w:pPr>
                  <w:r>
                    <w:rPr>
                      <w:rFonts w:hint="eastAsia"/>
                      <w:color w:val="auto"/>
                      <w:szCs w:val="21"/>
                    </w:rPr>
                    <w:t>机修</w:t>
                  </w:r>
                </w:p>
              </w:tc>
              <w:tc>
                <w:tcPr>
                  <w:tcW w:w="526" w:type="pct"/>
                  <w:tcBorders>
                    <w:tl2br w:val="nil"/>
                    <w:tr2bl w:val="nil"/>
                  </w:tcBorders>
                  <w:vAlign w:val="center"/>
                </w:tcPr>
                <w:p w14:paraId="36F97129">
                  <w:pPr>
                    <w:jc w:val="center"/>
                    <w:rPr>
                      <w:color w:val="auto"/>
                      <w:szCs w:val="21"/>
                    </w:rPr>
                  </w:pPr>
                  <w:r>
                    <w:rPr>
                      <w:rFonts w:hint="eastAsia"/>
                      <w:color w:val="auto"/>
                      <w:szCs w:val="21"/>
                    </w:rPr>
                    <w:t>液态</w:t>
                  </w:r>
                </w:p>
              </w:tc>
              <w:tc>
                <w:tcPr>
                  <w:tcW w:w="528" w:type="pct"/>
                  <w:tcBorders>
                    <w:tl2br w:val="nil"/>
                    <w:tr2bl w:val="nil"/>
                  </w:tcBorders>
                  <w:vAlign w:val="center"/>
                </w:tcPr>
                <w:p w14:paraId="56492057">
                  <w:pPr>
                    <w:jc w:val="center"/>
                    <w:rPr>
                      <w:color w:val="auto"/>
                      <w:szCs w:val="21"/>
                    </w:rPr>
                  </w:pPr>
                  <w:r>
                    <w:rPr>
                      <w:rFonts w:hint="eastAsia"/>
                      <w:color w:val="auto"/>
                      <w:szCs w:val="21"/>
                    </w:rPr>
                    <w:t>矿物油</w:t>
                  </w:r>
                </w:p>
              </w:tc>
              <w:tc>
                <w:tcPr>
                  <w:tcW w:w="536" w:type="pct"/>
                  <w:tcBorders>
                    <w:tl2br w:val="nil"/>
                    <w:tr2bl w:val="nil"/>
                  </w:tcBorders>
                  <w:vAlign w:val="center"/>
                </w:tcPr>
                <w:p w14:paraId="5EB7B7C1">
                  <w:pPr>
                    <w:jc w:val="center"/>
                    <w:rPr>
                      <w:color w:val="auto"/>
                      <w:szCs w:val="21"/>
                    </w:rPr>
                  </w:pPr>
                  <w:r>
                    <w:rPr>
                      <w:rFonts w:hint="eastAsia"/>
                      <w:color w:val="auto"/>
                      <w:szCs w:val="21"/>
                    </w:rPr>
                    <w:t>0.03</w:t>
                  </w:r>
                </w:p>
              </w:tc>
              <w:tc>
                <w:tcPr>
                  <w:tcW w:w="536" w:type="pct"/>
                  <w:tcBorders>
                    <w:tl2br w:val="nil"/>
                    <w:tr2bl w:val="nil"/>
                  </w:tcBorders>
                  <w:vAlign w:val="center"/>
                </w:tcPr>
                <w:p w14:paraId="1D57AFB1">
                  <w:pPr>
                    <w:jc w:val="center"/>
                    <w:rPr>
                      <w:color w:val="auto"/>
                      <w:szCs w:val="21"/>
                    </w:rPr>
                  </w:pPr>
                  <w:r>
                    <w:rPr>
                      <w:rFonts w:ascii="Arial" w:hAnsi="Arial" w:cs="Arial"/>
                      <w:color w:val="auto"/>
                      <w:szCs w:val="21"/>
                    </w:rPr>
                    <w:t>√</w:t>
                  </w:r>
                </w:p>
              </w:tc>
              <w:tc>
                <w:tcPr>
                  <w:tcW w:w="548" w:type="pct"/>
                  <w:tcBorders>
                    <w:tl2br w:val="nil"/>
                    <w:tr2bl w:val="nil"/>
                  </w:tcBorders>
                  <w:vAlign w:val="center"/>
                </w:tcPr>
                <w:p w14:paraId="56801A33">
                  <w:pPr>
                    <w:jc w:val="center"/>
                    <w:rPr>
                      <w:color w:val="auto"/>
                      <w:szCs w:val="21"/>
                    </w:rPr>
                  </w:pPr>
                </w:p>
              </w:tc>
              <w:tc>
                <w:tcPr>
                  <w:tcW w:w="547" w:type="pct"/>
                  <w:vMerge w:val="continue"/>
                  <w:tcBorders>
                    <w:tl2br w:val="nil"/>
                    <w:tr2bl w:val="nil"/>
                  </w:tcBorders>
                </w:tcPr>
                <w:p w14:paraId="5F65E8C2">
                  <w:pPr>
                    <w:jc w:val="center"/>
                    <w:rPr>
                      <w:color w:val="auto"/>
                      <w:szCs w:val="21"/>
                    </w:rPr>
                  </w:pPr>
                </w:p>
              </w:tc>
            </w:tr>
            <w:tr w14:paraId="449BCC98">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682" w:type="pct"/>
                  <w:tcBorders>
                    <w:tl2br w:val="nil"/>
                    <w:tr2bl w:val="nil"/>
                  </w:tcBorders>
                  <w:vAlign w:val="center"/>
                </w:tcPr>
                <w:p w14:paraId="7FCEEF82">
                  <w:pPr>
                    <w:jc w:val="center"/>
                    <w:rPr>
                      <w:color w:val="auto"/>
                      <w:szCs w:val="21"/>
                    </w:rPr>
                  </w:pPr>
                  <w:r>
                    <w:rPr>
                      <w:rFonts w:hint="eastAsia"/>
                      <w:color w:val="auto"/>
                      <w:szCs w:val="21"/>
                    </w:rPr>
                    <w:t>7</w:t>
                  </w:r>
                </w:p>
              </w:tc>
              <w:tc>
                <w:tcPr>
                  <w:tcW w:w="546" w:type="pct"/>
                  <w:tcBorders>
                    <w:tl2br w:val="nil"/>
                    <w:tr2bl w:val="nil"/>
                  </w:tcBorders>
                  <w:vAlign w:val="center"/>
                </w:tcPr>
                <w:p w14:paraId="6EF77E25">
                  <w:pPr>
                    <w:jc w:val="center"/>
                    <w:rPr>
                      <w:color w:val="auto"/>
                      <w:szCs w:val="21"/>
                    </w:rPr>
                  </w:pPr>
                  <w:r>
                    <w:rPr>
                      <w:rFonts w:hint="eastAsia"/>
                      <w:color w:val="auto"/>
                      <w:szCs w:val="21"/>
                    </w:rPr>
                    <w:t>废乳化液</w:t>
                  </w:r>
                </w:p>
              </w:tc>
              <w:tc>
                <w:tcPr>
                  <w:tcW w:w="546" w:type="pct"/>
                  <w:tcBorders>
                    <w:tl2br w:val="nil"/>
                    <w:tr2bl w:val="nil"/>
                  </w:tcBorders>
                  <w:vAlign w:val="center"/>
                </w:tcPr>
                <w:p w14:paraId="5D0A0D5D">
                  <w:pPr>
                    <w:jc w:val="center"/>
                    <w:rPr>
                      <w:color w:val="auto"/>
                      <w:szCs w:val="21"/>
                    </w:rPr>
                  </w:pPr>
                  <w:r>
                    <w:rPr>
                      <w:rFonts w:hint="eastAsia"/>
                      <w:color w:val="auto"/>
                      <w:szCs w:val="21"/>
                    </w:rPr>
                    <w:t>裁剪</w:t>
                  </w:r>
                </w:p>
              </w:tc>
              <w:tc>
                <w:tcPr>
                  <w:tcW w:w="526" w:type="pct"/>
                  <w:tcBorders>
                    <w:tl2br w:val="nil"/>
                    <w:tr2bl w:val="nil"/>
                  </w:tcBorders>
                  <w:vAlign w:val="center"/>
                </w:tcPr>
                <w:p w14:paraId="5EEF6D8A">
                  <w:pPr>
                    <w:jc w:val="center"/>
                    <w:rPr>
                      <w:color w:val="auto"/>
                      <w:szCs w:val="21"/>
                    </w:rPr>
                  </w:pPr>
                  <w:r>
                    <w:rPr>
                      <w:rFonts w:hint="eastAsia"/>
                      <w:color w:val="auto"/>
                      <w:szCs w:val="21"/>
                    </w:rPr>
                    <w:t>液态</w:t>
                  </w:r>
                </w:p>
              </w:tc>
              <w:tc>
                <w:tcPr>
                  <w:tcW w:w="528" w:type="pct"/>
                  <w:tcBorders>
                    <w:tl2br w:val="nil"/>
                    <w:tr2bl w:val="nil"/>
                  </w:tcBorders>
                  <w:vAlign w:val="center"/>
                </w:tcPr>
                <w:p w14:paraId="53753FE4">
                  <w:pPr>
                    <w:jc w:val="center"/>
                    <w:rPr>
                      <w:color w:val="auto"/>
                      <w:szCs w:val="21"/>
                    </w:rPr>
                  </w:pPr>
                  <w:r>
                    <w:rPr>
                      <w:rFonts w:hint="eastAsia"/>
                      <w:color w:val="auto"/>
                      <w:szCs w:val="21"/>
                    </w:rPr>
                    <w:t>乳化液</w:t>
                  </w:r>
                </w:p>
              </w:tc>
              <w:tc>
                <w:tcPr>
                  <w:tcW w:w="536" w:type="pct"/>
                  <w:tcBorders>
                    <w:tl2br w:val="nil"/>
                    <w:tr2bl w:val="nil"/>
                  </w:tcBorders>
                  <w:vAlign w:val="center"/>
                </w:tcPr>
                <w:p w14:paraId="6CF21842">
                  <w:pPr>
                    <w:jc w:val="center"/>
                    <w:rPr>
                      <w:color w:val="auto"/>
                      <w:szCs w:val="21"/>
                    </w:rPr>
                  </w:pPr>
                  <w:r>
                    <w:rPr>
                      <w:rFonts w:hint="eastAsia"/>
                      <w:color w:val="auto"/>
                      <w:szCs w:val="21"/>
                    </w:rPr>
                    <w:t>1.2</w:t>
                  </w:r>
                </w:p>
              </w:tc>
              <w:tc>
                <w:tcPr>
                  <w:tcW w:w="536" w:type="pct"/>
                  <w:tcBorders>
                    <w:tl2br w:val="nil"/>
                    <w:tr2bl w:val="nil"/>
                  </w:tcBorders>
                  <w:vAlign w:val="center"/>
                </w:tcPr>
                <w:p w14:paraId="6FFBE449">
                  <w:pPr>
                    <w:jc w:val="center"/>
                    <w:rPr>
                      <w:color w:val="auto"/>
                      <w:szCs w:val="21"/>
                    </w:rPr>
                  </w:pPr>
                  <w:r>
                    <w:rPr>
                      <w:rFonts w:ascii="Arial" w:hAnsi="Arial" w:cs="Arial"/>
                      <w:color w:val="auto"/>
                      <w:szCs w:val="21"/>
                    </w:rPr>
                    <w:t>√</w:t>
                  </w:r>
                </w:p>
              </w:tc>
              <w:tc>
                <w:tcPr>
                  <w:tcW w:w="548" w:type="pct"/>
                  <w:tcBorders>
                    <w:tl2br w:val="nil"/>
                    <w:tr2bl w:val="nil"/>
                  </w:tcBorders>
                  <w:vAlign w:val="center"/>
                </w:tcPr>
                <w:p w14:paraId="2D6CB431">
                  <w:pPr>
                    <w:jc w:val="center"/>
                    <w:rPr>
                      <w:color w:val="auto"/>
                      <w:szCs w:val="21"/>
                    </w:rPr>
                  </w:pPr>
                </w:p>
              </w:tc>
              <w:tc>
                <w:tcPr>
                  <w:tcW w:w="547" w:type="pct"/>
                  <w:vMerge w:val="continue"/>
                  <w:tcBorders>
                    <w:tl2br w:val="nil"/>
                    <w:tr2bl w:val="nil"/>
                  </w:tcBorders>
                </w:tcPr>
                <w:p w14:paraId="61977404">
                  <w:pPr>
                    <w:jc w:val="center"/>
                    <w:rPr>
                      <w:color w:val="auto"/>
                      <w:szCs w:val="21"/>
                    </w:rPr>
                  </w:pPr>
                </w:p>
              </w:tc>
            </w:tr>
            <w:tr w14:paraId="11473DD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682" w:type="pct"/>
                  <w:tcBorders>
                    <w:tl2br w:val="nil"/>
                    <w:tr2bl w:val="nil"/>
                  </w:tcBorders>
                  <w:vAlign w:val="center"/>
                </w:tcPr>
                <w:p w14:paraId="1898E3B0">
                  <w:pPr>
                    <w:jc w:val="center"/>
                    <w:rPr>
                      <w:color w:val="auto"/>
                      <w:szCs w:val="21"/>
                    </w:rPr>
                  </w:pPr>
                  <w:r>
                    <w:rPr>
                      <w:rFonts w:hint="eastAsia"/>
                      <w:color w:val="auto"/>
                      <w:szCs w:val="21"/>
                    </w:rPr>
                    <w:t>8</w:t>
                  </w:r>
                </w:p>
              </w:tc>
              <w:tc>
                <w:tcPr>
                  <w:tcW w:w="546" w:type="pct"/>
                  <w:tcBorders>
                    <w:tl2br w:val="nil"/>
                    <w:tr2bl w:val="nil"/>
                  </w:tcBorders>
                  <w:vAlign w:val="center"/>
                </w:tcPr>
                <w:p w14:paraId="58BFF4D9">
                  <w:pPr>
                    <w:jc w:val="center"/>
                    <w:rPr>
                      <w:color w:val="auto"/>
                      <w:szCs w:val="21"/>
                    </w:rPr>
                  </w:pPr>
                  <w:r>
                    <w:rPr>
                      <w:rFonts w:hint="eastAsia"/>
                      <w:color w:val="auto"/>
                      <w:szCs w:val="21"/>
                    </w:rPr>
                    <w:t>废液压油</w:t>
                  </w:r>
                </w:p>
              </w:tc>
              <w:tc>
                <w:tcPr>
                  <w:tcW w:w="546" w:type="pct"/>
                  <w:tcBorders>
                    <w:tl2br w:val="nil"/>
                    <w:tr2bl w:val="nil"/>
                  </w:tcBorders>
                  <w:vAlign w:val="center"/>
                </w:tcPr>
                <w:p w14:paraId="22F9A520">
                  <w:pPr>
                    <w:jc w:val="center"/>
                    <w:rPr>
                      <w:color w:val="auto"/>
                      <w:szCs w:val="21"/>
                    </w:rPr>
                  </w:pPr>
                  <w:r>
                    <w:rPr>
                      <w:rFonts w:hint="eastAsia"/>
                      <w:color w:val="auto"/>
                      <w:szCs w:val="21"/>
                    </w:rPr>
                    <w:t>裁剪</w:t>
                  </w:r>
                </w:p>
              </w:tc>
              <w:tc>
                <w:tcPr>
                  <w:tcW w:w="526" w:type="pct"/>
                  <w:tcBorders>
                    <w:tl2br w:val="nil"/>
                    <w:tr2bl w:val="nil"/>
                  </w:tcBorders>
                  <w:vAlign w:val="center"/>
                </w:tcPr>
                <w:p w14:paraId="675A8131">
                  <w:pPr>
                    <w:jc w:val="center"/>
                    <w:rPr>
                      <w:color w:val="auto"/>
                      <w:szCs w:val="21"/>
                    </w:rPr>
                  </w:pPr>
                  <w:r>
                    <w:rPr>
                      <w:rFonts w:hint="eastAsia"/>
                      <w:color w:val="auto"/>
                      <w:szCs w:val="21"/>
                    </w:rPr>
                    <w:t>液态</w:t>
                  </w:r>
                </w:p>
              </w:tc>
              <w:tc>
                <w:tcPr>
                  <w:tcW w:w="528" w:type="pct"/>
                  <w:tcBorders>
                    <w:tl2br w:val="nil"/>
                    <w:tr2bl w:val="nil"/>
                  </w:tcBorders>
                  <w:vAlign w:val="center"/>
                </w:tcPr>
                <w:p w14:paraId="076A95E3">
                  <w:pPr>
                    <w:jc w:val="center"/>
                    <w:rPr>
                      <w:color w:val="auto"/>
                      <w:szCs w:val="21"/>
                    </w:rPr>
                  </w:pPr>
                  <w:r>
                    <w:rPr>
                      <w:rFonts w:hint="eastAsia"/>
                      <w:color w:val="auto"/>
                      <w:szCs w:val="21"/>
                    </w:rPr>
                    <w:t>液压油</w:t>
                  </w:r>
                </w:p>
              </w:tc>
              <w:tc>
                <w:tcPr>
                  <w:tcW w:w="536" w:type="pct"/>
                  <w:tcBorders>
                    <w:tl2br w:val="nil"/>
                    <w:tr2bl w:val="nil"/>
                  </w:tcBorders>
                  <w:vAlign w:val="center"/>
                </w:tcPr>
                <w:p w14:paraId="342B0A45">
                  <w:pPr>
                    <w:jc w:val="center"/>
                    <w:rPr>
                      <w:color w:val="auto"/>
                      <w:szCs w:val="21"/>
                    </w:rPr>
                  </w:pPr>
                  <w:r>
                    <w:rPr>
                      <w:rFonts w:hint="eastAsia"/>
                      <w:color w:val="auto"/>
                      <w:szCs w:val="21"/>
                    </w:rPr>
                    <w:t>0.02</w:t>
                  </w:r>
                </w:p>
              </w:tc>
              <w:tc>
                <w:tcPr>
                  <w:tcW w:w="536" w:type="pct"/>
                  <w:tcBorders>
                    <w:tl2br w:val="nil"/>
                    <w:tr2bl w:val="nil"/>
                  </w:tcBorders>
                  <w:vAlign w:val="center"/>
                </w:tcPr>
                <w:p w14:paraId="37E59120">
                  <w:pPr>
                    <w:jc w:val="center"/>
                    <w:rPr>
                      <w:color w:val="auto"/>
                      <w:szCs w:val="21"/>
                    </w:rPr>
                  </w:pPr>
                  <w:r>
                    <w:rPr>
                      <w:rFonts w:ascii="Arial" w:hAnsi="Arial" w:cs="Arial"/>
                      <w:color w:val="auto"/>
                      <w:szCs w:val="21"/>
                    </w:rPr>
                    <w:t>√</w:t>
                  </w:r>
                </w:p>
              </w:tc>
              <w:tc>
                <w:tcPr>
                  <w:tcW w:w="548" w:type="pct"/>
                  <w:tcBorders>
                    <w:tl2br w:val="nil"/>
                    <w:tr2bl w:val="nil"/>
                  </w:tcBorders>
                  <w:vAlign w:val="center"/>
                </w:tcPr>
                <w:p w14:paraId="5C3CC802">
                  <w:pPr>
                    <w:jc w:val="center"/>
                    <w:rPr>
                      <w:color w:val="auto"/>
                      <w:szCs w:val="21"/>
                    </w:rPr>
                  </w:pPr>
                </w:p>
              </w:tc>
              <w:tc>
                <w:tcPr>
                  <w:tcW w:w="547" w:type="pct"/>
                  <w:vMerge w:val="continue"/>
                  <w:tcBorders>
                    <w:tl2br w:val="nil"/>
                    <w:tr2bl w:val="nil"/>
                  </w:tcBorders>
                </w:tcPr>
                <w:p w14:paraId="392152D9">
                  <w:pPr>
                    <w:jc w:val="center"/>
                    <w:rPr>
                      <w:color w:val="auto"/>
                      <w:szCs w:val="21"/>
                    </w:rPr>
                  </w:pPr>
                </w:p>
              </w:tc>
            </w:tr>
            <w:tr w14:paraId="45D02A0C">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682" w:type="pct"/>
                  <w:tcBorders>
                    <w:tl2br w:val="nil"/>
                    <w:tr2bl w:val="nil"/>
                  </w:tcBorders>
                  <w:vAlign w:val="center"/>
                </w:tcPr>
                <w:p w14:paraId="494BDABC">
                  <w:pPr>
                    <w:jc w:val="center"/>
                    <w:rPr>
                      <w:color w:val="auto"/>
                      <w:szCs w:val="21"/>
                    </w:rPr>
                  </w:pPr>
                  <w:r>
                    <w:rPr>
                      <w:rFonts w:hint="eastAsia"/>
                      <w:color w:val="auto"/>
                      <w:szCs w:val="21"/>
                    </w:rPr>
                    <w:t>9</w:t>
                  </w:r>
                </w:p>
              </w:tc>
              <w:tc>
                <w:tcPr>
                  <w:tcW w:w="546" w:type="pct"/>
                  <w:tcBorders>
                    <w:tl2br w:val="nil"/>
                    <w:tr2bl w:val="nil"/>
                  </w:tcBorders>
                  <w:vAlign w:val="center"/>
                </w:tcPr>
                <w:p w14:paraId="01D05103">
                  <w:pPr>
                    <w:jc w:val="center"/>
                    <w:rPr>
                      <w:color w:val="auto"/>
                      <w:szCs w:val="21"/>
                    </w:rPr>
                  </w:pPr>
                  <w:r>
                    <w:rPr>
                      <w:rFonts w:hint="eastAsia"/>
                      <w:color w:val="auto"/>
                      <w:szCs w:val="21"/>
                    </w:rPr>
                    <w:t>除尘灰</w:t>
                  </w:r>
                </w:p>
              </w:tc>
              <w:tc>
                <w:tcPr>
                  <w:tcW w:w="546" w:type="pct"/>
                  <w:tcBorders>
                    <w:tl2br w:val="nil"/>
                    <w:tr2bl w:val="nil"/>
                  </w:tcBorders>
                  <w:vAlign w:val="center"/>
                </w:tcPr>
                <w:p w14:paraId="2E7E4CC1">
                  <w:pPr>
                    <w:jc w:val="center"/>
                    <w:rPr>
                      <w:color w:val="auto"/>
                      <w:szCs w:val="21"/>
                    </w:rPr>
                  </w:pPr>
                  <w:r>
                    <w:rPr>
                      <w:rFonts w:hint="eastAsia"/>
                      <w:color w:val="auto"/>
                      <w:szCs w:val="21"/>
                    </w:rPr>
                    <w:t>废气处理</w:t>
                  </w:r>
                </w:p>
              </w:tc>
              <w:tc>
                <w:tcPr>
                  <w:tcW w:w="526" w:type="pct"/>
                  <w:tcBorders>
                    <w:tl2br w:val="nil"/>
                    <w:tr2bl w:val="nil"/>
                  </w:tcBorders>
                  <w:vAlign w:val="center"/>
                </w:tcPr>
                <w:p w14:paraId="63411553">
                  <w:pPr>
                    <w:jc w:val="center"/>
                    <w:rPr>
                      <w:color w:val="auto"/>
                      <w:szCs w:val="21"/>
                    </w:rPr>
                  </w:pPr>
                  <w:r>
                    <w:rPr>
                      <w:rFonts w:hint="eastAsia"/>
                      <w:color w:val="auto"/>
                      <w:szCs w:val="21"/>
                    </w:rPr>
                    <w:t>固态</w:t>
                  </w:r>
                </w:p>
              </w:tc>
              <w:tc>
                <w:tcPr>
                  <w:tcW w:w="528" w:type="pct"/>
                  <w:tcBorders>
                    <w:tl2br w:val="nil"/>
                    <w:tr2bl w:val="nil"/>
                  </w:tcBorders>
                  <w:vAlign w:val="center"/>
                </w:tcPr>
                <w:p w14:paraId="1CC948ED">
                  <w:pPr>
                    <w:jc w:val="center"/>
                    <w:rPr>
                      <w:color w:val="auto"/>
                      <w:szCs w:val="21"/>
                    </w:rPr>
                  </w:pPr>
                  <w:r>
                    <w:rPr>
                      <w:rFonts w:hint="eastAsia"/>
                      <w:color w:val="auto"/>
                      <w:szCs w:val="21"/>
                    </w:rPr>
                    <w:t>灰尘</w:t>
                  </w:r>
                </w:p>
              </w:tc>
              <w:tc>
                <w:tcPr>
                  <w:tcW w:w="536" w:type="pct"/>
                  <w:tcBorders>
                    <w:tl2br w:val="nil"/>
                    <w:tr2bl w:val="nil"/>
                  </w:tcBorders>
                  <w:vAlign w:val="center"/>
                </w:tcPr>
                <w:p w14:paraId="49180CC6">
                  <w:pPr>
                    <w:jc w:val="center"/>
                    <w:rPr>
                      <w:rFonts w:hint="default" w:eastAsia="宋体"/>
                      <w:color w:val="auto"/>
                      <w:szCs w:val="21"/>
                      <w:lang w:val="en-US" w:eastAsia="zh-CN"/>
                    </w:rPr>
                  </w:pPr>
                  <w:r>
                    <w:rPr>
                      <w:rFonts w:hint="eastAsia"/>
                      <w:color w:val="auto"/>
                      <w:szCs w:val="21"/>
                      <w:lang w:val="en-US" w:eastAsia="zh-CN"/>
                    </w:rPr>
                    <w:t>50.5</w:t>
                  </w:r>
                </w:p>
              </w:tc>
              <w:tc>
                <w:tcPr>
                  <w:tcW w:w="536" w:type="pct"/>
                  <w:tcBorders>
                    <w:tl2br w:val="nil"/>
                    <w:tr2bl w:val="nil"/>
                  </w:tcBorders>
                  <w:vAlign w:val="center"/>
                </w:tcPr>
                <w:p w14:paraId="3868B5D5">
                  <w:pPr>
                    <w:jc w:val="center"/>
                    <w:rPr>
                      <w:color w:val="auto"/>
                      <w:szCs w:val="21"/>
                    </w:rPr>
                  </w:pPr>
                  <w:r>
                    <w:rPr>
                      <w:rFonts w:ascii="Arial" w:hAnsi="Arial" w:cs="Arial"/>
                      <w:color w:val="auto"/>
                      <w:szCs w:val="21"/>
                    </w:rPr>
                    <w:t>√</w:t>
                  </w:r>
                </w:p>
              </w:tc>
              <w:tc>
                <w:tcPr>
                  <w:tcW w:w="548" w:type="pct"/>
                  <w:tcBorders>
                    <w:tl2br w:val="nil"/>
                    <w:tr2bl w:val="nil"/>
                  </w:tcBorders>
                  <w:vAlign w:val="center"/>
                </w:tcPr>
                <w:p w14:paraId="24D76D26">
                  <w:pPr>
                    <w:jc w:val="center"/>
                    <w:rPr>
                      <w:color w:val="auto"/>
                      <w:szCs w:val="21"/>
                    </w:rPr>
                  </w:pPr>
                </w:p>
              </w:tc>
              <w:tc>
                <w:tcPr>
                  <w:tcW w:w="547" w:type="pct"/>
                  <w:vMerge w:val="continue"/>
                  <w:tcBorders>
                    <w:tl2br w:val="nil"/>
                    <w:tr2bl w:val="nil"/>
                  </w:tcBorders>
                </w:tcPr>
                <w:p w14:paraId="00A85BA3">
                  <w:pPr>
                    <w:jc w:val="center"/>
                    <w:rPr>
                      <w:color w:val="auto"/>
                      <w:szCs w:val="21"/>
                    </w:rPr>
                  </w:pPr>
                </w:p>
              </w:tc>
            </w:tr>
            <w:tr w14:paraId="5FE1907F">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682" w:type="pct"/>
                  <w:tcBorders>
                    <w:tl2br w:val="nil"/>
                    <w:tr2bl w:val="nil"/>
                  </w:tcBorders>
                  <w:vAlign w:val="center"/>
                </w:tcPr>
                <w:p w14:paraId="3579978B">
                  <w:pPr>
                    <w:jc w:val="center"/>
                    <w:rPr>
                      <w:color w:val="auto"/>
                      <w:szCs w:val="21"/>
                    </w:rPr>
                  </w:pPr>
                  <w:r>
                    <w:rPr>
                      <w:rFonts w:hint="eastAsia"/>
                      <w:color w:val="auto"/>
                      <w:szCs w:val="21"/>
                    </w:rPr>
                    <w:t>10</w:t>
                  </w:r>
                </w:p>
              </w:tc>
              <w:tc>
                <w:tcPr>
                  <w:tcW w:w="546" w:type="pct"/>
                  <w:tcBorders>
                    <w:tl2br w:val="nil"/>
                    <w:tr2bl w:val="nil"/>
                  </w:tcBorders>
                  <w:vAlign w:val="center"/>
                </w:tcPr>
                <w:p w14:paraId="6E603D05">
                  <w:pPr>
                    <w:jc w:val="center"/>
                    <w:rPr>
                      <w:color w:val="auto"/>
                      <w:szCs w:val="21"/>
                    </w:rPr>
                  </w:pPr>
                  <w:r>
                    <w:rPr>
                      <w:rFonts w:hint="eastAsia"/>
                      <w:color w:val="auto"/>
                      <w:szCs w:val="21"/>
                    </w:rPr>
                    <w:t>生活垃圾</w:t>
                  </w:r>
                </w:p>
              </w:tc>
              <w:tc>
                <w:tcPr>
                  <w:tcW w:w="546" w:type="pct"/>
                  <w:tcBorders>
                    <w:tl2br w:val="nil"/>
                    <w:tr2bl w:val="nil"/>
                  </w:tcBorders>
                  <w:vAlign w:val="center"/>
                </w:tcPr>
                <w:p w14:paraId="112D1DC5">
                  <w:pPr>
                    <w:jc w:val="center"/>
                    <w:rPr>
                      <w:color w:val="auto"/>
                      <w:szCs w:val="21"/>
                    </w:rPr>
                  </w:pPr>
                  <w:r>
                    <w:rPr>
                      <w:rFonts w:hint="eastAsia"/>
                      <w:color w:val="auto"/>
                      <w:szCs w:val="21"/>
                    </w:rPr>
                    <w:t>职工生活</w:t>
                  </w:r>
                </w:p>
              </w:tc>
              <w:tc>
                <w:tcPr>
                  <w:tcW w:w="526" w:type="pct"/>
                  <w:tcBorders>
                    <w:tl2br w:val="nil"/>
                    <w:tr2bl w:val="nil"/>
                  </w:tcBorders>
                  <w:vAlign w:val="center"/>
                </w:tcPr>
                <w:p w14:paraId="39291530">
                  <w:pPr>
                    <w:jc w:val="center"/>
                    <w:rPr>
                      <w:color w:val="auto"/>
                      <w:szCs w:val="21"/>
                    </w:rPr>
                  </w:pPr>
                  <w:r>
                    <w:rPr>
                      <w:rFonts w:hint="eastAsia"/>
                      <w:color w:val="auto"/>
                      <w:szCs w:val="21"/>
                    </w:rPr>
                    <w:t>固态</w:t>
                  </w:r>
                </w:p>
              </w:tc>
              <w:tc>
                <w:tcPr>
                  <w:tcW w:w="528" w:type="pct"/>
                  <w:tcBorders>
                    <w:tl2br w:val="nil"/>
                    <w:tr2bl w:val="nil"/>
                  </w:tcBorders>
                  <w:vAlign w:val="center"/>
                </w:tcPr>
                <w:p w14:paraId="1923844D">
                  <w:pPr>
                    <w:jc w:val="center"/>
                    <w:rPr>
                      <w:color w:val="auto"/>
                      <w:szCs w:val="21"/>
                    </w:rPr>
                  </w:pPr>
                  <w:r>
                    <w:rPr>
                      <w:rFonts w:hint="eastAsia"/>
                      <w:color w:val="auto"/>
                      <w:szCs w:val="21"/>
                    </w:rPr>
                    <w:t>瓜果纸皮等</w:t>
                  </w:r>
                </w:p>
              </w:tc>
              <w:tc>
                <w:tcPr>
                  <w:tcW w:w="536" w:type="pct"/>
                  <w:tcBorders>
                    <w:tl2br w:val="nil"/>
                    <w:tr2bl w:val="nil"/>
                  </w:tcBorders>
                  <w:vAlign w:val="center"/>
                </w:tcPr>
                <w:p w14:paraId="4C7122D5">
                  <w:pPr>
                    <w:jc w:val="center"/>
                    <w:rPr>
                      <w:color w:val="auto"/>
                      <w:szCs w:val="21"/>
                    </w:rPr>
                  </w:pPr>
                  <w:r>
                    <w:rPr>
                      <w:rFonts w:hint="eastAsia"/>
                      <w:color w:val="auto"/>
                      <w:szCs w:val="21"/>
                    </w:rPr>
                    <w:t>6.25</w:t>
                  </w:r>
                </w:p>
              </w:tc>
              <w:tc>
                <w:tcPr>
                  <w:tcW w:w="536" w:type="pct"/>
                  <w:tcBorders>
                    <w:tl2br w:val="nil"/>
                    <w:tr2bl w:val="nil"/>
                  </w:tcBorders>
                  <w:vAlign w:val="center"/>
                </w:tcPr>
                <w:p w14:paraId="1A8391B0">
                  <w:pPr>
                    <w:jc w:val="center"/>
                    <w:rPr>
                      <w:color w:val="auto"/>
                      <w:szCs w:val="21"/>
                    </w:rPr>
                  </w:pPr>
                  <w:r>
                    <w:rPr>
                      <w:rFonts w:ascii="Arial" w:hAnsi="Arial" w:cs="Arial"/>
                      <w:color w:val="auto"/>
                      <w:szCs w:val="21"/>
                    </w:rPr>
                    <w:t>√</w:t>
                  </w:r>
                </w:p>
              </w:tc>
              <w:tc>
                <w:tcPr>
                  <w:tcW w:w="548" w:type="pct"/>
                  <w:tcBorders>
                    <w:tl2br w:val="nil"/>
                    <w:tr2bl w:val="nil"/>
                  </w:tcBorders>
                  <w:vAlign w:val="center"/>
                </w:tcPr>
                <w:p w14:paraId="5EB36034">
                  <w:pPr>
                    <w:jc w:val="center"/>
                    <w:rPr>
                      <w:color w:val="auto"/>
                      <w:szCs w:val="21"/>
                    </w:rPr>
                  </w:pPr>
                </w:p>
              </w:tc>
              <w:tc>
                <w:tcPr>
                  <w:tcW w:w="547" w:type="pct"/>
                  <w:tcBorders>
                    <w:tl2br w:val="nil"/>
                    <w:tr2bl w:val="nil"/>
                  </w:tcBorders>
                </w:tcPr>
                <w:p w14:paraId="47E23862">
                  <w:pPr>
                    <w:jc w:val="center"/>
                    <w:rPr>
                      <w:color w:val="auto"/>
                      <w:szCs w:val="21"/>
                    </w:rPr>
                  </w:pPr>
                </w:p>
              </w:tc>
            </w:tr>
          </w:tbl>
          <w:p w14:paraId="7C2FBACE">
            <w:pPr>
              <w:adjustRightInd w:val="0"/>
              <w:spacing w:line="360" w:lineRule="auto"/>
              <w:jc w:val="both"/>
              <w:rPr>
                <w:rFonts w:ascii="宋体" w:hAnsi="宋体" w:cs="宋体"/>
                <w:b/>
                <w:color w:val="auto"/>
                <w:szCs w:val="21"/>
              </w:rPr>
            </w:pPr>
          </w:p>
          <w:p w14:paraId="5E60CEF3">
            <w:pPr>
              <w:adjustRightInd w:val="0"/>
              <w:spacing w:line="360" w:lineRule="auto"/>
              <w:ind w:firstLine="482"/>
              <w:jc w:val="center"/>
              <w:rPr>
                <w:rFonts w:ascii="宋体" w:hAnsi="宋体" w:cs="宋体"/>
                <w:bCs/>
                <w:color w:val="auto"/>
                <w:sz w:val="24"/>
                <w:lang w:bidi="ar"/>
              </w:rPr>
            </w:pPr>
            <w:r>
              <w:rPr>
                <w:rFonts w:hint="eastAsia" w:ascii="宋体" w:hAnsi="宋体" w:cs="宋体"/>
                <w:b/>
                <w:color w:val="auto"/>
                <w:szCs w:val="21"/>
              </w:rPr>
              <w:t>表4-16  本项目危险废物产生汇总表</w:t>
            </w:r>
          </w:p>
          <w:tbl>
            <w:tblPr>
              <w:tblStyle w:val="25"/>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741"/>
              <w:gridCol w:w="741"/>
              <w:gridCol w:w="742"/>
              <w:gridCol w:w="742"/>
              <w:gridCol w:w="742"/>
              <w:gridCol w:w="742"/>
              <w:gridCol w:w="1222"/>
              <w:gridCol w:w="865"/>
              <w:gridCol w:w="742"/>
            </w:tblGrid>
            <w:tr w14:paraId="135B77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461" w:type="pct"/>
                  <w:tcBorders>
                    <w:tl2br w:val="nil"/>
                    <w:tr2bl w:val="nil"/>
                  </w:tcBorders>
                  <w:vAlign w:val="center"/>
                </w:tcPr>
                <w:p w14:paraId="6685FEA2">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序号</w:t>
                  </w:r>
                </w:p>
              </w:tc>
              <w:tc>
                <w:tcPr>
                  <w:tcW w:w="462" w:type="pct"/>
                  <w:tcBorders>
                    <w:tl2br w:val="nil"/>
                    <w:tr2bl w:val="nil"/>
                  </w:tcBorders>
                  <w:vAlign w:val="center"/>
                </w:tcPr>
                <w:p w14:paraId="4151F59A">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固废名称</w:t>
                  </w:r>
                </w:p>
              </w:tc>
              <w:tc>
                <w:tcPr>
                  <w:tcW w:w="462" w:type="pct"/>
                  <w:tcBorders>
                    <w:tl2br w:val="nil"/>
                    <w:tr2bl w:val="nil"/>
                  </w:tcBorders>
                  <w:vAlign w:val="center"/>
                </w:tcPr>
                <w:p w14:paraId="508AC3EF">
                  <w:pPr>
                    <w:adjustRightInd w:val="0"/>
                    <w:snapToGrid w:val="0"/>
                    <w:rPr>
                      <w:rFonts w:asciiTheme="minorEastAsia" w:hAnsiTheme="minorEastAsia" w:eastAsiaTheme="minorEastAsia" w:cstheme="minorEastAsia"/>
                      <w:bCs/>
                      <w:color w:val="auto"/>
                      <w:kern w:val="0"/>
                      <w:sz w:val="24"/>
                    </w:rPr>
                  </w:pPr>
                  <w:r>
                    <w:rPr>
                      <w:rFonts w:hint="eastAsia"/>
                      <w:color w:val="auto"/>
                      <w:szCs w:val="21"/>
                    </w:rPr>
                    <w:t>产生工序</w:t>
                  </w:r>
                </w:p>
              </w:tc>
              <w:tc>
                <w:tcPr>
                  <w:tcW w:w="462" w:type="pct"/>
                  <w:tcBorders>
                    <w:tl2br w:val="nil"/>
                    <w:tr2bl w:val="nil"/>
                  </w:tcBorders>
                  <w:vAlign w:val="center"/>
                </w:tcPr>
                <w:p w14:paraId="043FBCEF">
                  <w:pPr>
                    <w:adjustRightInd w:val="0"/>
                    <w:snapToGrid w:val="0"/>
                    <w:rPr>
                      <w:rFonts w:asciiTheme="minorEastAsia" w:hAnsiTheme="minorEastAsia" w:eastAsiaTheme="minorEastAsia" w:cstheme="minorEastAsia"/>
                      <w:bCs/>
                      <w:color w:val="auto"/>
                      <w:kern w:val="0"/>
                      <w:sz w:val="24"/>
                    </w:rPr>
                  </w:pPr>
                  <w:r>
                    <w:rPr>
                      <w:rFonts w:hint="eastAsia"/>
                      <w:color w:val="auto"/>
                      <w:szCs w:val="21"/>
                    </w:rPr>
                    <w:t>形态</w:t>
                  </w:r>
                </w:p>
              </w:tc>
              <w:tc>
                <w:tcPr>
                  <w:tcW w:w="462" w:type="pct"/>
                  <w:tcBorders>
                    <w:tl2br w:val="nil"/>
                    <w:tr2bl w:val="nil"/>
                  </w:tcBorders>
                  <w:vAlign w:val="center"/>
                </w:tcPr>
                <w:p w14:paraId="19F046D9">
                  <w:pPr>
                    <w:adjustRightInd w:val="0"/>
                    <w:snapToGrid w:val="0"/>
                    <w:rPr>
                      <w:rFonts w:asciiTheme="minorEastAsia" w:hAnsiTheme="minorEastAsia" w:eastAsiaTheme="minorEastAsia" w:cstheme="minorEastAsia"/>
                      <w:bCs/>
                      <w:color w:val="auto"/>
                      <w:kern w:val="0"/>
                      <w:sz w:val="24"/>
                    </w:rPr>
                  </w:pPr>
                  <w:r>
                    <w:rPr>
                      <w:rFonts w:hint="eastAsia"/>
                      <w:color w:val="auto"/>
                      <w:szCs w:val="21"/>
                    </w:rPr>
                    <w:t>有害成分</w:t>
                  </w:r>
                </w:p>
              </w:tc>
              <w:tc>
                <w:tcPr>
                  <w:tcW w:w="462" w:type="pct"/>
                  <w:tcBorders>
                    <w:tl2br w:val="nil"/>
                    <w:tr2bl w:val="nil"/>
                  </w:tcBorders>
                  <w:vAlign w:val="center"/>
                </w:tcPr>
                <w:p w14:paraId="7B42A492">
                  <w:pPr>
                    <w:adjustRightInd w:val="0"/>
                    <w:snapToGrid w:val="0"/>
                    <w:rPr>
                      <w:rFonts w:asciiTheme="minorEastAsia" w:hAnsiTheme="minorEastAsia" w:eastAsiaTheme="minorEastAsia" w:cstheme="minorEastAsia"/>
                      <w:bCs/>
                      <w:color w:val="auto"/>
                      <w:kern w:val="0"/>
                      <w:sz w:val="24"/>
                    </w:rPr>
                  </w:pPr>
                  <w:r>
                    <w:rPr>
                      <w:rFonts w:hint="eastAsia"/>
                      <w:color w:val="auto"/>
                      <w:szCs w:val="21"/>
                    </w:rPr>
                    <w:t>危险特性</w:t>
                  </w:r>
                </w:p>
              </w:tc>
              <w:tc>
                <w:tcPr>
                  <w:tcW w:w="462" w:type="pct"/>
                  <w:tcBorders>
                    <w:tl2br w:val="nil"/>
                    <w:tr2bl w:val="nil"/>
                  </w:tcBorders>
                  <w:vAlign w:val="center"/>
                </w:tcPr>
                <w:p w14:paraId="21281FD5">
                  <w:pPr>
                    <w:adjustRightInd w:val="0"/>
                    <w:snapToGrid w:val="0"/>
                    <w:rPr>
                      <w:rFonts w:asciiTheme="minorEastAsia" w:hAnsiTheme="minorEastAsia" w:eastAsiaTheme="minorEastAsia" w:cstheme="minorEastAsia"/>
                      <w:bCs/>
                      <w:color w:val="auto"/>
                      <w:kern w:val="0"/>
                      <w:sz w:val="24"/>
                    </w:rPr>
                  </w:pPr>
                  <w:r>
                    <w:rPr>
                      <w:rFonts w:hint="eastAsia"/>
                      <w:color w:val="auto"/>
                      <w:szCs w:val="21"/>
                    </w:rPr>
                    <w:t>废物类别</w:t>
                  </w:r>
                </w:p>
              </w:tc>
              <w:tc>
                <w:tcPr>
                  <w:tcW w:w="761" w:type="pct"/>
                  <w:tcBorders>
                    <w:tl2br w:val="nil"/>
                    <w:tr2bl w:val="nil"/>
                  </w:tcBorders>
                  <w:vAlign w:val="center"/>
                </w:tcPr>
                <w:p w14:paraId="109028F2">
                  <w:pPr>
                    <w:adjustRightInd w:val="0"/>
                    <w:snapToGrid w:val="0"/>
                    <w:rPr>
                      <w:rFonts w:asciiTheme="minorEastAsia" w:hAnsiTheme="minorEastAsia" w:eastAsiaTheme="minorEastAsia" w:cstheme="minorEastAsia"/>
                      <w:bCs/>
                      <w:color w:val="auto"/>
                      <w:kern w:val="0"/>
                      <w:sz w:val="24"/>
                    </w:rPr>
                  </w:pPr>
                  <w:r>
                    <w:rPr>
                      <w:rFonts w:hint="eastAsia"/>
                      <w:color w:val="auto"/>
                      <w:szCs w:val="21"/>
                    </w:rPr>
                    <w:t>废物代码</w:t>
                  </w:r>
                </w:p>
              </w:tc>
              <w:tc>
                <w:tcPr>
                  <w:tcW w:w="539" w:type="pct"/>
                  <w:tcBorders>
                    <w:tl2br w:val="nil"/>
                    <w:tr2bl w:val="nil"/>
                  </w:tcBorders>
                  <w:vAlign w:val="center"/>
                </w:tcPr>
                <w:p w14:paraId="39FD4C58">
                  <w:pPr>
                    <w:adjustRightInd w:val="0"/>
                    <w:snapToGrid w:val="0"/>
                    <w:rPr>
                      <w:color w:val="auto"/>
                      <w:szCs w:val="21"/>
                    </w:rPr>
                  </w:pPr>
                  <w:r>
                    <w:rPr>
                      <w:rFonts w:hint="eastAsia"/>
                      <w:color w:val="auto"/>
                      <w:szCs w:val="21"/>
                    </w:rPr>
                    <w:t>估算产生量</w:t>
                  </w:r>
                </w:p>
                <w:p w14:paraId="216FD2A9">
                  <w:pPr>
                    <w:adjustRightInd w:val="0"/>
                    <w:snapToGrid w:val="0"/>
                    <w:rPr>
                      <w:rFonts w:asciiTheme="minorEastAsia" w:hAnsiTheme="minorEastAsia" w:eastAsiaTheme="minorEastAsia" w:cstheme="minorEastAsia"/>
                      <w:bCs/>
                      <w:color w:val="auto"/>
                      <w:kern w:val="0"/>
                      <w:sz w:val="24"/>
                    </w:rPr>
                  </w:pPr>
                  <w:r>
                    <w:rPr>
                      <w:rFonts w:hint="eastAsia"/>
                      <w:color w:val="auto"/>
                      <w:szCs w:val="21"/>
                    </w:rPr>
                    <w:t>（t/a）</w:t>
                  </w:r>
                </w:p>
              </w:tc>
              <w:tc>
                <w:tcPr>
                  <w:tcW w:w="462" w:type="pct"/>
                  <w:tcBorders>
                    <w:tl2br w:val="nil"/>
                    <w:tr2bl w:val="nil"/>
                  </w:tcBorders>
                  <w:vAlign w:val="center"/>
                </w:tcPr>
                <w:p w14:paraId="3A770CDD">
                  <w:pPr>
                    <w:adjustRightInd w:val="0"/>
                    <w:snapToGrid w:val="0"/>
                    <w:rPr>
                      <w:rFonts w:asciiTheme="minorEastAsia" w:hAnsiTheme="minorEastAsia" w:eastAsiaTheme="minorEastAsia" w:cstheme="minorEastAsia"/>
                      <w:bCs/>
                      <w:color w:val="auto"/>
                      <w:kern w:val="0"/>
                      <w:sz w:val="24"/>
                    </w:rPr>
                  </w:pPr>
                  <w:r>
                    <w:rPr>
                      <w:rFonts w:hint="eastAsia"/>
                      <w:color w:val="auto"/>
                      <w:szCs w:val="21"/>
                    </w:rPr>
                    <w:t>产废周期</w:t>
                  </w:r>
                </w:p>
              </w:tc>
            </w:tr>
            <w:tr w14:paraId="18060C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tcBorders>
                    <w:tl2br w:val="nil"/>
                    <w:tr2bl w:val="nil"/>
                  </w:tcBorders>
                  <w:vAlign w:val="center"/>
                </w:tcPr>
                <w:p w14:paraId="1701D10D">
                  <w:pPr>
                    <w:adjustRightInd w:val="0"/>
                    <w:snapToGrid w:val="0"/>
                    <w:jc w:val="center"/>
                    <w:rPr>
                      <w:rFonts w:asciiTheme="minorEastAsia" w:hAnsiTheme="minorEastAsia" w:eastAsiaTheme="minorEastAsia" w:cstheme="minorEastAsia"/>
                      <w:bCs/>
                      <w:color w:val="auto"/>
                      <w:kern w:val="0"/>
                      <w:sz w:val="24"/>
                    </w:rPr>
                  </w:pPr>
                  <w:r>
                    <w:rPr>
                      <w:rFonts w:hint="eastAsia" w:eastAsiaTheme="minorEastAsia"/>
                      <w:bCs/>
                      <w:color w:val="auto"/>
                      <w:kern w:val="0"/>
                      <w:szCs w:val="21"/>
                    </w:rPr>
                    <w:t>1</w:t>
                  </w:r>
                </w:p>
              </w:tc>
              <w:tc>
                <w:tcPr>
                  <w:tcW w:w="462" w:type="pct"/>
                  <w:tcBorders>
                    <w:tl2br w:val="nil"/>
                    <w:tr2bl w:val="nil"/>
                  </w:tcBorders>
                  <w:vAlign w:val="center"/>
                </w:tcPr>
                <w:p w14:paraId="14030FCD">
                  <w:pPr>
                    <w:adjustRightInd w:val="0"/>
                    <w:snapToGrid w:val="0"/>
                    <w:rPr>
                      <w:rFonts w:asciiTheme="minorEastAsia" w:hAnsiTheme="minorEastAsia" w:eastAsiaTheme="minorEastAsia" w:cstheme="minorEastAsia"/>
                      <w:bCs/>
                      <w:color w:val="auto"/>
                      <w:kern w:val="0"/>
                      <w:sz w:val="24"/>
                    </w:rPr>
                  </w:pPr>
                  <w:r>
                    <w:rPr>
                      <w:rFonts w:hint="eastAsia"/>
                      <w:color w:val="auto"/>
                      <w:szCs w:val="21"/>
                    </w:rPr>
                    <w:t>废机油</w:t>
                  </w:r>
                </w:p>
              </w:tc>
              <w:tc>
                <w:tcPr>
                  <w:tcW w:w="462" w:type="pct"/>
                  <w:tcBorders>
                    <w:tl2br w:val="nil"/>
                    <w:tr2bl w:val="nil"/>
                  </w:tcBorders>
                  <w:vAlign w:val="center"/>
                </w:tcPr>
                <w:p w14:paraId="02F05D92">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机修</w:t>
                  </w:r>
                </w:p>
              </w:tc>
              <w:tc>
                <w:tcPr>
                  <w:tcW w:w="462" w:type="pct"/>
                  <w:vMerge w:val="restart"/>
                  <w:tcBorders>
                    <w:tl2br w:val="nil"/>
                    <w:tr2bl w:val="nil"/>
                  </w:tcBorders>
                  <w:vAlign w:val="center"/>
                </w:tcPr>
                <w:p w14:paraId="6D012268">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液态</w:t>
                  </w:r>
                </w:p>
              </w:tc>
              <w:tc>
                <w:tcPr>
                  <w:tcW w:w="462" w:type="pct"/>
                  <w:tcBorders>
                    <w:tl2br w:val="nil"/>
                    <w:tr2bl w:val="nil"/>
                  </w:tcBorders>
                </w:tcPr>
                <w:p w14:paraId="52506F66">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矿物油</w:t>
                  </w:r>
                </w:p>
              </w:tc>
              <w:tc>
                <w:tcPr>
                  <w:tcW w:w="462" w:type="pct"/>
                  <w:tcBorders>
                    <w:tl2br w:val="nil"/>
                    <w:tr2bl w:val="nil"/>
                  </w:tcBorders>
                  <w:vAlign w:val="center"/>
                </w:tcPr>
                <w:p w14:paraId="41C7688B">
                  <w:pPr>
                    <w:adjustRightInd w:val="0"/>
                    <w:snapToGrid w:val="0"/>
                    <w:jc w:val="center"/>
                    <w:rPr>
                      <w:rFonts w:eastAsiaTheme="minorEastAsia"/>
                      <w:bCs/>
                      <w:color w:val="auto"/>
                      <w:kern w:val="0"/>
                      <w:szCs w:val="21"/>
                    </w:rPr>
                  </w:pPr>
                  <w:r>
                    <w:rPr>
                      <w:rFonts w:eastAsiaTheme="minorEastAsia"/>
                      <w:bCs/>
                      <w:color w:val="auto"/>
                      <w:kern w:val="0"/>
                      <w:szCs w:val="21"/>
                    </w:rPr>
                    <w:t>T,I</w:t>
                  </w:r>
                </w:p>
              </w:tc>
              <w:tc>
                <w:tcPr>
                  <w:tcW w:w="462" w:type="pct"/>
                  <w:tcBorders>
                    <w:tl2br w:val="nil"/>
                    <w:tr2bl w:val="nil"/>
                  </w:tcBorders>
                  <w:vAlign w:val="center"/>
                </w:tcPr>
                <w:p w14:paraId="0B1ADDE3">
                  <w:pPr>
                    <w:adjustRightInd w:val="0"/>
                    <w:snapToGrid w:val="0"/>
                    <w:jc w:val="center"/>
                    <w:rPr>
                      <w:rFonts w:eastAsiaTheme="minorEastAsia"/>
                      <w:bCs/>
                      <w:color w:val="auto"/>
                      <w:kern w:val="0"/>
                      <w:szCs w:val="21"/>
                    </w:rPr>
                  </w:pPr>
                  <w:r>
                    <w:rPr>
                      <w:rFonts w:eastAsiaTheme="minorEastAsia"/>
                      <w:bCs/>
                      <w:color w:val="auto"/>
                      <w:kern w:val="0"/>
                      <w:szCs w:val="21"/>
                    </w:rPr>
                    <w:t>HW</w:t>
                  </w:r>
                </w:p>
                <w:p w14:paraId="01BCFB2A">
                  <w:pPr>
                    <w:adjustRightInd w:val="0"/>
                    <w:snapToGrid w:val="0"/>
                    <w:jc w:val="center"/>
                    <w:rPr>
                      <w:rFonts w:eastAsiaTheme="minorEastAsia"/>
                      <w:bCs/>
                      <w:color w:val="auto"/>
                      <w:kern w:val="0"/>
                      <w:szCs w:val="21"/>
                    </w:rPr>
                  </w:pPr>
                  <w:r>
                    <w:rPr>
                      <w:rFonts w:eastAsiaTheme="minorEastAsia"/>
                      <w:bCs/>
                      <w:color w:val="auto"/>
                      <w:kern w:val="0"/>
                      <w:szCs w:val="21"/>
                    </w:rPr>
                    <w:t>08</w:t>
                  </w:r>
                </w:p>
              </w:tc>
              <w:tc>
                <w:tcPr>
                  <w:tcW w:w="761" w:type="pct"/>
                  <w:tcBorders>
                    <w:tl2br w:val="nil"/>
                    <w:tr2bl w:val="nil"/>
                  </w:tcBorders>
                  <w:vAlign w:val="center"/>
                </w:tcPr>
                <w:p w14:paraId="3A73DC71">
                  <w:pPr>
                    <w:adjustRightInd w:val="0"/>
                    <w:snapToGrid w:val="0"/>
                    <w:jc w:val="center"/>
                    <w:rPr>
                      <w:rFonts w:eastAsiaTheme="minorEastAsia"/>
                      <w:bCs/>
                      <w:color w:val="auto"/>
                      <w:kern w:val="0"/>
                      <w:szCs w:val="21"/>
                    </w:rPr>
                  </w:pPr>
                  <w:r>
                    <w:rPr>
                      <w:rFonts w:eastAsiaTheme="minorEastAsia"/>
                      <w:bCs/>
                      <w:color w:val="auto"/>
                      <w:kern w:val="0"/>
                      <w:szCs w:val="21"/>
                    </w:rPr>
                    <w:t>900-249-08</w:t>
                  </w:r>
                </w:p>
              </w:tc>
              <w:tc>
                <w:tcPr>
                  <w:tcW w:w="539" w:type="pct"/>
                  <w:tcBorders>
                    <w:tl2br w:val="nil"/>
                    <w:tr2bl w:val="nil"/>
                  </w:tcBorders>
                  <w:vAlign w:val="center"/>
                </w:tcPr>
                <w:p w14:paraId="5D75D240">
                  <w:pPr>
                    <w:adjustRightInd w:val="0"/>
                    <w:snapToGrid w:val="0"/>
                    <w:jc w:val="center"/>
                    <w:rPr>
                      <w:rFonts w:asciiTheme="minorEastAsia" w:hAnsiTheme="minorEastAsia" w:eastAsiaTheme="minorEastAsia" w:cstheme="minorEastAsia"/>
                      <w:bCs/>
                      <w:color w:val="auto"/>
                      <w:kern w:val="0"/>
                      <w:sz w:val="24"/>
                    </w:rPr>
                  </w:pPr>
                  <w:r>
                    <w:rPr>
                      <w:rFonts w:eastAsiaTheme="minorEastAsia"/>
                      <w:bCs/>
                      <w:color w:val="auto"/>
                      <w:kern w:val="0"/>
                      <w:szCs w:val="21"/>
                    </w:rPr>
                    <w:t>0.03</w:t>
                  </w:r>
                </w:p>
              </w:tc>
              <w:tc>
                <w:tcPr>
                  <w:tcW w:w="462" w:type="pct"/>
                  <w:tcBorders>
                    <w:tl2br w:val="nil"/>
                    <w:tr2bl w:val="nil"/>
                  </w:tcBorders>
                  <w:vAlign w:val="center"/>
                </w:tcPr>
                <w:p w14:paraId="17ACD8D7">
                  <w:pPr>
                    <w:adjustRightInd w:val="0"/>
                    <w:snapToGrid w:val="0"/>
                    <w:jc w:val="center"/>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每月</w:t>
                  </w:r>
                </w:p>
              </w:tc>
            </w:tr>
            <w:tr w14:paraId="28CEAD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tcBorders>
                    <w:tl2br w:val="nil"/>
                    <w:tr2bl w:val="nil"/>
                  </w:tcBorders>
                  <w:vAlign w:val="center"/>
                </w:tcPr>
                <w:p w14:paraId="00D6C54B">
                  <w:pPr>
                    <w:adjustRightInd w:val="0"/>
                    <w:snapToGrid w:val="0"/>
                    <w:jc w:val="center"/>
                    <w:rPr>
                      <w:rFonts w:asciiTheme="minorEastAsia" w:hAnsiTheme="minorEastAsia" w:eastAsiaTheme="minorEastAsia" w:cstheme="minorEastAsia"/>
                      <w:bCs/>
                      <w:color w:val="auto"/>
                      <w:kern w:val="0"/>
                      <w:sz w:val="24"/>
                    </w:rPr>
                  </w:pPr>
                  <w:r>
                    <w:rPr>
                      <w:rFonts w:hint="eastAsia" w:eastAsiaTheme="minorEastAsia"/>
                      <w:bCs/>
                      <w:color w:val="auto"/>
                      <w:kern w:val="0"/>
                      <w:szCs w:val="21"/>
                    </w:rPr>
                    <w:t>2</w:t>
                  </w:r>
                </w:p>
              </w:tc>
              <w:tc>
                <w:tcPr>
                  <w:tcW w:w="462" w:type="pct"/>
                  <w:tcBorders>
                    <w:tl2br w:val="nil"/>
                    <w:tr2bl w:val="nil"/>
                  </w:tcBorders>
                  <w:vAlign w:val="center"/>
                </w:tcPr>
                <w:p w14:paraId="3DDD0F7C">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废乳化液</w:t>
                  </w:r>
                </w:p>
              </w:tc>
              <w:tc>
                <w:tcPr>
                  <w:tcW w:w="462" w:type="pct"/>
                  <w:tcBorders>
                    <w:tl2br w:val="nil"/>
                    <w:tr2bl w:val="nil"/>
                  </w:tcBorders>
                  <w:vAlign w:val="center"/>
                </w:tcPr>
                <w:p w14:paraId="717AF7F4">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裁剪</w:t>
                  </w:r>
                </w:p>
              </w:tc>
              <w:tc>
                <w:tcPr>
                  <w:tcW w:w="462" w:type="pct"/>
                  <w:vMerge w:val="continue"/>
                  <w:tcBorders>
                    <w:tl2br w:val="nil"/>
                    <w:tr2bl w:val="nil"/>
                  </w:tcBorders>
                </w:tcPr>
                <w:p w14:paraId="249A831F">
                  <w:pPr>
                    <w:adjustRightInd w:val="0"/>
                    <w:snapToGrid w:val="0"/>
                    <w:rPr>
                      <w:rFonts w:asciiTheme="minorEastAsia" w:hAnsiTheme="minorEastAsia" w:eastAsiaTheme="minorEastAsia" w:cstheme="minorEastAsia"/>
                      <w:bCs/>
                      <w:color w:val="auto"/>
                      <w:kern w:val="0"/>
                      <w:sz w:val="24"/>
                    </w:rPr>
                  </w:pPr>
                </w:p>
              </w:tc>
              <w:tc>
                <w:tcPr>
                  <w:tcW w:w="462" w:type="pct"/>
                  <w:tcBorders>
                    <w:tl2br w:val="nil"/>
                    <w:tr2bl w:val="nil"/>
                  </w:tcBorders>
                </w:tcPr>
                <w:p w14:paraId="616530A6">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乳化液</w:t>
                  </w:r>
                </w:p>
              </w:tc>
              <w:tc>
                <w:tcPr>
                  <w:tcW w:w="462" w:type="pct"/>
                  <w:tcBorders>
                    <w:tl2br w:val="nil"/>
                    <w:tr2bl w:val="nil"/>
                  </w:tcBorders>
                  <w:vAlign w:val="center"/>
                </w:tcPr>
                <w:p w14:paraId="79161FD1">
                  <w:pPr>
                    <w:adjustRightInd w:val="0"/>
                    <w:snapToGrid w:val="0"/>
                    <w:jc w:val="center"/>
                    <w:rPr>
                      <w:rFonts w:eastAsiaTheme="minorEastAsia"/>
                      <w:bCs/>
                      <w:color w:val="auto"/>
                      <w:kern w:val="0"/>
                      <w:szCs w:val="21"/>
                    </w:rPr>
                  </w:pPr>
                  <w:r>
                    <w:rPr>
                      <w:rFonts w:hint="eastAsia" w:eastAsiaTheme="minorEastAsia"/>
                      <w:bCs/>
                      <w:color w:val="auto"/>
                      <w:kern w:val="0"/>
                      <w:szCs w:val="21"/>
                    </w:rPr>
                    <w:t>T</w:t>
                  </w:r>
                </w:p>
              </w:tc>
              <w:tc>
                <w:tcPr>
                  <w:tcW w:w="462" w:type="pct"/>
                  <w:tcBorders>
                    <w:tl2br w:val="nil"/>
                    <w:tr2bl w:val="nil"/>
                  </w:tcBorders>
                  <w:vAlign w:val="center"/>
                </w:tcPr>
                <w:p w14:paraId="2A37C8E8">
                  <w:pPr>
                    <w:adjustRightInd w:val="0"/>
                    <w:snapToGrid w:val="0"/>
                    <w:jc w:val="center"/>
                    <w:rPr>
                      <w:rFonts w:eastAsiaTheme="minorEastAsia"/>
                      <w:bCs/>
                      <w:color w:val="auto"/>
                      <w:kern w:val="0"/>
                      <w:szCs w:val="21"/>
                    </w:rPr>
                  </w:pPr>
                  <w:r>
                    <w:rPr>
                      <w:rFonts w:hint="eastAsia" w:eastAsiaTheme="minorEastAsia"/>
                      <w:bCs/>
                      <w:color w:val="auto"/>
                      <w:kern w:val="0"/>
                      <w:szCs w:val="21"/>
                    </w:rPr>
                    <w:t>HW</w:t>
                  </w:r>
                </w:p>
                <w:p w14:paraId="7C29BEE5">
                  <w:pPr>
                    <w:adjustRightInd w:val="0"/>
                    <w:snapToGrid w:val="0"/>
                    <w:jc w:val="center"/>
                    <w:rPr>
                      <w:rFonts w:eastAsiaTheme="minorEastAsia"/>
                      <w:bCs/>
                      <w:color w:val="auto"/>
                      <w:kern w:val="0"/>
                      <w:szCs w:val="21"/>
                    </w:rPr>
                  </w:pPr>
                  <w:r>
                    <w:rPr>
                      <w:rFonts w:hint="eastAsia" w:eastAsiaTheme="minorEastAsia"/>
                      <w:bCs/>
                      <w:color w:val="auto"/>
                      <w:kern w:val="0"/>
                      <w:szCs w:val="21"/>
                    </w:rPr>
                    <w:t>09</w:t>
                  </w:r>
                </w:p>
              </w:tc>
              <w:tc>
                <w:tcPr>
                  <w:tcW w:w="761" w:type="pct"/>
                  <w:tcBorders>
                    <w:tl2br w:val="nil"/>
                    <w:tr2bl w:val="nil"/>
                  </w:tcBorders>
                  <w:vAlign w:val="center"/>
                </w:tcPr>
                <w:p w14:paraId="1F354F49">
                  <w:pPr>
                    <w:adjustRightInd w:val="0"/>
                    <w:snapToGrid w:val="0"/>
                    <w:jc w:val="center"/>
                    <w:rPr>
                      <w:rFonts w:eastAsiaTheme="minorEastAsia"/>
                      <w:bCs/>
                      <w:color w:val="auto"/>
                      <w:kern w:val="0"/>
                      <w:szCs w:val="21"/>
                    </w:rPr>
                  </w:pPr>
                  <w:r>
                    <w:rPr>
                      <w:rFonts w:hint="eastAsia" w:eastAsiaTheme="minorEastAsia"/>
                      <w:bCs/>
                      <w:color w:val="auto"/>
                      <w:kern w:val="0"/>
                      <w:szCs w:val="21"/>
                    </w:rPr>
                    <w:t>900-006-09</w:t>
                  </w:r>
                </w:p>
              </w:tc>
              <w:tc>
                <w:tcPr>
                  <w:tcW w:w="539" w:type="pct"/>
                  <w:tcBorders>
                    <w:tl2br w:val="nil"/>
                    <w:tr2bl w:val="nil"/>
                  </w:tcBorders>
                  <w:vAlign w:val="center"/>
                </w:tcPr>
                <w:p w14:paraId="6380A7FC">
                  <w:pPr>
                    <w:adjustRightInd w:val="0"/>
                    <w:snapToGrid w:val="0"/>
                    <w:jc w:val="center"/>
                    <w:rPr>
                      <w:rFonts w:eastAsiaTheme="minorEastAsia"/>
                      <w:bCs/>
                      <w:color w:val="auto"/>
                      <w:kern w:val="0"/>
                      <w:szCs w:val="21"/>
                    </w:rPr>
                  </w:pPr>
                  <w:r>
                    <w:rPr>
                      <w:rFonts w:hint="eastAsia" w:eastAsiaTheme="minorEastAsia"/>
                      <w:bCs/>
                      <w:color w:val="auto"/>
                      <w:kern w:val="0"/>
                      <w:szCs w:val="21"/>
                    </w:rPr>
                    <w:t>1.2</w:t>
                  </w:r>
                </w:p>
              </w:tc>
              <w:tc>
                <w:tcPr>
                  <w:tcW w:w="462" w:type="pct"/>
                  <w:tcBorders>
                    <w:tl2br w:val="nil"/>
                    <w:tr2bl w:val="nil"/>
                  </w:tcBorders>
                  <w:vAlign w:val="center"/>
                </w:tcPr>
                <w:p w14:paraId="2CA212C7">
                  <w:pPr>
                    <w:adjustRightInd w:val="0"/>
                    <w:snapToGrid w:val="0"/>
                    <w:jc w:val="center"/>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每天</w:t>
                  </w:r>
                </w:p>
              </w:tc>
            </w:tr>
            <w:tr w14:paraId="731DD2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tcBorders>
                    <w:tl2br w:val="nil"/>
                    <w:tr2bl w:val="nil"/>
                  </w:tcBorders>
                  <w:vAlign w:val="center"/>
                </w:tcPr>
                <w:p w14:paraId="5B6CA9D0">
                  <w:pPr>
                    <w:adjustRightInd w:val="0"/>
                    <w:snapToGrid w:val="0"/>
                    <w:jc w:val="center"/>
                    <w:rPr>
                      <w:rFonts w:asciiTheme="minorEastAsia" w:hAnsiTheme="minorEastAsia" w:eastAsiaTheme="minorEastAsia" w:cstheme="minorEastAsia"/>
                      <w:bCs/>
                      <w:color w:val="auto"/>
                      <w:kern w:val="0"/>
                      <w:sz w:val="24"/>
                    </w:rPr>
                  </w:pPr>
                  <w:r>
                    <w:rPr>
                      <w:rFonts w:eastAsiaTheme="minorEastAsia"/>
                      <w:bCs/>
                      <w:color w:val="auto"/>
                      <w:kern w:val="0"/>
                      <w:szCs w:val="21"/>
                    </w:rPr>
                    <w:t>3</w:t>
                  </w:r>
                </w:p>
              </w:tc>
              <w:tc>
                <w:tcPr>
                  <w:tcW w:w="462" w:type="pct"/>
                  <w:tcBorders>
                    <w:tl2br w:val="nil"/>
                    <w:tr2bl w:val="nil"/>
                  </w:tcBorders>
                  <w:vAlign w:val="center"/>
                </w:tcPr>
                <w:p w14:paraId="383D6E6D">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废液压油</w:t>
                  </w:r>
                </w:p>
              </w:tc>
              <w:tc>
                <w:tcPr>
                  <w:tcW w:w="462" w:type="pct"/>
                  <w:tcBorders>
                    <w:tl2br w:val="nil"/>
                    <w:tr2bl w:val="nil"/>
                  </w:tcBorders>
                  <w:vAlign w:val="center"/>
                </w:tcPr>
                <w:p w14:paraId="39551170">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裁剪</w:t>
                  </w:r>
                </w:p>
              </w:tc>
              <w:tc>
                <w:tcPr>
                  <w:tcW w:w="462" w:type="pct"/>
                  <w:vMerge w:val="continue"/>
                  <w:tcBorders>
                    <w:tl2br w:val="nil"/>
                    <w:tr2bl w:val="nil"/>
                  </w:tcBorders>
                </w:tcPr>
                <w:p w14:paraId="6E917FF1">
                  <w:pPr>
                    <w:adjustRightInd w:val="0"/>
                    <w:snapToGrid w:val="0"/>
                    <w:rPr>
                      <w:rFonts w:asciiTheme="minorEastAsia" w:hAnsiTheme="minorEastAsia" w:eastAsiaTheme="minorEastAsia" w:cstheme="minorEastAsia"/>
                      <w:bCs/>
                      <w:color w:val="auto"/>
                      <w:kern w:val="0"/>
                      <w:sz w:val="24"/>
                    </w:rPr>
                  </w:pPr>
                </w:p>
              </w:tc>
              <w:tc>
                <w:tcPr>
                  <w:tcW w:w="462" w:type="pct"/>
                  <w:tcBorders>
                    <w:tl2br w:val="nil"/>
                    <w:tr2bl w:val="nil"/>
                  </w:tcBorders>
                </w:tcPr>
                <w:p w14:paraId="6EF14628">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液压油</w:t>
                  </w:r>
                </w:p>
              </w:tc>
              <w:tc>
                <w:tcPr>
                  <w:tcW w:w="462" w:type="pct"/>
                  <w:tcBorders>
                    <w:tl2br w:val="nil"/>
                    <w:tr2bl w:val="nil"/>
                  </w:tcBorders>
                  <w:vAlign w:val="center"/>
                </w:tcPr>
                <w:p w14:paraId="1531F186">
                  <w:pPr>
                    <w:adjustRightInd w:val="0"/>
                    <w:snapToGrid w:val="0"/>
                    <w:jc w:val="center"/>
                    <w:rPr>
                      <w:rFonts w:eastAsiaTheme="minorEastAsia"/>
                      <w:bCs/>
                      <w:color w:val="auto"/>
                      <w:kern w:val="0"/>
                      <w:szCs w:val="21"/>
                    </w:rPr>
                  </w:pPr>
                  <w:r>
                    <w:rPr>
                      <w:rFonts w:hint="eastAsia" w:eastAsiaTheme="minorEastAsia"/>
                      <w:bCs/>
                      <w:color w:val="auto"/>
                      <w:kern w:val="0"/>
                      <w:szCs w:val="21"/>
                    </w:rPr>
                    <w:t>T,I</w:t>
                  </w:r>
                </w:p>
              </w:tc>
              <w:tc>
                <w:tcPr>
                  <w:tcW w:w="462" w:type="pct"/>
                  <w:tcBorders>
                    <w:tl2br w:val="nil"/>
                    <w:tr2bl w:val="nil"/>
                  </w:tcBorders>
                  <w:vAlign w:val="center"/>
                </w:tcPr>
                <w:p w14:paraId="16742984">
                  <w:pPr>
                    <w:adjustRightInd w:val="0"/>
                    <w:snapToGrid w:val="0"/>
                    <w:jc w:val="center"/>
                    <w:rPr>
                      <w:rFonts w:eastAsiaTheme="minorEastAsia"/>
                      <w:bCs/>
                      <w:color w:val="auto"/>
                      <w:kern w:val="0"/>
                      <w:szCs w:val="21"/>
                    </w:rPr>
                  </w:pPr>
                  <w:r>
                    <w:rPr>
                      <w:rFonts w:hint="eastAsia" w:eastAsiaTheme="minorEastAsia"/>
                      <w:bCs/>
                      <w:color w:val="auto"/>
                      <w:kern w:val="0"/>
                      <w:szCs w:val="21"/>
                    </w:rPr>
                    <w:t>HW</w:t>
                  </w:r>
                </w:p>
                <w:p w14:paraId="5B81FFFC">
                  <w:pPr>
                    <w:adjustRightInd w:val="0"/>
                    <w:snapToGrid w:val="0"/>
                    <w:jc w:val="center"/>
                    <w:rPr>
                      <w:rFonts w:eastAsiaTheme="minorEastAsia"/>
                      <w:bCs/>
                      <w:color w:val="auto"/>
                      <w:kern w:val="0"/>
                      <w:szCs w:val="21"/>
                    </w:rPr>
                  </w:pPr>
                  <w:r>
                    <w:rPr>
                      <w:rFonts w:hint="eastAsia" w:eastAsiaTheme="minorEastAsia"/>
                      <w:bCs/>
                      <w:color w:val="auto"/>
                      <w:kern w:val="0"/>
                      <w:szCs w:val="21"/>
                    </w:rPr>
                    <w:t>08</w:t>
                  </w:r>
                </w:p>
              </w:tc>
              <w:tc>
                <w:tcPr>
                  <w:tcW w:w="761" w:type="pct"/>
                  <w:tcBorders>
                    <w:tl2br w:val="nil"/>
                    <w:tr2bl w:val="nil"/>
                  </w:tcBorders>
                  <w:vAlign w:val="center"/>
                </w:tcPr>
                <w:p w14:paraId="65ED16BD">
                  <w:pPr>
                    <w:adjustRightInd w:val="0"/>
                    <w:snapToGrid w:val="0"/>
                    <w:jc w:val="center"/>
                    <w:rPr>
                      <w:rFonts w:eastAsiaTheme="minorEastAsia"/>
                      <w:bCs/>
                      <w:color w:val="auto"/>
                      <w:kern w:val="0"/>
                      <w:szCs w:val="21"/>
                    </w:rPr>
                  </w:pPr>
                  <w:r>
                    <w:rPr>
                      <w:rFonts w:hint="eastAsia" w:eastAsiaTheme="minorEastAsia"/>
                      <w:bCs/>
                      <w:color w:val="auto"/>
                      <w:kern w:val="0"/>
                      <w:szCs w:val="21"/>
                    </w:rPr>
                    <w:t>900-218-08</w:t>
                  </w:r>
                </w:p>
              </w:tc>
              <w:tc>
                <w:tcPr>
                  <w:tcW w:w="539" w:type="pct"/>
                  <w:tcBorders>
                    <w:tl2br w:val="nil"/>
                    <w:tr2bl w:val="nil"/>
                  </w:tcBorders>
                  <w:vAlign w:val="center"/>
                </w:tcPr>
                <w:p w14:paraId="62D173D9">
                  <w:pPr>
                    <w:adjustRightInd w:val="0"/>
                    <w:snapToGrid w:val="0"/>
                    <w:jc w:val="center"/>
                    <w:rPr>
                      <w:rFonts w:asciiTheme="minorEastAsia" w:hAnsiTheme="minorEastAsia" w:eastAsiaTheme="minorEastAsia" w:cstheme="minorEastAsia"/>
                      <w:bCs/>
                      <w:color w:val="auto"/>
                      <w:kern w:val="0"/>
                      <w:sz w:val="24"/>
                    </w:rPr>
                  </w:pPr>
                  <w:r>
                    <w:rPr>
                      <w:rFonts w:eastAsiaTheme="minorEastAsia"/>
                      <w:bCs/>
                      <w:color w:val="auto"/>
                      <w:kern w:val="0"/>
                      <w:szCs w:val="21"/>
                    </w:rPr>
                    <w:t>0.02</w:t>
                  </w:r>
                </w:p>
              </w:tc>
              <w:tc>
                <w:tcPr>
                  <w:tcW w:w="462" w:type="pct"/>
                  <w:tcBorders>
                    <w:tl2br w:val="nil"/>
                    <w:tr2bl w:val="nil"/>
                  </w:tcBorders>
                  <w:vAlign w:val="center"/>
                </w:tcPr>
                <w:p w14:paraId="75391B0C">
                  <w:pPr>
                    <w:adjustRightInd w:val="0"/>
                    <w:snapToGrid w:val="0"/>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每月</w:t>
                  </w:r>
                </w:p>
              </w:tc>
            </w:tr>
          </w:tbl>
          <w:p w14:paraId="13AA9229">
            <w:pPr>
              <w:adjustRightInd w:val="0"/>
              <w:snapToGrid w:val="0"/>
              <w:spacing w:line="360" w:lineRule="auto"/>
              <w:ind w:firstLine="480" w:firstLineChars="200"/>
              <w:rPr>
                <w:bCs/>
                <w:color w:val="auto"/>
                <w:kern w:val="0"/>
                <w:sz w:val="24"/>
              </w:rPr>
            </w:pPr>
          </w:p>
          <w:p w14:paraId="73C4B7A6">
            <w:pPr>
              <w:adjustRightInd w:val="0"/>
              <w:snapToGrid w:val="0"/>
              <w:spacing w:line="360" w:lineRule="auto"/>
              <w:ind w:firstLine="482" w:firstLineChars="200"/>
              <w:rPr>
                <w:rFonts w:ascii="宋体" w:hAnsi="宋体" w:cs="宋体"/>
                <w:b/>
                <w:bCs/>
                <w:color w:val="auto"/>
                <w:sz w:val="24"/>
                <w:lang w:bidi="ar"/>
              </w:rPr>
            </w:pPr>
            <w:r>
              <w:rPr>
                <w:rFonts w:hint="eastAsia" w:ascii="宋体" w:hAnsi="宋体" w:cs="宋体"/>
                <w:b/>
                <w:bCs/>
                <w:color w:val="auto"/>
                <w:sz w:val="24"/>
                <w:lang w:bidi="ar"/>
              </w:rPr>
              <w:t>4.2项目固体废物处置对策及影响分析</w:t>
            </w:r>
          </w:p>
          <w:p w14:paraId="0DCDC56E">
            <w:pPr>
              <w:adjustRightInd w:val="0"/>
              <w:spacing w:line="360" w:lineRule="auto"/>
              <w:ind w:firstLine="482"/>
              <w:rPr>
                <w:rFonts w:ascii="宋体" w:hAnsi="宋体" w:cs="宋体"/>
                <w:bCs/>
                <w:color w:val="auto"/>
                <w:sz w:val="24"/>
                <w:lang w:bidi="ar"/>
              </w:rPr>
            </w:pPr>
            <w:r>
              <w:rPr>
                <w:rFonts w:hint="eastAsia" w:ascii="宋体" w:hAnsi="宋体" w:cs="宋体"/>
                <w:bCs/>
                <w:color w:val="auto"/>
                <w:sz w:val="24"/>
                <w:lang w:bidi="ar"/>
              </w:rPr>
              <w:t xml:space="preserve">根据上述固体废物源强分析，项目固废主要为炉渣、脱模剂外包装、废边角料、废金属模具、残次品、废机油、废乳化液、废液压油、除尘灰及员工产生的生活垃圾。 </w:t>
            </w:r>
          </w:p>
          <w:p w14:paraId="00D27CE3">
            <w:pPr>
              <w:adjustRightInd w:val="0"/>
              <w:spacing w:line="360" w:lineRule="auto"/>
              <w:ind w:firstLine="482"/>
              <w:rPr>
                <w:rFonts w:ascii="宋体" w:hAnsi="宋体" w:cs="宋体"/>
                <w:b/>
                <w:bCs/>
                <w:color w:val="auto"/>
                <w:sz w:val="24"/>
                <w:lang w:bidi="ar"/>
              </w:rPr>
            </w:pPr>
            <w:r>
              <w:rPr>
                <w:rFonts w:hint="eastAsia" w:ascii="宋体" w:hAnsi="宋体" w:cs="宋体"/>
                <w:bCs/>
                <w:color w:val="auto"/>
                <w:sz w:val="24"/>
                <w:lang w:bidi="ar"/>
              </w:rPr>
              <w:t>炉渣由建设单位收集后综合利用；废金属模具由厂家回收，以旧换新；废乳化液、废机油、废液压油经收集后</w:t>
            </w:r>
            <w:r>
              <w:rPr>
                <w:rFonts w:hint="eastAsia" w:ascii="宋体" w:hAnsi="宋体" w:cs="宋体"/>
                <w:bCs/>
                <w:color w:val="auto"/>
                <w:sz w:val="24"/>
                <w:lang w:val="en-US" w:eastAsia="zh-CN" w:bidi="ar"/>
              </w:rPr>
              <w:t>暂存于危废间，定期</w:t>
            </w:r>
            <w:r>
              <w:rPr>
                <w:rFonts w:hint="eastAsia" w:ascii="宋体" w:hAnsi="宋体" w:cs="宋体"/>
                <w:bCs/>
                <w:color w:val="auto"/>
                <w:sz w:val="24"/>
                <w:lang w:bidi="ar"/>
              </w:rPr>
              <w:t>委托</w:t>
            </w:r>
            <w:r>
              <w:rPr>
                <w:rFonts w:hint="eastAsia" w:ascii="宋体" w:hAnsi="宋体" w:cs="宋体"/>
                <w:bCs/>
                <w:color w:val="auto"/>
                <w:sz w:val="24"/>
                <w:lang w:val="en-US" w:eastAsia="zh-CN" w:bidi="ar"/>
              </w:rPr>
              <w:t>有</w:t>
            </w:r>
            <w:r>
              <w:rPr>
                <w:rFonts w:hint="eastAsia" w:ascii="宋体" w:hAnsi="宋体" w:cs="宋体"/>
                <w:bCs/>
                <w:color w:val="auto"/>
                <w:sz w:val="24"/>
                <w:lang w:bidi="ar"/>
              </w:rPr>
              <w:t>资质单位</w:t>
            </w:r>
            <w:r>
              <w:rPr>
                <w:rFonts w:hint="eastAsia" w:ascii="宋体" w:hAnsi="宋体" w:cs="宋体"/>
                <w:bCs/>
                <w:color w:val="auto"/>
                <w:sz w:val="24"/>
                <w:lang w:val="en-US" w:eastAsia="zh-CN" w:bidi="ar"/>
              </w:rPr>
              <w:t>处置</w:t>
            </w:r>
            <w:r>
              <w:rPr>
                <w:rFonts w:hint="eastAsia" w:ascii="宋体" w:hAnsi="宋体" w:cs="宋体"/>
                <w:bCs/>
                <w:color w:val="auto"/>
                <w:sz w:val="24"/>
                <w:lang w:bidi="ar"/>
              </w:rPr>
              <w:t>；废边角料、残次品及除尘灰收集回用；脱模剂外包装</w:t>
            </w:r>
            <w:r>
              <w:rPr>
                <w:rFonts w:hint="eastAsia" w:ascii="宋体" w:hAnsi="宋体" w:cs="宋体"/>
                <w:bCs/>
                <w:color w:val="auto"/>
                <w:sz w:val="24"/>
                <w:lang w:val="en-US" w:eastAsia="zh-CN" w:bidi="ar"/>
              </w:rPr>
              <w:t>由废品回收站处理；</w:t>
            </w:r>
            <w:r>
              <w:rPr>
                <w:rFonts w:hint="eastAsia" w:ascii="宋体" w:hAnsi="宋体" w:cs="宋体"/>
                <w:bCs/>
                <w:color w:val="auto"/>
                <w:sz w:val="24"/>
                <w:lang w:bidi="ar"/>
              </w:rPr>
              <w:t>生活垃圾由环卫每日清运。对产生的各类固废按其性质分类分区收集和暂存，并均能得到有效利用或妥善处置。在严格管理下，本项目的固体废物对周围环境不会产生二次污染。</w:t>
            </w:r>
          </w:p>
          <w:p w14:paraId="780B2372">
            <w:pPr>
              <w:adjustRightInd w:val="0"/>
              <w:spacing w:line="360" w:lineRule="auto"/>
              <w:ind w:firstLine="482"/>
              <w:rPr>
                <w:rFonts w:ascii="宋体" w:hAnsi="宋体" w:cs="宋体"/>
                <w:bCs/>
                <w:color w:val="auto"/>
                <w:sz w:val="24"/>
              </w:rPr>
            </w:pPr>
            <w:r>
              <w:rPr>
                <w:rFonts w:hint="eastAsia" w:ascii="宋体" w:hAnsi="宋体" w:cs="宋体"/>
                <w:bCs/>
                <w:color w:val="auto"/>
                <w:sz w:val="24"/>
                <w:lang w:bidi="ar"/>
              </w:rPr>
              <w:t>（1）一般工业固废污染防治措施</w:t>
            </w:r>
          </w:p>
          <w:p w14:paraId="5E7E4BF9">
            <w:pPr>
              <w:adjustRightInd w:val="0"/>
              <w:spacing w:line="360" w:lineRule="auto"/>
              <w:ind w:firstLine="482"/>
              <w:rPr>
                <w:rFonts w:ascii="宋体" w:hAnsi="宋体" w:cs="宋体"/>
                <w:bCs/>
                <w:color w:val="auto"/>
                <w:sz w:val="24"/>
              </w:rPr>
            </w:pPr>
            <w:r>
              <w:rPr>
                <w:rFonts w:hint="eastAsia" w:ascii="宋体" w:hAnsi="宋体" w:cs="宋体"/>
                <w:bCs/>
                <w:color w:val="auto"/>
                <w:sz w:val="24"/>
                <w:lang w:bidi="ar"/>
              </w:rPr>
              <w:t>①要按照《一般工业固体废物贮存和填埋污染控制标准》（GB18599-2020）中规定其贮存过程应满足相应防渗漏、防雨淋、防扬尘等环境保护要求。</w:t>
            </w:r>
          </w:p>
          <w:p w14:paraId="34ADD24C">
            <w:pPr>
              <w:adjustRightInd w:val="0"/>
              <w:spacing w:line="360" w:lineRule="auto"/>
              <w:ind w:firstLine="482"/>
              <w:rPr>
                <w:rFonts w:ascii="宋体" w:hAnsi="宋体" w:cs="宋体"/>
                <w:bCs/>
                <w:color w:val="auto"/>
                <w:sz w:val="24"/>
              </w:rPr>
            </w:pPr>
            <w:r>
              <w:rPr>
                <w:rFonts w:hint="eastAsia" w:ascii="宋体" w:hAnsi="宋体" w:cs="宋体"/>
                <w:bCs/>
                <w:color w:val="auto"/>
                <w:sz w:val="24"/>
                <w:lang w:bidi="ar"/>
              </w:rPr>
              <w:t>②按照《中华人民共和国固体废物污染环境防治法》有关规定设置暂存场所。</w:t>
            </w:r>
          </w:p>
          <w:p w14:paraId="64196A97">
            <w:pPr>
              <w:adjustRightInd w:val="0"/>
              <w:spacing w:line="360" w:lineRule="auto"/>
              <w:ind w:firstLine="482"/>
              <w:rPr>
                <w:rFonts w:ascii="宋体" w:hAnsi="宋体" w:cs="宋体"/>
                <w:bCs/>
                <w:color w:val="auto"/>
                <w:sz w:val="24"/>
              </w:rPr>
            </w:pPr>
            <w:r>
              <w:rPr>
                <w:rFonts w:hint="eastAsia" w:ascii="宋体" w:hAnsi="宋体" w:cs="宋体"/>
                <w:bCs/>
                <w:color w:val="auto"/>
                <w:sz w:val="24"/>
                <w:lang w:bidi="ar"/>
              </w:rPr>
              <w:t>（2）生活垃圾污染防治措施</w:t>
            </w:r>
          </w:p>
          <w:p w14:paraId="1256D76D">
            <w:pPr>
              <w:spacing w:line="360" w:lineRule="auto"/>
              <w:ind w:firstLine="480" w:firstLineChars="200"/>
              <w:outlineLvl w:val="2"/>
              <w:rPr>
                <w:rFonts w:ascii="宋体" w:hAnsi="宋体" w:cs="宋体"/>
                <w:bCs/>
                <w:color w:val="auto"/>
                <w:sz w:val="24"/>
                <w:lang w:bidi="ar"/>
              </w:rPr>
            </w:pPr>
            <w:r>
              <w:rPr>
                <w:rFonts w:hint="eastAsia" w:ascii="宋体" w:hAnsi="宋体" w:cs="宋体"/>
                <w:bCs/>
                <w:color w:val="auto"/>
                <w:sz w:val="24"/>
                <w:lang w:bidi="ar"/>
              </w:rPr>
              <w:t>对于生活垃圾，每天将其先集中至生活垃圾收集点，当天由当地环卫部门及时清运，日产日清，纳入城市生活垃圾处理系统进行集中处置。</w:t>
            </w:r>
          </w:p>
          <w:p w14:paraId="446A54FB">
            <w:pPr>
              <w:numPr>
                <w:ilvl w:val="0"/>
                <w:numId w:val="7"/>
              </w:numPr>
              <w:spacing w:line="360" w:lineRule="auto"/>
              <w:ind w:firstLine="480" w:firstLineChars="200"/>
              <w:outlineLvl w:val="2"/>
              <w:rPr>
                <w:rFonts w:ascii="宋体" w:hAnsi="宋体" w:cs="宋体"/>
                <w:bCs/>
                <w:color w:val="auto"/>
                <w:sz w:val="24"/>
                <w:lang w:bidi="ar"/>
              </w:rPr>
            </w:pPr>
            <w:r>
              <w:rPr>
                <w:rFonts w:hint="eastAsia" w:ascii="宋体" w:hAnsi="宋体" w:cs="宋体"/>
                <w:bCs/>
                <w:color w:val="auto"/>
                <w:sz w:val="24"/>
                <w:lang w:bidi="ar"/>
              </w:rPr>
              <w:t>危险废物污染防治措施</w:t>
            </w:r>
          </w:p>
          <w:p w14:paraId="30ED5F08">
            <w:pPr>
              <w:adjustRightInd w:val="0"/>
              <w:spacing w:line="360" w:lineRule="auto"/>
              <w:ind w:firstLine="482"/>
              <w:rPr>
                <w:rFonts w:ascii="宋体" w:hAnsi="宋体" w:cs="宋体"/>
                <w:bCs/>
                <w:color w:val="auto"/>
                <w:sz w:val="24"/>
                <w:lang w:bidi="ar"/>
              </w:rPr>
            </w:pPr>
            <w:r>
              <w:rPr>
                <w:rFonts w:hint="eastAsia" w:ascii="宋体" w:hAnsi="宋体" w:cs="宋体"/>
                <w:bCs/>
                <w:color w:val="auto"/>
                <w:sz w:val="24"/>
                <w:lang w:bidi="ar"/>
              </w:rPr>
              <w:t>本项目在厂区内建设一个</w:t>
            </w:r>
            <w:r>
              <w:rPr>
                <w:rFonts w:hint="default" w:ascii="Times New Roman" w:hAnsi="Times New Roman" w:cs="Times New Roman"/>
                <w:bCs/>
                <w:color w:val="auto"/>
                <w:sz w:val="24"/>
                <w:lang w:bidi="ar"/>
              </w:rPr>
              <w:t xml:space="preserve"> 20m</w:t>
            </w:r>
            <w:r>
              <w:rPr>
                <w:rFonts w:hint="default" w:ascii="Times New Roman" w:hAnsi="Times New Roman" w:cs="Times New Roman"/>
                <w:bCs/>
                <w:color w:val="auto"/>
                <w:sz w:val="24"/>
                <w:vertAlign w:val="superscript"/>
                <w:lang w:bidi="ar"/>
              </w:rPr>
              <w:t>2</w:t>
            </w:r>
            <w:r>
              <w:rPr>
                <w:rFonts w:hint="default" w:ascii="Times New Roman" w:hAnsi="Times New Roman" w:cs="Times New Roman"/>
                <w:bCs/>
                <w:color w:val="auto"/>
                <w:sz w:val="24"/>
                <w:lang w:bidi="ar"/>
              </w:rPr>
              <w:t xml:space="preserve"> </w:t>
            </w:r>
            <w:r>
              <w:rPr>
                <w:rFonts w:hint="eastAsia" w:ascii="宋体" w:hAnsi="宋体" w:cs="宋体"/>
                <w:bCs/>
                <w:color w:val="auto"/>
                <w:sz w:val="24"/>
                <w:lang w:bidi="ar"/>
              </w:rPr>
              <w:t>的危险废物贮存场所。贮存场所拟按照《危险废物贮存污染控制标准》（</w:t>
            </w:r>
            <w:r>
              <w:rPr>
                <w:rFonts w:ascii="宋体" w:hAnsi="宋体" w:cs="宋体"/>
                <w:bCs/>
                <w:color w:val="auto"/>
                <w:sz w:val="24"/>
                <w:lang w:bidi="ar"/>
              </w:rPr>
              <w:t>GB18597-20</w:t>
            </w:r>
            <w:r>
              <w:rPr>
                <w:rFonts w:hint="eastAsia" w:ascii="宋体" w:hAnsi="宋体" w:cs="宋体"/>
                <w:bCs/>
                <w:color w:val="auto"/>
                <w:sz w:val="24"/>
                <w:lang w:bidi="ar"/>
              </w:rPr>
              <w:t xml:space="preserve">23）及其修改单的相关要求建设，建设项目危废分类存放、贮存，不相容的危险废物除分类存放，还应设置隔离间隔断。 </w:t>
            </w:r>
          </w:p>
          <w:p w14:paraId="2978608B">
            <w:pPr>
              <w:adjustRightInd w:val="0"/>
              <w:spacing w:line="360" w:lineRule="auto"/>
              <w:ind w:firstLine="482"/>
              <w:rPr>
                <w:rFonts w:ascii="宋体" w:hAnsi="宋体" w:cs="宋体"/>
                <w:bCs/>
                <w:color w:val="auto"/>
                <w:sz w:val="24"/>
                <w:lang w:bidi="ar"/>
              </w:rPr>
            </w:pPr>
            <w:r>
              <w:rPr>
                <w:rFonts w:hint="eastAsia" w:ascii="宋体" w:hAnsi="宋体" w:cs="宋体"/>
                <w:bCs/>
                <w:color w:val="auto"/>
                <w:sz w:val="24"/>
                <w:lang w:bidi="ar"/>
              </w:rPr>
              <w:t>①产生、收集、贮存、利用、处置危险废物的单位应建造危险废物贮存设施或设置贮存场所，并根据需要选择贮存设施类型。</w:t>
            </w:r>
          </w:p>
          <w:p w14:paraId="74A4B76F">
            <w:pPr>
              <w:adjustRightInd w:val="0"/>
              <w:spacing w:line="360" w:lineRule="auto"/>
              <w:ind w:firstLine="482"/>
              <w:rPr>
                <w:rFonts w:ascii="宋体" w:hAnsi="宋体" w:cs="宋体"/>
                <w:bCs/>
                <w:color w:val="auto"/>
                <w:sz w:val="24"/>
                <w:lang w:bidi="ar"/>
              </w:rPr>
            </w:pPr>
            <w:r>
              <w:rPr>
                <w:rFonts w:hint="eastAsia" w:ascii="宋体" w:hAnsi="宋体" w:cs="宋体"/>
                <w:bCs/>
                <w:color w:val="auto"/>
                <w:sz w:val="24"/>
                <w:lang w:bidi="ar"/>
              </w:rPr>
              <w:t>②贮存危险废物应根据危险废物的类别、数量、形态、物理化学性质和环境风险等因素，确定贮存设施或场所类型和规模。</w:t>
            </w:r>
          </w:p>
          <w:p w14:paraId="6BAEAE39">
            <w:pPr>
              <w:adjustRightInd w:val="0"/>
              <w:spacing w:line="360" w:lineRule="auto"/>
              <w:ind w:firstLine="482"/>
              <w:rPr>
                <w:rFonts w:ascii="宋体" w:hAnsi="宋体" w:cs="宋体"/>
                <w:bCs/>
                <w:color w:val="auto"/>
                <w:sz w:val="24"/>
                <w:lang w:bidi="ar"/>
              </w:rPr>
            </w:pPr>
            <w:r>
              <w:rPr>
                <w:rFonts w:hint="eastAsia" w:ascii="宋体" w:hAnsi="宋体" w:cs="宋体"/>
                <w:bCs/>
                <w:color w:val="auto"/>
                <w:sz w:val="24"/>
                <w:lang w:bidi="ar"/>
              </w:rPr>
              <w:t>③贮存危险废物应根据危险废物的类别、形态、物理化学性质和污染防治要求进行分类贮存，且应避免危险废物与不相容的物质或材料接触。</w:t>
            </w:r>
          </w:p>
          <w:p w14:paraId="4C73596F">
            <w:pPr>
              <w:adjustRightInd w:val="0"/>
              <w:spacing w:line="360" w:lineRule="auto"/>
              <w:ind w:firstLine="482"/>
              <w:rPr>
                <w:rFonts w:ascii="宋体" w:hAnsi="宋体" w:cs="宋体"/>
                <w:bCs/>
                <w:color w:val="auto"/>
                <w:sz w:val="24"/>
                <w:lang w:bidi="ar"/>
              </w:rPr>
            </w:pPr>
            <w:r>
              <w:rPr>
                <w:rFonts w:hint="eastAsia" w:ascii="宋体" w:hAnsi="宋体" w:cs="宋体"/>
                <w:bCs/>
                <w:color w:val="auto"/>
                <w:sz w:val="24"/>
                <w:lang w:bidi="ar"/>
              </w:rPr>
              <w:t>④贮存危险废物应根据危险废物的形态、物理化学性质、包装形式和污染物迁移途径，采取措施减少渗滤液及其衍生废物、渗漏的液态废物（简称渗漏液）、粉尘、VOCs、酸雾、有毒有害大气污染物和刺激性气味气体等污染物的产生，防止其污染环境。</w:t>
            </w:r>
          </w:p>
          <w:p w14:paraId="7382C815">
            <w:pPr>
              <w:adjustRightInd w:val="0"/>
              <w:spacing w:line="360" w:lineRule="auto"/>
              <w:ind w:firstLine="482"/>
              <w:rPr>
                <w:rFonts w:ascii="宋体" w:hAnsi="宋体" w:cs="宋体"/>
                <w:bCs/>
                <w:color w:val="auto"/>
                <w:sz w:val="24"/>
                <w:lang w:bidi="ar"/>
              </w:rPr>
            </w:pPr>
            <w:r>
              <w:rPr>
                <w:rFonts w:hint="eastAsia" w:ascii="宋体" w:hAnsi="宋体" w:cs="宋体"/>
                <w:bCs/>
                <w:color w:val="auto"/>
                <w:sz w:val="24"/>
                <w:lang w:bidi="ar"/>
              </w:rPr>
              <w:t>⑤危险废物贮存过程产生的液态废物和固态废物应分类收集，按其环境管理要求妥善处理。</w:t>
            </w:r>
          </w:p>
          <w:p w14:paraId="60736A19">
            <w:pPr>
              <w:adjustRightInd w:val="0"/>
              <w:spacing w:line="360" w:lineRule="auto"/>
              <w:ind w:firstLine="482"/>
              <w:rPr>
                <w:rFonts w:ascii="宋体" w:hAnsi="宋体" w:cs="宋体"/>
                <w:bCs/>
                <w:color w:val="auto"/>
                <w:sz w:val="24"/>
                <w:lang w:bidi="ar"/>
              </w:rPr>
            </w:pPr>
            <w:r>
              <w:rPr>
                <w:rFonts w:hint="eastAsia" w:ascii="宋体" w:hAnsi="宋体" w:cs="宋体"/>
                <w:bCs/>
                <w:color w:val="auto"/>
                <w:sz w:val="24"/>
                <w:lang w:bidi="ar"/>
              </w:rPr>
              <w:t>⑥贮存设施或场所、容器和包装物应按 HJ 1276 要求设置危险废物贮存设施或场所标志、危险废物贮存分区标志和危险废物标签等危险废物识别标志。</w:t>
            </w:r>
          </w:p>
          <w:p w14:paraId="7C27A252">
            <w:pPr>
              <w:adjustRightInd w:val="0"/>
              <w:spacing w:line="360" w:lineRule="auto"/>
              <w:ind w:firstLine="482"/>
              <w:rPr>
                <w:rFonts w:ascii="宋体" w:hAnsi="宋体" w:cs="宋体"/>
                <w:bCs/>
                <w:color w:val="auto"/>
                <w:sz w:val="24"/>
                <w:lang w:bidi="ar"/>
              </w:rPr>
            </w:pPr>
            <w:r>
              <w:rPr>
                <w:rFonts w:hint="eastAsia" w:ascii="宋体" w:hAnsi="宋体" w:cs="宋体"/>
                <w:bCs/>
                <w:color w:val="auto"/>
                <w:sz w:val="24"/>
                <w:lang w:bidi="ar"/>
              </w:rPr>
              <w:t>⑦贮存设施退役时，所有者或运营者应依法履行环境保护责任，退役前应妥善处理处置贮存设施内剩余的危险废物，并对贮存设施进行清理，消除污染；还应依据土壤污染防治相关法律法规履行场地环境风险防控责任。</w:t>
            </w:r>
          </w:p>
          <w:p w14:paraId="24686064">
            <w:pPr>
              <w:adjustRightInd w:val="0"/>
              <w:spacing w:line="360" w:lineRule="auto"/>
              <w:ind w:firstLine="482"/>
              <w:rPr>
                <w:rFonts w:ascii="宋体" w:hAnsi="宋体" w:cs="宋体"/>
                <w:bCs/>
                <w:color w:val="auto"/>
                <w:sz w:val="24"/>
                <w:lang w:bidi="ar"/>
              </w:rPr>
            </w:pPr>
            <w:r>
              <w:rPr>
                <w:rFonts w:hint="eastAsia" w:ascii="宋体" w:hAnsi="宋体" w:cs="宋体"/>
                <w:bCs/>
                <w:color w:val="auto"/>
                <w:sz w:val="24"/>
                <w:lang w:bidi="ar"/>
              </w:rPr>
              <w:t>⑧危险废物贮存除应满足环境保护相关要求外，还应执行国家安全生产、职业健康、交通运输、消防等法律法规和标准的相关要求。</w:t>
            </w:r>
          </w:p>
          <w:p w14:paraId="2F8F0A82">
            <w:pPr>
              <w:adjustRightInd w:val="0"/>
              <w:spacing w:line="360" w:lineRule="auto"/>
              <w:ind w:firstLine="482"/>
              <w:rPr>
                <w:rFonts w:ascii="宋体" w:hAnsi="宋体" w:cs="宋体"/>
                <w:b/>
                <w:color w:val="auto"/>
                <w:szCs w:val="21"/>
              </w:rPr>
            </w:pPr>
            <w:r>
              <w:rPr>
                <w:rFonts w:hint="eastAsia" w:ascii="宋体" w:hAnsi="宋体" w:cs="宋体"/>
                <w:bCs/>
                <w:color w:val="auto"/>
                <w:sz w:val="24"/>
                <w:lang w:bidi="ar"/>
              </w:rPr>
              <w:t>本项目固废产生和处置情况见表</w:t>
            </w:r>
            <w:r>
              <w:rPr>
                <w:rFonts w:hint="default" w:ascii="Times New Roman" w:hAnsi="Times New Roman" w:cs="Times New Roman"/>
                <w:bCs/>
                <w:color w:val="auto"/>
                <w:sz w:val="24"/>
                <w:lang w:bidi="ar"/>
              </w:rPr>
              <w:t>4-17</w:t>
            </w:r>
            <w:r>
              <w:rPr>
                <w:rFonts w:hint="eastAsia" w:ascii="宋体" w:hAnsi="宋体" w:cs="宋体"/>
                <w:bCs/>
                <w:color w:val="auto"/>
                <w:sz w:val="24"/>
                <w:lang w:bidi="ar"/>
              </w:rPr>
              <w:t>。</w:t>
            </w:r>
          </w:p>
          <w:p w14:paraId="6F032FCB">
            <w:pPr>
              <w:adjustRightInd w:val="0"/>
              <w:spacing w:line="360" w:lineRule="auto"/>
              <w:ind w:firstLine="482"/>
              <w:jc w:val="center"/>
              <w:rPr>
                <w:rFonts w:ascii="宋体" w:hAnsi="宋体" w:cs="宋体"/>
                <w:bCs/>
                <w:color w:val="auto"/>
                <w:sz w:val="24"/>
                <w:lang w:bidi="ar"/>
              </w:rPr>
            </w:pPr>
            <w:r>
              <w:rPr>
                <w:rFonts w:hint="eastAsia" w:ascii="宋体" w:hAnsi="宋体" w:cs="宋体"/>
                <w:b/>
                <w:color w:val="auto"/>
                <w:szCs w:val="21"/>
              </w:rPr>
              <w:t>表4-17  本项目固体废物产生及处置情况</w:t>
            </w:r>
          </w:p>
          <w:tbl>
            <w:tblPr>
              <w:tblStyle w:val="25"/>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719"/>
              <w:gridCol w:w="719"/>
              <w:gridCol w:w="719"/>
              <w:gridCol w:w="719"/>
              <w:gridCol w:w="719"/>
              <w:gridCol w:w="723"/>
              <w:gridCol w:w="1315"/>
              <w:gridCol w:w="953"/>
              <w:gridCol w:w="720"/>
            </w:tblGrid>
            <w:tr w14:paraId="6E9549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447" w:type="pct"/>
                  <w:tcBorders>
                    <w:tl2br w:val="nil"/>
                    <w:tr2bl w:val="nil"/>
                  </w:tcBorders>
                  <w:vAlign w:val="center"/>
                </w:tcPr>
                <w:p w14:paraId="66AF876B">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序号</w:t>
                  </w:r>
                </w:p>
              </w:tc>
              <w:tc>
                <w:tcPr>
                  <w:tcW w:w="448" w:type="pct"/>
                  <w:tcBorders>
                    <w:tl2br w:val="nil"/>
                    <w:tr2bl w:val="nil"/>
                  </w:tcBorders>
                  <w:vAlign w:val="center"/>
                </w:tcPr>
                <w:p w14:paraId="27975121">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固废名称</w:t>
                  </w:r>
                </w:p>
              </w:tc>
              <w:tc>
                <w:tcPr>
                  <w:tcW w:w="448" w:type="pct"/>
                  <w:tcBorders>
                    <w:tl2br w:val="nil"/>
                    <w:tr2bl w:val="nil"/>
                  </w:tcBorders>
                  <w:vAlign w:val="center"/>
                </w:tcPr>
                <w:p w14:paraId="156016E5">
                  <w:pPr>
                    <w:adjustRightInd w:val="0"/>
                    <w:snapToGrid w:val="0"/>
                    <w:rPr>
                      <w:rFonts w:asciiTheme="minorEastAsia" w:hAnsiTheme="minorEastAsia" w:eastAsiaTheme="minorEastAsia" w:cstheme="minorEastAsia"/>
                      <w:bCs/>
                      <w:color w:val="auto"/>
                      <w:kern w:val="0"/>
                      <w:sz w:val="24"/>
                    </w:rPr>
                  </w:pPr>
                  <w:r>
                    <w:rPr>
                      <w:rFonts w:hint="eastAsia"/>
                      <w:color w:val="auto"/>
                      <w:szCs w:val="21"/>
                    </w:rPr>
                    <w:t>属性</w:t>
                  </w:r>
                </w:p>
              </w:tc>
              <w:tc>
                <w:tcPr>
                  <w:tcW w:w="448" w:type="pct"/>
                  <w:tcBorders>
                    <w:tl2br w:val="nil"/>
                    <w:tr2bl w:val="nil"/>
                  </w:tcBorders>
                  <w:vAlign w:val="center"/>
                </w:tcPr>
                <w:p w14:paraId="315D9EDD">
                  <w:pPr>
                    <w:adjustRightInd w:val="0"/>
                    <w:snapToGrid w:val="0"/>
                    <w:rPr>
                      <w:rFonts w:asciiTheme="minorEastAsia" w:hAnsiTheme="minorEastAsia" w:eastAsiaTheme="minorEastAsia" w:cstheme="minorEastAsia"/>
                      <w:bCs/>
                      <w:color w:val="auto"/>
                      <w:kern w:val="0"/>
                      <w:sz w:val="24"/>
                    </w:rPr>
                  </w:pPr>
                  <w:r>
                    <w:rPr>
                      <w:rFonts w:hint="eastAsia"/>
                      <w:color w:val="auto"/>
                      <w:szCs w:val="21"/>
                    </w:rPr>
                    <w:t>产生工序</w:t>
                  </w:r>
                </w:p>
              </w:tc>
              <w:tc>
                <w:tcPr>
                  <w:tcW w:w="448" w:type="pct"/>
                  <w:tcBorders>
                    <w:tl2br w:val="nil"/>
                    <w:tr2bl w:val="nil"/>
                  </w:tcBorders>
                  <w:vAlign w:val="center"/>
                </w:tcPr>
                <w:p w14:paraId="473C5B82">
                  <w:pPr>
                    <w:adjustRightInd w:val="0"/>
                    <w:snapToGrid w:val="0"/>
                    <w:rPr>
                      <w:rFonts w:asciiTheme="minorEastAsia" w:hAnsiTheme="minorEastAsia" w:eastAsiaTheme="minorEastAsia" w:cstheme="minorEastAsia"/>
                      <w:bCs/>
                      <w:color w:val="auto"/>
                      <w:kern w:val="0"/>
                      <w:sz w:val="24"/>
                    </w:rPr>
                  </w:pPr>
                  <w:r>
                    <w:rPr>
                      <w:rFonts w:hint="eastAsia"/>
                      <w:color w:val="auto"/>
                      <w:szCs w:val="21"/>
                    </w:rPr>
                    <w:t>形态</w:t>
                  </w:r>
                </w:p>
              </w:tc>
              <w:tc>
                <w:tcPr>
                  <w:tcW w:w="448" w:type="pct"/>
                  <w:tcBorders>
                    <w:tl2br w:val="nil"/>
                    <w:tr2bl w:val="nil"/>
                  </w:tcBorders>
                  <w:vAlign w:val="center"/>
                </w:tcPr>
                <w:p w14:paraId="64DD1C6D">
                  <w:pPr>
                    <w:adjustRightInd w:val="0"/>
                    <w:snapToGrid w:val="0"/>
                    <w:rPr>
                      <w:rFonts w:asciiTheme="minorEastAsia" w:hAnsiTheme="minorEastAsia" w:eastAsiaTheme="minorEastAsia" w:cstheme="minorEastAsia"/>
                      <w:bCs/>
                      <w:color w:val="auto"/>
                      <w:kern w:val="0"/>
                      <w:sz w:val="24"/>
                    </w:rPr>
                  </w:pPr>
                  <w:r>
                    <w:rPr>
                      <w:rFonts w:hint="eastAsia"/>
                      <w:color w:val="auto"/>
                      <w:szCs w:val="21"/>
                    </w:rPr>
                    <w:t>主要成分</w:t>
                  </w:r>
                </w:p>
              </w:tc>
              <w:tc>
                <w:tcPr>
                  <w:tcW w:w="450" w:type="pct"/>
                  <w:tcBorders>
                    <w:tl2br w:val="nil"/>
                    <w:tr2bl w:val="nil"/>
                  </w:tcBorders>
                  <w:vAlign w:val="center"/>
                </w:tcPr>
                <w:p w14:paraId="36CE1E87">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废物类别</w:t>
                  </w:r>
                </w:p>
              </w:tc>
              <w:tc>
                <w:tcPr>
                  <w:tcW w:w="818" w:type="pct"/>
                  <w:tcBorders>
                    <w:tl2br w:val="nil"/>
                    <w:tr2bl w:val="nil"/>
                  </w:tcBorders>
                  <w:vAlign w:val="center"/>
                </w:tcPr>
                <w:p w14:paraId="4D085235">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废物代码</w:t>
                  </w:r>
                </w:p>
              </w:tc>
              <w:tc>
                <w:tcPr>
                  <w:tcW w:w="593" w:type="pct"/>
                  <w:tcBorders>
                    <w:tl2br w:val="nil"/>
                    <w:tr2bl w:val="nil"/>
                  </w:tcBorders>
                  <w:vAlign w:val="center"/>
                </w:tcPr>
                <w:p w14:paraId="3EFDEABE">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估量（t/a）</w:t>
                  </w:r>
                </w:p>
              </w:tc>
              <w:tc>
                <w:tcPr>
                  <w:tcW w:w="448" w:type="pct"/>
                  <w:tcBorders>
                    <w:tl2br w:val="nil"/>
                    <w:tr2bl w:val="nil"/>
                  </w:tcBorders>
                  <w:vAlign w:val="center"/>
                </w:tcPr>
                <w:p w14:paraId="19170CE3">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治理措施</w:t>
                  </w:r>
                </w:p>
              </w:tc>
            </w:tr>
            <w:tr w14:paraId="56B54F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tcBorders>
                    <w:tl2br w:val="nil"/>
                    <w:tr2bl w:val="nil"/>
                  </w:tcBorders>
                  <w:vAlign w:val="center"/>
                </w:tcPr>
                <w:p w14:paraId="3444CC6F">
                  <w:pPr>
                    <w:adjustRightInd w:val="0"/>
                    <w:snapToGrid w:val="0"/>
                    <w:jc w:val="center"/>
                    <w:rPr>
                      <w:rFonts w:asciiTheme="minorEastAsia" w:hAnsiTheme="minorEastAsia" w:eastAsiaTheme="minorEastAsia" w:cstheme="minorEastAsia"/>
                      <w:bCs/>
                      <w:color w:val="auto"/>
                      <w:kern w:val="0"/>
                      <w:sz w:val="24"/>
                    </w:rPr>
                  </w:pPr>
                  <w:r>
                    <w:rPr>
                      <w:rFonts w:hint="eastAsia" w:eastAsiaTheme="minorEastAsia"/>
                      <w:bCs/>
                      <w:color w:val="auto"/>
                      <w:kern w:val="0"/>
                      <w:szCs w:val="21"/>
                    </w:rPr>
                    <w:t>1</w:t>
                  </w:r>
                </w:p>
              </w:tc>
              <w:tc>
                <w:tcPr>
                  <w:tcW w:w="448" w:type="pct"/>
                  <w:tcBorders>
                    <w:tl2br w:val="nil"/>
                    <w:tr2bl w:val="nil"/>
                  </w:tcBorders>
                  <w:vAlign w:val="center"/>
                </w:tcPr>
                <w:p w14:paraId="4FF31466">
                  <w:pPr>
                    <w:adjustRightInd w:val="0"/>
                    <w:snapToGrid w:val="0"/>
                    <w:jc w:val="center"/>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炉渣</w:t>
                  </w:r>
                </w:p>
              </w:tc>
              <w:tc>
                <w:tcPr>
                  <w:tcW w:w="448" w:type="pct"/>
                  <w:tcBorders>
                    <w:tl2br w:val="nil"/>
                    <w:tr2bl w:val="nil"/>
                  </w:tcBorders>
                  <w:vAlign w:val="center"/>
                </w:tcPr>
                <w:p w14:paraId="3C2E403B">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一般固废</w:t>
                  </w:r>
                </w:p>
              </w:tc>
              <w:tc>
                <w:tcPr>
                  <w:tcW w:w="448" w:type="pct"/>
                  <w:tcBorders>
                    <w:tl2br w:val="nil"/>
                    <w:tr2bl w:val="nil"/>
                  </w:tcBorders>
                  <w:vAlign w:val="center"/>
                </w:tcPr>
                <w:p w14:paraId="734E4F1F">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熔炼</w:t>
                  </w:r>
                </w:p>
              </w:tc>
              <w:tc>
                <w:tcPr>
                  <w:tcW w:w="448" w:type="pct"/>
                  <w:tcBorders>
                    <w:tl2br w:val="nil"/>
                    <w:tr2bl w:val="nil"/>
                  </w:tcBorders>
                  <w:vAlign w:val="center"/>
                </w:tcPr>
                <w:p w14:paraId="6C0F321D">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固态</w:t>
                  </w:r>
                </w:p>
              </w:tc>
              <w:tc>
                <w:tcPr>
                  <w:tcW w:w="448" w:type="pct"/>
                  <w:tcBorders>
                    <w:tl2br w:val="nil"/>
                    <w:tr2bl w:val="nil"/>
                  </w:tcBorders>
                  <w:vAlign w:val="center"/>
                </w:tcPr>
                <w:p w14:paraId="3D6A7089">
                  <w:pPr>
                    <w:adjustRightInd w:val="0"/>
                    <w:snapToGrid w:val="0"/>
                    <w:jc w:val="center"/>
                    <w:rPr>
                      <w:rFonts w:eastAsiaTheme="minorEastAsia"/>
                      <w:bCs/>
                      <w:color w:val="auto"/>
                      <w:kern w:val="0"/>
                      <w:szCs w:val="21"/>
                    </w:rPr>
                  </w:pPr>
                  <w:r>
                    <w:rPr>
                      <w:rFonts w:hint="eastAsia" w:eastAsiaTheme="minorEastAsia"/>
                      <w:bCs/>
                      <w:color w:val="auto"/>
                      <w:kern w:val="0"/>
                      <w:szCs w:val="21"/>
                    </w:rPr>
                    <w:t>铁金属等</w:t>
                  </w:r>
                </w:p>
              </w:tc>
              <w:tc>
                <w:tcPr>
                  <w:tcW w:w="450" w:type="pct"/>
                  <w:tcBorders>
                    <w:tl2br w:val="nil"/>
                    <w:tr2bl w:val="nil"/>
                  </w:tcBorders>
                  <w:vAlign w:val="center"/>
                </w:tcPr>
                <w:p w14:paraId="4A4BD27A">
                  <w:pPr>
                    <w:adjustRightInd w:val="0"/>
                    <w:snapToGrid w:val="0"/>
                    <w:jc w:val="center"/>
                    <w:rPr>
                      <w:rFonts w:eastAsiaTheme="minorEastAsia"/>
                      <w:bCs/>
                      <w:color w:val="auto"/>
                      <w:kern w:val="0"/>
                      <w:szCs w:val="21"/>
                    </w:rPr>
                  </w:pPr>
                  <w:r>
                    <w:rPr>
                      <w:rFonts w:hint="eastAsia" w:asciiTheme="minorEastAsia" w:hAnsiTheme="minorEastAsia" w:eastAsiaTheme="minorEastAsia" w:cstheme="minorEastAsia"/>
                      <w:bCs/>
                      <w:color w:val="auto"/>
                      <w:kern w:val="0"/>
                      <w:szCs w:val="21"/>
                    </w:rPr>
                    <w:t>一般固废</w:t>
                  </w:r>
                </w:p>
              </w:tc>
              <w:tc>
                <w:tcPr>
                  <w:tcW w:w="818" w:type="pct"/>
                  <w:tcBorders>
                    <w:tl2br w:val="nil"/>
                    <w:tr2bl w:val="nil"/>
                  </w:tcBorders>
                  <w:vAlign w:val="center"/>
                </w:tcPr>
                <w:p w14:paraId="26A1A0B9">
                  <w:pPr>
                    <w:adjustRightInd w:val="0"/>
                    <w:snapToGrid w:val="0"/>
                    <w:jc w:val="center"/>
                    <w:rPr>
                      <w:rFonts w:eastAsiaTheme="minorEastAsia"/>
                      <w:bCs/>
                      <w:color w:val="auto"/>
                      <w:kern w:val="0"/>
                      <w:szCs w:val="21"/>
                    </w:rPr>
                  </w:pPr>
                  <w:r>
                    <w:rPr>
                      <w:rFonts w:eastAsiaTheme="minorEastAsia"/>
                      <w:bCs/>
                      <w:color w:val="auto"/>
                      <w:kern w:val="0"/>
                      <w:szCs w:val="21"/>
                    </w:rPr>
                    <w:t>900-</w:t>
                  </w:r>
                  <w:r>
                    <w:rPr>
                      <w:rFonts w:hint="eastAsia" w:eastAsiaTheme="minorEastAsia"/>
                      <w:bCs/>
                      <w:color w:val="auto"/>
                      <w:kern w:val="0"/>
                      <w:szCs w:val="21"/>
                    </w:rPr>
                    <w:t>001</w:t>
                  </w:r>
                  <w:r>
                    <w:rPr>
                      <w:rFonts w:eastAsiaTheme="minorEastAsia"/>
                      <w:bCs/>
                      <w:color w:val="auto"/>
                      <w:kern w:val="0"/>
                      <w:szCs w:val="21"/>
                    </w:rPr>
                    <w:t>-</w:t>
                  </w:r>
                  <w:r>
                    <w:rPr>
                      <w:rFonts w:hint="eastAsia" w:eastAsiaTheme="minorEastAsia"/>
                      <w:bCs/>
                      <w:color w:val="auto"/>
                      <w:kern w:val="0"/>
                      <w:szCs w:val="21"/>
                    </w:rPr>
                    <w:t>S03</w:t>
                  </w:r>
                </w:p>
              </w:tc>
              <w:tc>
                <w:tcPr>
                  <w:tcW w:w="593" w:type="pct"/>
                  <w:tcBorders>
                    <w:tl2br w:val="nil"/>
                    <w:tr2bl w:val="nil"/>
                  </w:tcBorders>
                  <w:vAlign w:val="center"/>
                </w:tcPr>
                <w:p w14:paraId="54E7685F">
                  <w:pPr>
                    <w:adjustRightInd w:val="0"/>
                    <w:snapToGrid w:val="0"/>
                    <w:jc w:val="center"/>
                    <w:rPr>
                      <w:rFonts w:eastAsiaTheme="minorEastAsia"/>
                      <w:bCs/>
                      <w:color w:val="auto"/>
                      <w:kern w:val="0"/>
                      <w:szCs w:val="21"/>
                    </w:rPr>
                  </w:pPr>
                  <w:r>
                    <w:rPr>
                      <w:rFonts w:hint="eastAsia" w:eastAsiaTheme="minorEastAsia"/>
                      <w:bCs/>
                      <w:color w:val="auto"/>
                      <w:kern w:val="0"/>
                      <w:szCs w:val="21"/>
                    </w:rPr>
                    <w:t>200</w:t>
                  </w:r>
                </w:p>
              </w:tc>
              <w:tc>
                <w:tcPr>
                  <w:tcW w:w="448" w:type="pct"/>
                  <w:tcBorders>
                    <w:tl2br w:val="nil"/>
                    <w:tr2bl w:val="nil"/>
                  </w:tcBorders>
                  <w:vAlign w:val="center"/>
                </w:tcPr>
                <w:p w14:paraId="0E0D40BF">
                  <w:pPr>
                    <w:adjustRightInd w:val="0"/>
                    <w:snapToGrid w:val="0"/>
                    <w:jc w:val="center"/>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回用</w:t>
                  </w:r>
                </w:p>
              </w:tc>
            </w:tr>
            <w:tr w14:paraId="2916E8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tcBorders>
                    <w:tl2br w:val="nil"/>
                    <w:tr2bl w:val="nil"/>
                  </w:tcBorders>
                  <w:vAlign w:val="center"/>
                </w:tcPr>
                <w:p w14:paraId="23C2D4B3">
                  <w:pPr>
                    <w:adjustRightInd w:val="0"/>
                    <w:snapToGrid w:val="0"/>
                    <w:jc w:val="center"/>
                    <w:rPr>
                      <w:rFonts w:asciiTheme="minorEastAsia" w:hAnsiTheme="minorEastAsia" w:eastAsiaTheme="minorEastAsia" w:cstheme="minorEastAsia"/>
                      <w:bCs/>
                      <w:color w:val="auto"/>
                      <w:kern w:val="0"/>
                      <w:sz w:val="24"/>
                    </w:rPr>
                  </w:pPr>
                  <w:r>
                    <w:rPr>
                      <w:rFonts w:hint="eastAsia" w:eastAsiaTheme="minorEastAsia"/>
                      <w:bCs/>
                      <w:color w:val="auto"/>
                      <w:kern w:val="0"/>
                      <w:szCs w:val="21"/>
                    </w:rPr>
                    <w:t>2</w:t>
                  </w:r>
                </w:p>
              </w:tc>
              <w:tc>
                <w:tcPr>
                  <w:tcW w:w="448" w:type="pct"/>
                  <w:tcBorders>
                    <w:tl2br w:val="nil"/>
                    <w:tr2bl w:val="nil"/>
                  </w:tcBorders>
                  <w:vAlign w:val="center"/>
                </w:tcPr>
                <w:p w14:paraId="526B9B63">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脱模剂外包装</w:t>
                  </w:r>
                </w:p>
              </w:tc>
              <w:tc>
                <w:tcPr>
                  <w:tcW w:w="448" w:type="pct"/>
                  <w:tcBorders>
                    <w:tl2br w:val="nil"/>
                    <w:tr2bl w:val="nil"/>
                  </w:tcBorders>
                  <w:vAlign w:val="center"/>
                </w:tcPr>
                <w:p w14:paraId="36E0C66A">
                  <w:pPr>
                    <w:adjustRightInd w:val="0"/>
                    <w:snapToGrid w:val="0"/>
                    <w:rPr>
                      <w:rFonts w:hint="default" w:asciiTheme="minorEastAsia" w:hAnsiTheme="minorEastAsia" w:eastAsiaTheme="minorEastAsia" w:cstheme="minorEastAsia"/>
                      <w:bCs/>
                      <w:color w:val="auto"/>
                      <w:kern w:val="0"/>
                      <w:sz w:val="24"/>
                      <w:lang w:val="en-US" w:eastAsia="zh-CN"/>
                    </w:rPr>
                  </w:pPr>
                  <w:r>
                    <w:rPr>
                      <w:rFonts w:hint="eastAsia" w:asciiTheme="minorEastAsia" w:hAnsiTheme="minorEastAsia" w:eastAsiaTheme="minorEastAsia" w:cstheme="minorEastAsia"/>
                      <w:bCs/>
                      <w:color w:val="auto"/>
                      <w:kern w:val="0"/>
                      <w:szCs w:val="21"/>
                      <w:lang w:val="en-US" w:eastAsia="zh-CN"/>
                    </w:rPr>
                    <w:t>一般固废</w:t>
                  </w:r>
                </w:p>
              </w:tc>
              <w:tc>
                <w:tcPr>
                  <w:tcW w:w="448" w:type="pct"/>
                  <w:tcBorders>
                    <w:tl2br w:val="nil"/>
                    <w:tr2bl w:val="nil"/>
                  </w:tcBorders>
                  <w:vAlign w:val="center"/>
                </w:tcPr>
                <w:p w14:paraId="49C21152">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浇筑</w:t>
                  </w:r>
                </w:p>
              </w:tc>
              <w:tc>
                <w:tcPr>
                  <w:tcW w:w="448" w:type="pct"/>
                  <w:tcBorders>
                    <w:tl2br w:val="nil"/>
                    <w:tr2bl w:val="nil"/>
                  </w:tcBorders>
                  <w:vAlign w:val="center"/>
                </w:tcPr>
                <w:p w14:paraId="6AC925FE">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固态</w:t>
                  </w:r>
                </w:p>
              </w:tc>
              <w:tc>
                <w:tcPr>
                  <w:tcW w:w="448" w:type="pct"/>
                  <w:tcBorders>
                    <w:tl2br w:val="nil"/>
                    <w:tr2bl w:val="nil"/>
                  </w:tcBorders>
                  <w:vAlign w:val="center"/>
                </w:tcPr>
                <w:p w14:paraId="59028CE6">
                  <w:pPr>
                    <w:adjustRightInd w:val="0"/>
                    <w:snapToGrid w:val="0"/>
                    <w:jc w:val="center"/>
                    <w:rPr>
                      <w:rFonts w:hint="eastAsia" w:eastAsiaTheme="minorEastAsia"/>
                      <w:bCs/>
                      <w:color w:val="auto"/>
                      <w:kern w:val="0"/>
                      <w:szCs w:val="21"/>
                      <w:lang w:eastAsia="zh-CN"/>
                    </w:rPr>
                  </w:pPr>
                  <w:r>
                    <w:rPr>
                      <w:rFonts w:hint="eastAsia" w:asciiTheme="minorEastAsia" w:hAnsiTheme="minorEastAsia" w:eastAsiaTheme="minorEastAsia" w:cstheme="minorEastAsia"/>
                      <w:bCs/>
                      <w:color w:val="auto"/>
                      <w:kern w:val="0"/>
                      <w:szCs w:val="21"/>
                      <w:lang w:val="en-US" w:eastAsia="zh-CN"/>
                    </w:rPr>
                    <w:t>/</w:t>
                  </w:r>
                </w:p>
              </w:tc>
              <w:tc>
                <w:tcPr>
                  <w:tcW w:w="450" w:type="pct"/>
                  <w:tcBorders>
                    <w:tl2br w:val="nil"/>
                    <w:tr2bl w:val="nil"/>
                  </w:tcBorders>
                  <w:vAlign w:val="center"/>
                </w:tcPr>
                <w:p w14:paraId="3F601F12">
                  <w:pPr>
                    <w:adjustRightInd w:val="0"/>
                    <w:snapToGrid w:val="0"/>
                    <w:jc w:val="center"/>
                    <w:rPr>
                      <w:rFonts w:eastAsiaTheme="minorEastAsia"/>
                      <w:bCs/>
                      <w:color w:val="auto"/>
                      <w:kern w:val="0"/>
                      <w:szCs w:val="21"/>
                    </w:rPr>
                  </w:pPr>
                  <w:r>
                    <w:rPr>
                      <w:rFonts w:hint="eastAsia" w:eastAsiaTheme="minorEastAsia"/>
                      <w:bCs/>
                      <w:color w:val="auto"/>
                      <w:kern w:val="0"/>
                      <w:szCs w:val="21"/>
                      <w:lang w:val="en-US" w:eastAsia="zh-CN"/>
                    </w:rPr>
                    <w:t>S</w:t>
                  </w:r>
                  <w:r>
                    <w:rPr>
                      <w:rFonts w:hint="eastAsia" w:eastAsiaTheme="minorEastAsia"/>
                      <w:bCs/>
                      <w:color w:val="auto"/>
                      <w:kern w:val="0"/>
                      <w:szCs w:val="21"/>
                    </w:rPr>
                    <w:t>W</w:t>
                  </w:r>
                </w:p>
                <w:p w14:paraId="010FEB53">
                  <w:pPr>
                    <w:adjustRightInd w:val="0"/>
                    <w:snapToGrid w:val="0"/>
                    <w:jc w:val="center"/>
                    <w:rPr>
                      <w:rFonts w:eastAsiaTheme="minorEastAsia"/>
                      <w:bCs/>
                      <w:color w:val="auto"/>
                      <w:kern w:val="0"/>
                      <w:szCs w:val="21"/>
                    </w:rPr>
                  </w:pPr>
                  <w:r>
                    <w:rPr>
                      <w:rFonts w:hint="eastAsia" w:eastAsiaTheme="minorEastAsia"/>
                      <w:bCs/>
                      <w:color w:val="auto"/>
                      <w:kern w:val="0"/>
                      <w:szCs w:val="21"/>
                      <w:lang w:val="en-US" w:eastAsia="zh-CN"/>
                    </w:rPr>
                    <w:t>5</w:t>
                  </w:r>
                  <w:r>
                    <w:rPr>
                      <w:rFonts w:hint="eastAsia" w:eastAsiaTheme="minorEastAsia"/>
                      <w:bCs/>
                      <w:color w:val="auto"/>
                      <w:kern w:val="0"/>
                      <w:szCs w:val="21"/>
                    </w:rPr>
                    <w:t>9</w:t>
                  </w:r>
                </w:p>
              </w:tc>
              <w:tc>
                <w:tcPr>
                  <w:tcW w:w="818" w:type="pct"/>
                  <w:tcBorders>
                    <w:tl2br w:val="nil"/>
                    <w:tr2bl w:val="nil"/>
                  </w:tcBorders>
                  <w:vAlign w:val="center"/>
                </w:tcPr>
                <w:p w14:paraId="190CC72A">
                  <w:pPr>
                    <w:adjustRightInd w:val="0"/>
                    <w:snapToGrid w:val="0"/>
                    <w:jc w:val="center"/>
                    <w:rPr>
                      <w:rFonts w:eastAsiaTheme="minorEastAsia"/>
                      <w:bCs/>
                      <w:color w:val="auto"/>
                      <w:kern w:val="0"/>
                      <w:szCs w:val="21"/>
                    </w:rPr>
                  </w:pPr>
                  <w:r>
                    <w:rPr>
                      <w:rFonts w:hint="eastAsia" w:eastAsiaTheme="minorEastAsia"/>
                      <w:bCs/>
                      <w:color w:val="auto"/>
                      <w:kern w:val="0"/>
                      <w:szCs w:val="21"/>
                    </w:rPr>
                    <w:t>900-0</w:t>
                  </w:r>
                  <w:r>
                    <w:rPr>
                      <w:rFonts w:hint="eastAsia" w:eastAsiaTheme="minorEastAsia"/>
                      <w:bCs/>
                      <w:color w:val="auto"/>
                      <w:kern w:val="0"/>
                      <w:szCs w:val="21"/>
                      <w:lang w:val="en-US" w:eastAsia="zh-CN"/>
                    </w:rPr>
                    <w:t>99</w:t>
                  </w:r>
                  <w:r>
                    <w:rPr>
                      <w:rFonts w:hint="eastAsia" w:eastAsiaTheme="minorEastAsia"/>
                      <w:bCs/>
                      <w:color w:val="auto"/>
                      <w:kern w:val="0"/>
                      <w:szCs w:val="21"/>
                    </w:rPr>
                    <w:t>-</w:t>
                  </w:r>
                  <w:r>
                    <w:rPr>
                      <w:rFonts w:hint="eastAsia" w:eastAsiaTheme="minorEastAsia"/>
                      <w:bCs/>
                      <w:color w:val="auto"/>
                      <w:kern w:val="0"/>
                      <w:szCs w:val="21"/>
                      <w:lang w:val="en-US" w:eastAsia="zh-CN"/>
                    </w:rPr>
                    <w:t>S5</w:t>
                  </w:r>
                  <w:r>
                    <w:rPr>
                      <w:rFonts w:hint="eastAsia" w:eastAsiaTheme="minorEastAsia"/>
                      <w:bCs/>
                      <w:color w:val="auto"/>
                      <w:kern w:val="0"/>
                      <w:szCs w:val="21"/>
                    </w:rPr>
                    <w:t>9</w:t>
                  </w:r>
                </w:p>
              </w:tc>
              <w:tc>
                <w:tcPr>
                  <w:tcW w:w="593" w:type="pct"/>
                  <w:tcBorders>
                    <w:tl2br w:val="nil"/>
                    <w:tr2bl w:val="nil"/>
                  </w:tcBorders>
                  <w:vAlign w:val="center"/>
                </w:tcPr>
                <w:p w14:paraId="51AFBEC1">
                  <w:pPr>
                    <w:adjustRightInd w:val="0"/>
                    <w:snapToGrid w:val="0"/>
                    <w:jc w:val="center"/>
                    <w:rPr>
                      <w:rFonts w:hint="default" w:asciiTheme="minorEastAsia" w:hAnsiTheme="minorEastAsia" w:eastAsiaTheme="minorEastAsia" w:cstheme="minorEastAsia"/>
                      <w:bCs/>
                      <w:color w:val="auto"/>
                      <w:kern w:val="0"/>
                      <w:sz w:val="24"/>
                      <w:lang w:val="en-US" w:eastAsia="zh-CN"/>
                    </w:rPr>
                  </w:pPr>
                  <w:r>
                    <w:rPr>
                      <w:rFonts w:hint="eastAsia" w:eastAsiaTheme="minorEastAsia"/>
                      <w:bCs/>
                      <w:color w:val="auto"/>
                      <w:kern w:val="0"/>
                      <w:szCs w:val="21"/>
                      <w:lang w:val="en-US" w:eastAsia="zh-CN"/>
                    </w:rPr>
                    <w:t>0.3</w:t>
                  </w:r>
                </w:p>
              </w:tc>
              <w:tc>
                <w:tcPr>
                  <w:tcW w:w="448" w:type="pct"/>
                  <w:tcBorders>
                    <w:tl2br w:val="nil"/>
                    <w:tr2bl w:val="nil"/>
                  </w:tcBorders>
                  <w:vAlign w:val="center"/>
                </w:tcPr>
                <w:p w14:paraId="00F29475">
                  <w:pPr>
                    <w:adjustRightInd w:val="0"/>
                    <w:snapToGrid w:val="0"/>
                    <w:jc w:val="center"/>
                    <w:rPr>
                      <w:rFonts w:hint="default" w:asciiTheme="minorEastAsia" w:hAnsiTheme="minorEastAsia" w:eastAsiaTheme="minorEastAsia" w:cstheme="minorEastAsia"/>
                      <w:bCs/>
                      <w:color w:val="auto"/>
                      <w:kern w:val="0"/>
                      <w:sz w:val="24"/>
                      <w:lang w:val="en-US" w:eastAsia="zh-CN"/>
                    </w:rPr>
                  </w:pPr>
                  <w:r>
                    <w:rPr>
                      <w:rFonts w:hint="eastAsia" w:asciiTheme="minorEastAsia" w:hAnsiTheme="minorEastAsia" w:eastAsiaTheme="minorEastAsia" w:cstheme="minorEastAsia"/>
                      <w:bCs/>
                      <w:color w:val="auto"/>
                      <w:kern w:val="0"/>
                      <w:sz w:val="21"/>
                      <w:szCs w:val="21"/>
                      <w:lang w:val="en-US" w:eastAsia="zh-CN"/>
                    </w:rPr>
                    <w:t>废品回收站处置</w:t>
                  </w:r>
                </w:p>
              </w:tc>
            </w:tr>
            <w:tr w14:paraId="4D86EE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tcBorders>
                    <w:tl2br w:val="nil"/>
                    <w:tr2bl w:val="nil"/>
                  </w:tcBorders>
                  <w:vAlign w:val="center"/>
                </w:tcPr>
                <w:p w14:paraId="47761DE8">
                  <w:pPr>
                    <w:adjustRightInd w:val="0"/>
                    <w:snapToGrid w:val="0"/>
                    <w:jc w:val="center"/>
                    <w:rPr>
                      <w:rFonts w:asciiTheme="minorEastAsia" w:hAnsiTheme="minorEastAsia" w:eastAsiaTheme="minorEastAsia" w:cstheme="minorEastAsia"/>
                      <w:bCs/>
                      <w:color w:val="auto"/>
                      <w:kern w:val="0"/>
                      <w:sz w:val="24"/>
                    </w:rPr>
                  </w:pPr>
                  <w:r>
                    <w:rPr>
                      <w:rFonts w:eastAsiaTheme="minorEastAsia"/>
                      <w:bCs/>
                      <w:color w:val="auto"/>
                      <w:kern w:val="0"/>
                      <w:szCs w:val="21"/>
                    </w:rPr>
                    <w:t>3</w:t>
                  </w:r>
                </w:p>
              </w:tc>
              <w:tc>
                <w:tcPr>
                  <w:tcW w:w="448" w:type="pct"/>
                  <w:tcBorders>
                    <w:tl2br w:val="nil"/>
                    <w:tr2bl w:val="nil"/>
                  </w:tcBorders>
                  <w:vAlign w:val="center"/>
                </w:tcPr>
                <w:p w14:paraId="7705D708">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废边角料</w:t>
                  </w:r>
                </w:p>
              </w:tc>
              <w:tc>
                <w:tcPr>
                  <w:tcW w:w="448" w:type="pct"/>
                  <w:tcBorders>
                    <w:tl2br w:val="nil"/>
                    <w:tr2bl w:val="nil"/>
                  </w:tcBorders>
                  <w:vAlign w:val="center"/>
                </w:tcPr>
                <w:p w14:paraId="56CFFD2E">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一般固废</w:t>
                  </w:r>
                </w:p>
              </w:tc>
              <w:tc>
                <w:tcPr>
                  <w:tcW w:w="448" w:type="pct"/>
                  <w:tcBorders>
                    <w:tl2br w:val="nil"/>
                    <w:tr2bl w:val="nil"/>
                  </w:tcBorders>
                  <w:vAlign w:val="center"/>
                </w:tcPr>
                <w:p w14:paraId="6566C91F">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加工</w:t>
                  </w:r>
                </w:p>
              </w:tc>
              <w:tc>
                <w:tcPr>
                  <w:tcW w:w="448" w:type="pct"/>
                  <w:tcBorders>
                    <w:tl2br w:val="nil"/>
                    <w:tr2bl w:val="nil"/>
                  </w:tcBorders>
                  <w:vAlign w:val="center"/>
                </w:tcPr>
                <w:p w14:paraId="567E8FC8">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固态</w:t>
                  </w:r>
                </w:p>
              </w:tc>
              <w:tc>
                <w:tcPr>
                  <w:tcW w:w="448" w:type="pct"/>
                  <w:tcBorders>
                    <w:tl2br w:val="nil"/>
                    <w:tr2bl w:val="nil"/>
                  </w:tcBorders>
                  <w:vAlign w:val="center"/>
                </w:tcPr>
                <w:p w14:paraId="58372AAD">
                  <w:pPr>
                    <w:adjustRightInd w:val="0"/>
                    <w:snapToGrid w:val="0"/>
                    <w:jc w:val="center"/>
                    <w:rPr>
                      <w:rFonts w:eastAsiaTheme="minorEastAsia"/>
                      <w:bCs/>
                      <w:color w:val="auto"/>
                      <w:kern w:val="0"/>
                      <w:szCs w:val="21"/>
                    </w:rPr>
                  </w:pPr>
                  <w:r>
                    <w:rPr>
                      <w:rFonts w:hint="eastAsia" w:eastAsiaTheme="minorEastAsia"/>
                      <w:bCs/>
                      <w:color w:val="auto"/>
                      <w:kern w:val="0"/>
                      <w:szCs w:val="21"/>
                    </w:rPr>
                    <w:t>铁金属等</w:t>
                  </w:r>
                </w:p>
              </w:tc>
              <w:tc>
                <w:tcPr>
                  <w:tcW w:w="450" w:type="pct"/>
                  <w:tcBorders>
                    <w:tl2br w:val="nil"/>
                    <w:tr2bl w:val="nil"/>
                  </w:tcBorders>
                  <w:vAlign w:val="center"/>
                </w:tcPr>
                <w:p w14:paraId="7CA7D2B1">
                  <w:pPr>
                    <w:adjustRightInd w:val="0"/>
                    <w:snapToGrid w:val="0"/>
                    <w:jc w:val="center"/>
                    <w:rPr>
                      <w:rFonts w:eastAsiaTheme="minorEastAsia"/>
                      <w:bCs/>
                      <w:color w:val="auto"/>
                      <w:kern w:val="0"/>
                      <w:szCs w:val="21"/>
                    </w:rPr>
                  </w:pPr>
                  <w:r>
                    <w:rPr>
                      <w:rFonts w:hint="eastAsia" w:asciiTheme="minorEastAsia" w:hAnsiTheme="minorEastAsia" w:eastAsiaTheme="minorEastAsia" w:cstheme="minorEastAsia"/>
                      <w:bCs/>
                      <w:color w:val="auto"/>
                      <w:kern w:val="0"/>
                      <w:szCs w:val="21"/>
                    </w:rPr>
                    <w:t>一般固废</w:t>
                  </w:r>
                </w:p>
              </w:tc>
              <w:tc>
                <w:tcPr>
                  <w:tcW w:w="818" w:type="pct"/>
                  <w:tcBorders>
                    <w:tl2br w:val="nil"/>
                    <w:tr2bl w:val="nil"/>
                  </w:tcBorders>
                  <w:vAlign w:val="center"/>
                </w:tcPr>
                <w:p w14:paraId="0449FDC6">
                  <w:pPr>
                    <w:adjustRightInd w:val="0"/>
                    <w:snapToGrid w:val="0"/>
                    <w:jc w:val="center"/>
                    <w:rPr>
                      <w:rFonts w:eastAsiaTheme="minorEastAsia"/>
                      <w:bCs/>
                      <w:color w:val="auto"/>
                      <w:kern w:val="0"/>
                      <w:szCs w:val="21"/>
                    </w:rPr>
                  </w:pPr>
                  <w:r>
                    <w:rPr>
                      <w:rFonts w:hint="eastAsia" w:eastAsiaTheme="minorEastAsia"/>
                      <w:bCs/>
                      <w:color w:val="auto"/>
                      <w:kern w:val="0"/>
                      <w:szCs w:val="21"/>
                    </w:rPr>
                    <w:t>900-001-S17</w:t>
                  </w:r>
                </w:p>
              </w:tc>
              <w:tc>
                <w:tcPr>
                  <w:tcW w:w="593" w:type="pct"/>
                  <w:tcBorders>
                    <w:tl2br w:val="nil"/>
                    <w:tr2bl w:val="nil"/>
                  </w:tcBorders>
                  <w:vAlign w:val="center"/>
                </w:tcPr>
                <w:p w14:paraId="1B11DDB6">
                  <w:pPr>
                    <w:adjustRightInd w:val="0"/>
                    <w:snapToGrid w:val="0"/>
                    <w:jc w:val="center"/>
                    <w:rPr>
                      <w:rFonts w:asciiTheme="minorEastAsia" w:hAnsiTheme="minorEastAsia" w:eastAsiaTheme="minorEastAsia" w:cstheme="minorEastAsia"/>
                      <w:bCs/>
                      <w:color w:val="auto"/>
                      <w:kern w:val="0"/>
                      <w:sz w:val="24"/>
                    </w:rPr>
                  </w:pPr>
                  <w:r>
                    <w:rPr>
                      <w:rFonts w:hint="eastAsia" w:eastAsiaTheme="minorEastAsia"/>
                      <w:bCs/>
                      <w:color w:val="auto"/>
                      <w:kern w:val="0"/>
                      <w:szCs w:val="21"/>
                    </w:rPr>
                    <w:t>450</w:t>
                  </w:r>
                </w:p>
              </w:tc>
              <w:tc>
                <w:tcPr>
                  <w:tcW w:w="448" w:type="pct"/>
                  <w:tcBorders>
                    <w:tl2br w:val="nil"/>
                    <w:tr2bl w:val="nil"/>
                  </w:tcBorders>
                  <w:vAlign w:val="center"/>
                </w:tcPr>
                <w:p w14:paraId="25EC4B12">
                  <w:pPr>
                    <w:adjustRightInd w:val="0"/>
                    <w:snapToGrid w:val="0"/>
                    <w:jc w:val="center"/>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回用</w:t>
                  </w:r>
                </w:p>
              </w:tc>
            </w:tr>
            <w:tr w14:paraId="4D45BE9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tcBorders>
                    <w:tl2br w:val="nil"/>
                    <w:tr2bl w:val="nil"/>
                  </w:tcBorders>
                  <w:vAlign w:val="center"/>
                </w:tcPr>
                <w:p w14:paraId="52EEE918">
                  <w:pPr>
                    <w:adjustRightInd w:val="0"/>
                    <w:snapToGrid w:val="0"/>
                    <w:jc w:val="center"/>
                    <w:rPr>
                      <w:rFonts w:asciiTheme="minorEastAsia" w:hAnsiTheme="minorEastAsia" w:eastAsiaTheme="minorEastAsia" w:cstheme="minorEastAsia"/>
                      <w:bCs/>
                      <w:color w:val="auto"/>
                      <w:kern w:val="0"/>
                      <w:sz w:val="24"/>
                    </w:rPr>
                  </w:pPr>
                  <w:r>
                    <w:rPr>
                      <w:rFonts w:eastAsiaTheme="minorEastAsia"/>
                      <w:bCs/>
                      <w:color w:val="auto"/>
                      <w:kern w:val="0"/>
                      <w:szCs w:val="21"/>
                    </w:rPr>
                    <w:t>4</w:t>
                  </w:r>
                </w:p>
              </w:tc>
              <w:tc>
                <w:tcPr>
                  <w:tcW w:w="448" w:type="pct"/>
                  <w:tcBorders>
                    <w:tl2br w:val="nil"/>
                    <w:tr2bl w:val="nil"/>
                  </w:tcBorders>
                  <w:vAlign w:val="center"/>
                </w:tcPr>
                <w:p w14:paraId="1DA45F13">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废金属模具</w:t>
                  </w:r>
                </w:p>
              </w:tc>
              <w:tc>
                <w:tcPr>
                  <w:tcW w:w="448" w:type="pct"/>
                  <w:tcBorders>
                    <w:tl2br w:val="nil"/>
                    <w:tr2bl w:val="nil"/>
                  </w:tcBorders>
                  <w:vAlign w:val="center"/>
                </w:tcPr>
                <w:p w14:paraId="17B7B6EF">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一般固废</w:t>
                  </w:r>
                </w:p>
              </w:tc>
              <w:tc>
                <w:tcPr>
                  <w:tcW w:w="448" w:type="pct"/>
                  <w:tcBorders>
                    <w:tl2br w:val="nil"/>
                    <w:tr2bl w:val="nil"/>
                  </w:tcBorders>
                  <w:vAlign w:val="center"/>
                </w:tcPr>
                <w:p w14:paraId="2BCC9693">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 w:val="24"/>
                    </w:rPr>
                    <w:t>浇筑</w:t>
                  </w:r>
                </w:p>
              </w:tc>
              <w:tc>
                <w:tcPr>
                  <w:tcW w:w="448" w:type="pct"/>
                  <w:tcBorders>
                    <w:tl2br w:val="nil"/>
                    <w:tr2bl w:val="nil"/>
                  </w:tcBorders>
                  <w:vAlign w:val="center"/>
                </w:tcPr>
                <w:p w14:paraId="4F1BDD5E">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固态</w:t>
                  </w:r>
                </w:p>
              </w:tc>
              <w:tc>
                <w:tcPr>
                  <w:tcW w:w="448" w:type="pct"/>
                  <w:tcBorders>
                    <w:tl2br w:val="nil"/>
                    <w:tr2bl w:val="nil"/>
                  </w:tcBorders>
                  <w:vAlign w:val="center"/>
                </w:tcPr>
                <w:p w14:paraId="1A4BDA21">
                  <w:pPr>
                    <w:adjustRightInd w:val="0"/>
                    <w:snapToGrid w:val="0"/>
                    <w:jc w:val="center"/>
                    <w:rPr>
                      <w:rFonts w:eastAsiaTheme="minorEastAsia"/>
                      <w:bCs/>
                      <w:color w:val="auto"/>
                      <w:kern w:val="0"/>
                      <w:szCs w:val="21"/>
                    </w:rPr>
                  </w:pPr>
                  <w:r>
                    <w:rPr>
                      <w:rFonts w:hint="eastAsia" w:eastAsiaTheme="minorEastAsia"/>
                      <w:bCs/>
                      <w:color w:val="auto"/>
                      <w:kern w:val="0"/>
                      <w:szCs w:val="21"/>
                    </w:rPr>
                    <w:t>铁金属等</w:t>
                  </w:r>
                </w:p>
              </w:tc>
              <w:tc>
                <w:tcPr>
                  <w:tcW w:w="450" w:type="pct"/>
                  <w:tcBorders>
                    <w:tl2br w:val="nil"/>
                    <w:tr2bl w:val="nil"/>
                  </w:tcBorders>
                  <w:vAlign w:val="center"/>
                </w:tcPr>
                <w:p w14:paraId="02B09DA9">
                  <w:pPr>
                    <w:adjustRightInd w:val="0"/>
                    <w:snapToGrid w:val="0"/>
                    <w:jc w:val="center"/>
                    <w:rPr>
                      <w:rFonts w:eastAsiaTheme="minorEastAsia"/>
                      <w:bCs/>
                      <w:color w:val="auto"/>
                      <w:kern w:val="0"/>
                      <w:szCs w:val="21"/>
                    </w:rPr>
                  </w:pPr>
                  <w:r>
                    <w:rPr>
                      <w:rFonts w:hint="eastAsia" w:asciiTheme="minorEastAsia" w:hAnsiTheme="minorEastAsia" w:eastAsiaTheme="minorEastAsia" w:cstheme="minorEastAsia"/>
                      <w:bCs/>
                      <w:color w:val="auto"/>
                      <w:kern w:val="0"/>
                      <w:szCs w:val="21"/>
                    </w:rPr>
                    <w:t>一般固废</w:t>
                  </w:r>
                </w:p>
              </w:tc>
              <w:tc>
                <w:tcPr>
                  <w:tcW w:w="818" w:type="pct"/>
                  <w:tcBorders>
                    <w:tl2br w:val="nil"/>
                    <w:tr2bl w:val="nil"/>
                  </w:tcBorders>
                  <w:vAlign w:val="center"/>
                </w:tcPr>
                <w:p w14:paraId="3F6E6294">
                  <w:pPr>
                    <w:adjustRightInd w:val="0"/>
                    <w:snapToGrid w:val="0"/>
                    <w:jc w:val="center"/>
                    <w:rPr>
                      <w:rFonts w:eastAsiaTheme="minorEastAsia"/>
                      <w:bCs/>
                      <w:color w:val="auto"/>
                      <w:kern w:val="0"/>
                      <w:szCs w:val="21"/>
                    </w:rPr>
                  </w:pPr>
                  <w:r>
                    <w:rPr>
                      <w:rFonts w:hint="eastAsia" w:eastAsiaTheme="minorEastAsia"/>
                      <w:bCs/>
                      <w:color w:val="auto"/>
                      <w:kern w:val="0"/>
                      <w:szCs w:val="21"/>
                    </w:rPr>
                    <w:t>900-003-S62</w:t>
                  </w:r>
                </w:p>
              </w:tc>
              <w:tc>
                <w:tcPr>
                  <w:tcW w:w="593" w:type="pct"/>
                  <w:tcBorders>
                    <w:tl2br w:val="nil"/>
                    <w:tr2bl w:val="nil"/>
                  </w:tcBorders>
                  <w:vAlign w:val="center"/>
                </w:tcPr>
                <w:p w14:paraId="262DCD8E">
                  <w:pPr>
                    <w:adjustRightInd w:val="0"/>
                    <w:snapToGrid w:val="0"/>
                    <w:jc w:val="center"/>
                    <w:rPr>
                      <w:rFonts w:asciiTheme="minorEastAsia" w:hAnsiTheme="minorEastAsia" w:eastAsiaTheme="minorEastAsia" w:cstheme="minorEastAsia"/>
                      <w:bCs/>
                      <w:color w:val="auto"/>
                      <w:kern w:val="0"/>
                      <w:szCs w:val="21"/>
                    </w:rPr>
                  </w:pPr>
                  <w:r>
                    <w:rPr>
                      <w:rFonts w:hint="eastAsia" w:eastAsiaTheme="minorEastAsia"/>
                      <w:bCs/>
                      <w:color w:val="auto"/>
                      <w:kern w:val="0"/>
                      <w:szCs w:val="21"/>
                    </w:rPr>
                    <w:t>100</w:t>
                  </w:r>
                </w:p>
              </w:tc>
              <w:tc>
                <w:tcPr>
                  <w:tcW w:w="448" w:type="pct"/>
                  <w:tcBorders>
                    <w:tl2br w:val="nil"/>
                    <w:tr2bl w:val="nil"/>
                  </w:tcBorders>
                  <w:vAlign w:val="center"/>
                </w:tcPr>
                <w:p w14:paraId="19DB25F9">
                  <w:pPr>
                    <w:adjustRightInd w:val="0"/>
                    <w:snapToGrid w:val="0"/>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厂家回收</w:t>
                  </w:r>
                </w:p>
              </w:tc>
            </w:tr>
            <w:tr w14:paraId="36DB76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tcBorders>
                    <w:tl2br w:val="nil"/>
                    <w:tr2bl w:val="nil"/>
                  </w:tcBorders>
                  <w:vAlign w:val="center"/>
                </w:tcPr>
                <w:p w14:paraId="5E0283C8">
                  <w:pPr>
                    <w:adjustRightInd w:val="0"/>
                    <w:snapToGrid w:val="0"/>
                    <w:jc w:val="center"/>
                    <w:rPr>
                      <w:rFonts w:eastAsiaTheme="minorEastAsia"/>
                      <w:bCs/>
                      <w:color w:val="auto"/>
                      <w:kern w:val="0"/>
                      <w:szCs w:val="21"/>
                    </w:rPr>
                  </w:pPr>
                  <w:r>
                    <w:rPr>
                      <w:rFonts w:hint="eastAsia" w:eastAsiaTheme="minorEastAsia"/>
                      <w:bCs/>
                      <w:color w:val="auto"/>
                      <w:kern w:val="0"/>
                      <w:szCs w:val="21"/>
                    </w:rPr>
                    <w:t>5</w:t>
                  </w:r>
                </w:p>
              </w:tc>
              <w:tc>
                <w:tcPr>
                  <w:tcW w:w="448" w:type="pct"/>
                  <w:tcBorders>
                    <w:tl2br w:val="nil"/>
                    <w:tr2bl w:val="nil"/>
                  </w:tcBorders>
                  <w:vAlign w:val="center"/>
                </w:tcPr>
                <w:p w14:paraId="2964D2F0">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残次品</w:t>
                  </w:r>
                </w:p>
              </w:tc>
              <w:tc>
                <w:tcPr>
                  <w:tcW w:w="448" w:type="pct"/>
                  <w:tcBorders>
                    <w:tl2br w:val="nil"/>
                    <w:tr2bl w:val="nil"/>
                  </w:tcBorders>
                  <w:vAlign w:val="center"/>
                </w:tcPr>
                <w:p w14:paraId="1BF2219D">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一般固废</w:t>
                  </w:r>
                </w:p>
              </w:tc>
              <w:tc>
                <w:tcPr>
                  <w:tcW w:w="448" w:type="pct"/>
                  <w:tcBorders>
                    <w:tl2br w:val="nil"/>
                    <w:tr2bl w:val="nil"/>
                  </w:tcBorders>
                  <w:vAlign w:val="center"/>
                </w:tcPr>
                <w:p w14:paraId="67042EC0">
                  <w:pPr>
                    <w:adjustRightInd w:val="0"/>
                    <w:snapToGrid w:val="0"/>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Cs w:val="21"/>
                    </w:rPr>
                    <w:t>加工</w:t>
                  </w:r>
                </w:p>
              </w:tc>
              <w:tc>
                <w:tcPr>
                  <w:tcW w:w="448" w:type="pct"/>
                  <w:tcBorders>
                    <w:tl2br w:val="nil"/>
                    <w:tr2bl w:val="nil"/>
                  </w:tcBorders>
                  <w:vAlign w:val="center"/>
                </w:tcPr>
                <w:p w14:paraId="5D4F90AD">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固态</w:t>
                  </w:r>
                </w:p>
              </w:tc>
              <w:tc>
                <w:tcPr>
                  <w:tcW w:w="448" w:type="pct"/>
                  <w:tcBorders>
                    <w:tl2br w:val="nil"/>
                    <w:tr2bl w:val="nil"/>
                  </w:tcBorders>
                  <w:vAlign w:val="center"/>
                </w:tcPr>
                <w:p w14:paraId="11C2BE19">
                  <w:pPr>
                    <w:adjustRightInd w:val="0"/>
                    <w:snapToGrid w:val="0"/>
                    <w:jc w:val="center"/>
                    <w:rPr>
                      <w:rFonts w:eastAsiaTheme="minorEastAsia"/>
                      <w:bCs/>
                      <w:color w:val="auto"/>
                      <w:kern w:val="0"/>
                      <w:szCs w:val="21"/>
                    </w:rPr>
                  </w:pPr>
                  <w:r>
                    <w:rPr>
                      <w:rFonts w:hint="eastAsia" w:eastAsiaTheme="minorEastAsia"/>
                      <w:bCs/>
                      <w:color w:val="auto"/>
                      <w:kern w:val="0"/>
                      <w:szCs w:val="21"/>
                    </w:rPr>
                    <w:t>铁金属等</w:t>
                  </w:r>
                </w:p>
              </w:tc>
              <w:tc>
                <w:tcPr>
                  <w:tcW w:w="450" w:type="pct"/>
                  <w:tcBorders>
                    <w:tl2br w:val="nil"/>
                    <w:tr2bl w:val="nil"/>
                  </w:tcBorders>
                  <w:vAlign w:val="center"/>
                </w:tcPr>
                <w:p w14:paraId="5D862AF7">
                  <w:pPr>
                    <w:adjustRightInd w:val="0"/>
                    <w:snapToGrid w:val="0"/>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一般固废</w:t>
                  </w:r>
                </w:p>
              </w:tc>
              <w:tc>
                <w:tcPr>
                  <w:tcW w:w="818" w:type="pct"/>
                  <w:tcBorders>
                    <w:tl2br w:val="nil"/>
                    <w:tr2bl w:val="nil"/>
                  </w:tcBorders>
                  <w:vAlign w:val="center"/>
                </w:tcPr>
                <w:p w14:paraId="418EBA54">
                  <w:pPr>
                    <w:adjustRightInd w:val="0"/>
                    <w:snapToGrid w:val="0"/>
                    <w:jc w:val="center"/>
                    <w:rPr>
                      <w:rFonts w:eastAsiaTheme="minorEastAsia"/>
                      <w:bCs/>
                      <w:color w:val="auto"/>
                      <w:kern w:val="0"/>
                      <w:szCs w:val="21"/>
                    </w:rPr>
                  </w:pPr>
                  <w:r>
                    <w:rPr>
                      <w:rFonts w:hint="eastAsia" w:eastAsiaTheme="minorEastAsia"/>
                      <w:bCs/>
                      <w:color w:val="auto"/>
                      <w:kern w:val="0"/>
                      <w:szCs w:val="21"/>
                    </w:rPr>
                    <w:t>900-001-S17</w:t>
                  </w:r>
                </w:p>
              </w:tc>
              <w:tc>
                <w:tcPr>
                  <w:tcW w:w="593" w:type="pct"/>
                  <w:tcBorders>
                    <w:tl2br w:val="nil"/>
                    <w:tr2bl w:val="nil"/>
                  </w:tcBorders>
                  <w:vAlign w:val="center"/>
                </w:tcPr>
                <w:p w14:paraId="2D68C026">
                  <w:pPr>
                    <w:adjustRightInd w:val="0"/>
                    <w:snapToGrid w:val="0"/>
                    <w:jc w:val="center"/>
                    <w:rPr>
                      <w:rFonts w:asciiTheme="minorEastAsia" w:hAnsiTheme="minorEastAsia" w:eastAsiaTheme="minorEastAsia" w:cstheme="minorEastAsia"/>
                      <w:bCs/>
                      <w:color w:val="auto"/>
                      <w:kern w:val="0"/>
                      <w:szCs w:val="21"/>
                    </w:rPr>
                  </w:pPr>
                  <w:r>
                    <w:rPr>
                      <w:rFonts w:hint="eastAsia" w:eastAsiaTheme="minorEastAsia"/>
                      <w:bCs/>
                      <w:color w:val="auto"/>
                      <w:kern w:val="0"/>
                      <w:szCs w:val="21"/>
                    </w:rPr>
                    <w:t>250</w:t>
                  </w:r>
                </w:p>
              </w:tc>
              <w:tc>
                <w:tcPr>
                  <w:tcW w:w="448" w:type="pct"/>
                  <w:tcBorders>
                    <w:tl2br w:val="nil"/>
                    <w:tr2bl w:val="nil"/>
                  </w:tcBorders>
                  <w:vAlign w:val="center"/>
                </w:tcPr>
                <w:p w14:paraId="6C753C6A">
                  <w:pPr>
                    <w:adjustRightInd w:val="0"/>
                    <w:snapToGrid w:val="0"/>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回用</w:t>
                  </w:r>
                </w:p>
              </w:tc>
            </w:tr>
            <w:tr w14:paraId="35923A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tcBorders>
                    <w:tl2br w:val="nil"/>
                    <w:tr2bl w:val="nil"/>
                  </w:tcBorders>
                  <w:vAlign w:val="center"/>
                </w:tcPr>
                <w:p w14:paraId="695A4D17">
                  <w:pPr>
                    <w:adjustRightInd w:val="0"/>
                    <w:snapToGrid w:val="0"/>
                    <w:jc w:val="center"/>
                    <w:rPr>
                      <w:rFonts w:eastAsiaTheme="minorEastAsia"/>
                      <w:bCs/>
                      <w:color w:val="auto"/>
                      <w:kern w:val="0"/>
                      <w:szCs w:val="21"/>
                    </w:rPr>
                  </w:pPr>
                  <w:r>
                    <w:rPr>
                      <w:rFonts w:hint="eastAsia" w:eastAsiaTheme="minorEastAsia"/>
                      <w:bCs/>
                      <w:color w:val="auto"/>
                      <w:kern w:val="0"/>
                      <w:szCs w:val="21"/>
                    </w:rPr>
                    <w:t>6</w:t>
                  </w:r>
                </w:p>
              </w:tc>
              <w:tc>
                <w:tcPr>
                  <w:tcW w:w="448" w:type="pct"/>
                  <w:tcBorders>
                    <w:tl2br w:val="nil"/>
                    <w:tr2bl w:val="nil"/>
                  </w:tcBorders>
                  <w:vAlign w:val="center"/>
                </w:tcPr>
                <w:p w14:paraId="72C7DBF0">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废机油</w:t>
                  </w:r>
                </w:p>
              </w:tc>
              <w:tc>
                <w:tcPr>
                  <w:tcW w:w="448" w:type="pct"/>
                  <w:tcBorders>
                    <w:tl2br w:val="nil"/>
                    <w:tr2bl w:val="nil"/>
                  </w:tcBorders>
                  <w:vAlign w:val="center"/>
                </w:tcPr>
                <w:p w14:paraId="2754F289">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危险废物</w:t>
                  </w:r>
                </w:p>
              </w:tc>
              <w:tc>
                <w:tcPr>
                  <w:tcW w:w="448" w:type="pct"/>
                  <w:tcBorders>
                    <w:tl2br w:val="nil"/>
                    <w:tr2bl w:val="nil"/>
                  </w:tcBorders>
                  <w:vAlign w:val="center"/>
                </w:tcPr>
                <w:p w14:paraId="53C5B774">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机修</w:t>
                  </w:r>
                </w:p>
              </w:tc>
              <w:tc>
                <w:tcPr>
                  <w:tcW w:w="448" w:type="pct"/>
                  <w:tcBorders>
                    <w:tl2br w:val="nil"/>
                    <w:tr2bl w:val="nil"/>
                  </w:tcBorders>
                  <w:vAlign w:val="center"/>
                </w:tcPr>
                <w:p w14:paraId="4A9FB643">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液态</w:t>
                  </w:r>
                </w:p>
              </w:tc>
              <w:tc>
                <w:tcPr>
                  <w:tcW w:w="448" w:type="pct"/>
                  <w:tcBorders>
                    <w:tl2br w:val="nil"/>
                    <w:tr2bl w:val="nil"/>
                  </w:tcBorders>
                  <w:vAlign w:val="center"/>
                </w:tcPr>
                <w:p w14:paraId="48ABEF32">
                  <w:pPr>
                    <w:adjustRightInd w:val="0"/>
                    <w:snapToGrid w:val="0"/>
                    <w:jc w:val="center"/>
                    <w:rPr>
                      <w:rFonts w:eastAsiaTheme="minorEastAsia"/>
                      <w:bCs/>
                      <w:color w:val="auto"/>
                      <w:kern w:val="0"/>
                      <w:szCs w:val="21"/>
                    </w:rPr>
                  </w:pPr>
                  <w:r>
                    <w:rPr>
                      <w:rFonts w:hint="eastAsia" w:eastAsiaTheme="minorEastAsia"/>
                      <w:bCs/>
                      <w:color w:val="auto"/>
                      <w:kern w:val="0"/>
                      <w:szCs w:val="21"/>
                    </w:rPr>
                    <w:t>矿物油</w:t>
                  </w:r>
                </w:p>
              </w:tc>
              <w:tc>
                <w:tcPr>
                  <w:tcW w:w="450" w:type="pct"/>
                  <w:tcBorders>
                    <w:tl2br w:val="nil"/>
                    <w:tr2bl w:val="nil"/>
                  </w:tcBorders>
                  <w:vAlign w:val="center"/>
                </w:tcPr>
                <w:p w14:paraId="7DA1A8A2">
                  <w:pPr>
                    <w:adjustRightInd w:val="0"/>
                    <w:snapToGrid w:val="0"/>
                    <w:jc w:val="center"/>
                    <w:rPr>
                      <w:rFonts w:eastAsiaTheme="minorEastAsia"/>
                      <w:bCs/>
                      <w:color w:val="auto"/>
                      <w:kern w:val="0"/>
                      <w:szCs w:val="21"/>
                    </w:rPr>
                  </w:pPr>
                  <w:r>
                    <w:rPr>
                      <w:rFonts w:eastAsiaTheme="minorEastAsia"/>
                      <w:bCs/>
                      <w:color w:val="auto"/>
                      <w:kern w:val="0"/>
                      <w:szCs w:val="21"/>
                    </w:rPr>
                    <w:t>HW</w:t>
                  </w:r>
                </w:p>
                <w:p w14:paraId="0F38CAB2">
                  <w:pPr>
                    <w:adjustRightInd w:val="0"/>
                    <w:snapToGrid w:val="0"/>
                    <w:jc w:val="center"/>
                    <w:rPr>
                      <w:rFonts w:asciiTheme="minorEastAsia" w:hAnsiTheme="minorEastAsia" w:eastAsiaTheme="minorEastAsia" w:cstheme="minorEastAsia"/>
                      <w:bCs/>
                      <w:color w:val="auto"/>
                      <w:kern w:val="0"/>
                      <w:szCs w:val="21"/>
                    </w:rPr>
                  </w:pPr>
                  <w:r>
                    <w:rPr>
                      <w:rFonts w:eastAsiaTheme="minorEastAsia"/>
                      <w:bCs/>
                      <w:color w:val="auto"/>
                      <w:kern w:val="0"/>
                      <w:szCs w:val="21"/>
                    </w:rPr>
                    <w:t>08</w:t>
                  </w:r>
                </w:p>
              </w:tc>
              <w:tc>
                <w:tcPr>
                  <w:tcW w:w="818" w:type="pct"/>
                  <w:tcBorders>
                    <w:tl2br w:val="nil"/>
                    <w:tr2bl w:val="nil"/>
                  </w:tcBorders>
                  <w:vAlign w:val="center"/>
                </w:tcPr>
                <w:p w14:paraId="778D55AC">
                  <w:pPr>
                    <w:adjustRightInd w:val="0"/>
                    <w:snapToGrid w:val="0"/>
                    <w:jc w:val="center"/>
                    <w:rPr>
                      <w:rFonts w:eastAsiaTheme="minorEastAsia"/>
                      <w:bCs/>
                      <w:color w:val="auto"/>
                      <w:kern w:val="0"/>
                      <w:szCs w:val="21"/>
                    </w:rPr>
                  </w:pPr>
                  <w:r>
                    <w:rPr>
                      <w:rFonts w:eastAsiaTheme="minorEastAsia"/>
                      <w:bCs/>
                      <w:color w:val="auto"/>
                      <w:kern w:val="0"/>
                      <w:szCs w:val="21"/>
                    </w:rPr>
                    <w:t>900-249-08</w:t>
                  </w:r>
                </w:p>
              </w:tc>
              <w:tc>
                <w:tcPr>
                  <w:tcW w:w="593" w:type="pct"/>
                  <w:tcBorders>
                    <w:tl2br w:val="nil"/>
                    <w:tr2bl w:val="nil"/>
                  </w:tcBorders>
                  <w:vAlign w:val="center"/>
                </w:tcPr>
                <w:p w14:paraId="6E6F026A">
                  <w:pPr>
                    <w:adjustRightInd w:val="0"/>
                    <w:snapToGrid w:val="0"/>
                    <w:jc w:val="center"/>
                    <w:rPr>
                      <w:rFonts w:eastAsiaTheme="minorEastAsia"/>
                      <w:bCs/>
                      <w:color w:val="auto"/>
                      <w:kern w:val="0"/>
                      <w:szCs w:val="21"/>
                    </w:rPr>
                  </w:pPr>
                  <w:r>
                    <w:rPr>
                      <w:rFonts w:hint="eastAsia" w:eastAsiaTheme="minorEastAsia"/>
                      <w:bCs/>
                      <w:color w:val="auto"/>
                      <w:kern w:val="0"/>
                      <w:szCs w:val="21"/>
                    </w:rPr>
                    <w:t>0.03</w:t>
                  </w:r>
                </w:p>
              </w:tc>
              <w:tc>
                <w:tcPr>
                  <w:tcW w:w="448" w:type="pct"/>
                  <w:tcBorders>
                    <w:tl2br w:val="nil"/>
                    <w:tr2bl w:val="nil"/>
                  </w:tcBorders>
                  <w:vAlign w:val="center"/>
                </w:tcPr>
                <w:p w14:paraId="2E341695">
                  <w:pPr>
                    <w:adjustRightInd w:val="0"/>
                    <w:snapToGrid w:val="0"/>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委托有资质单位处置</w:t>
                  </w:r>
                </w:p>
              </w:tc>
            </w:tr>
            <w:tr w14:paraId="4099BD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tcBorders>
                    <w:tl2br w:val="nil"/>
                    <w:tr2bl w:val="nil"/>
                  </w:tcBorders>
                  <w:vAlign w:val="center"/>
                </w:tcPr>
                <w:p w14:paraId="43C12C01">
                  <w:pPr>
                    <w:adjustRightInd w:val="0"/>
                    <w:snapToGrid w:val="0"/>
                    <w:jc w:val="center"/>
                    <w:rPr>
                      <w:rFonts w:eastAsiaTheme="minorEastAsia"/>
                      <w:bCs/>
                      <w:color w:val="auto"/>
                      <w:kern w:val="0"/>
                      <w:szCs w:val="21"/>
                    </w:rPr>
                  </w:pPr>
                  <w:r>
                    <w:rPr>
                      <w:rFonts w:hint="eastAsia" w:eastAsiaTheme="minorEastAsia"/>
                      <w:bCs/>
                      <w:color w:val="auto"/>
                      <w:kern w:val="0"/>
                      <w:szCs w:val="21"/>
                    </w:rPr>
                    <w:t>7</w:t>
                  </w:r>
                </w:p>
              </w:tc>
              <w:tc>
                <w:tcPr>
                  <w:tcW w:w="448" w:type="pct"/>
                  <w:tcBorders>
                    <w:tl2br w:val="nil"/>
                    <w:tr2bl w:val="nil"/>
                  </w:tcBorders>
                  <w:vAlign w:val="center"/>
                </w:tcPr>
                <w:p w14:paraId="07D8CA4B">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废乳化液</w:t>
                  </w:r>
                </w:p>
              </w:tc>
              <w:tc>
                <w:tcPr>
                  <w:tcW w:w="448" w:type="pct"/>
                  <w:tcBorders>
                    <w:tl2br w:val="nil"/>
                    <w:tr2bl w:val="nil"/>
                  </w:tcBorders>
                  <w:vAlign w:val="center"/>
                </w:tcPr>
                <w:p w14:paraId="27703F47">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危险废物</w:t>
                  </w:r>
                </w:p>
              </w:tc>
              <w:tc>
                <w:tcPr>
                  <w:tcW w:w="448" w:type="pct"/>
                  <w:tcBorders>
                    <w:tl2br w:val="nil"/>
                    <w:tr2bl w:val="nil"/>
                  </w:tcBorders>
                  <w:vAlign w:val="center"/>
                </w:tcPr>
                <w:p w14:paraId="78C833E4">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裁剪</w:t>
                  </w:r>
                </w:p>
              </w:tc>
              <w:tc>
                <w:tcPr>
                  <w:tcW w:w="448" w:type="pct"/>
                  <w:tcBorders>
                    <w:tl2br w:val="nil"/>
                    <w:tr2bl w:val="nil"/>
                  </w:tcBorders>
                  <w:vAlign w:val="center"/>
                </w:tcPr>
                <w:p w14:paraId="738B61C0">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液态</w:t>
                  </w:r>
                </w:p>
              </w:tc>
              <w:tc>
                <w:tcPr>
                  <w:tcW w:w="448" w:type="pct"/>
                  <w:tcBorders>
                    <w:tl2br w:val="nil"/>
                    <w:tr2bl w:val="nil"/>
                  </w:tcBorders>
                  <w:vAlign w:val="center"/>
                </w:tcPr>
                <w:p w14:paraId="6AF1A178">
                  <w:pPr>
                    <w:adjustRightInd w:val="0"/>
                    <w:snapToGrid w:val="0"/>
                    <w:jc w:val="center"/>
                    <w:rPr>
                      <w:rFonts w:eastAsiaTheme="minorEastAsia"/>
                      <w:bCs/>
                      <w:color w:val="auto"/>
                      <w:kern w:val="0"/>
                      <w:szCs w:val="21"/>
                    </w:rPr>
                  </w:pPr>
                  <w:r>
                    <w:rPr>
                      <w:rFonts w:hint="eastAsia" w:eastAsiaTheme="minorEastAsia"/>
                      <w:bCs/>
                      <w:color w:val="auto"/>
                      <w:kern w:val="0"/>
                      <w:szCs w:val="21"/>
                    </w:rPr>
                    <w:t>乳化液</w:t>
                  </w:r>
                </w:p>
              </w:tc>
              <w:tc>
                <w:tcPr>
                  <w:tcW w:w="450" w:type="pct"/>
                  <w:tcBorders>
                    <w:tl2br w:val="nil"/>
                    <w:tr2bl w:val="nil"/>
                  </w:tcBorders>
                  <w:vAlign w:val="center"/>
                </w:tcPr>
                <w:p w14:paraId="65C29FEA">
                  <w:pPr>
                    <w:adjustRightInd w:val="0"/>
                    <w:snapToGrid w:val="0"/>
                    <w:jc w:val="center"/>
                    <w:rPr>
                      <w:rFonts w:eastAsiaTheme="minorEastAsia"/>
                      <w:bCs/>
                      <w:color w:val="auto"/>
                      <w:kern w:val="0"/>
                      <w:szCs w:val="21"/>
                    </w:rPr>
                  </w:pPr>
                  <w:r>
                    <w:rPr>
                      <w:rFonts w:hint="eastAsia" w:eastAsiaTheme="minorEastAsia"/>
                      <w:bCs/>
                      <w:color w:val="auto"/>
                      <w:kern w:val="0"/>
                      <w:szCs w:val="21"/>
                    </w:rPr>
                    <w:t>HW</w:t>
                  </w:r>
                </w:p>
                <w:p w14:paraId="441AB103">
                  <w:pPr>
                    <w:adjustRightInd w:val="0"/>
                    <w:snapToGrid w:val="0"/>
                    <w:jc w:val="center"/>
                    <w:rPr>
                      <w:rFonts w:eastAsiaTheme="minorEastAsia"/>
                      <w:bCs/>
                      <w:color w:val="auto"/>
                      <w:kern w:val="0"/>
                      <w:szCs w:val="21"/>
                    </w:rPr>
                  </w:pPr>
                  <w:r>
                    <w:rPr>
                      <w:rFonts w:hint="eastAsia" w:eastAsiaTheme="minorEastAsia"/>
                      <w:bCs/>
                      <w:color w:val="auto"/>
                      <w:kern w:val="0"/>
                      <w:szCs w:val="21"/>
                    </w:rPr>
                    <w:t>09</w:t>
                  </w:r>
                </w:p>
              </w:tc>
              <w:tc>
                <w:tcPr>
                  <w:tcW w:w="818" w:type="pct"/>
                  <w:tcBorders>
                    <w:tl2br w:val="nil"/>
                    <w:tr2bl w:val="nil"/>
                  </w:tcBorders>
                  <w:vAlign w:val="center"/>
                </w:tcPr>
                <w:p w14:paraId="40FE8A4A">
                  <w:pPr>
                    <w:adjustRightInd w:val="0"/>
                    <w:snapToGrid w:val="0"/>
                    <w:jc w:val="center"/>
                    <w:rPr>
                      <w:rFonts w:eastAsiaTheme="minorEastAsia"/>
                      <w:bCs/>
                      <w:color w:val="auto"/>
                      <w:kern w:val="0"/>
                      <w:szCs w:val="21"/>
                    </w:rPr>
                  </w:pPr>
                  <w:r>
                    <w:rPr>
                      <w:rFonts w:hint="eastAsia" w:eastAsiaTheme="minorEastAsia"/>
                      <w:bCs/>
                      <w:color w:val="auto"/>
                      <w:kern w:val="0"/>
                      <w:szCs w:val="21"/>
                    </w:rPr>
                    <w:t>900-006-09</w:t>
                  </w:r>
                </w:p>
              </w:tc>
              <w:tc>
                <w:tcPr>
                  <w:tcW w:w="593" w:type="pct"/>
                  <w:tcBorders>
                    <w:tl2br w:val="nil"/>
                    <w:tr2bl w:val="nil"/>
                  </w:tcBorders>
                  <w:vAlign w:val="center"/>
                </w:tcPr>
                <w:p w14:paraId="14B47FB0">
                  <w:pPr>
                    <w:adjustRightInd w:val="0"/>
                    <w:snapToGrid w:val="0"/>
                    <w:jc w:val="center"/>
                    <w:rPr>
                      <w:rFonts w:asciiTheme="minorEastAsia" w:hAnsiTheme="minorEastAsia" w:eastAsiaTheme="minorEastAsia" w:cstheme="minorEastAsia"/>
                      <w:bCs/>
                      <w:color w:val="auto"/>
                      <w:kern w:val="0"/>
                      <w:szCs w:val="21"/>
                    </w:rPr>
                  </w:pPr>
                  <w:r>
                    <w:rPr>
                      <w:rFonts w:hint="eastAsia" w:eastAsiaTheme="minorEastAsia"/>
                      <w:bCs/>
                      <w:color w:val="auto"/>
                      <w:kern w:val="0"/>
                      <w:szCs w:val="21"/>
                    </w:rPr>
                    <w:t>1.2</w:t>
                  </w:r>
                </w:p>
              </w:tc>
              <w:tc>
                <w:tcPr>
                  <w:tcW w:w="448" w:type="pct"/>
                  <w:tcBorders>
                    <w:tl2br w:val="nil"/>
                    <w:tr2bl w:val="nil"/>
                  </w:tcBorders>
                  <w:vAlign w:val="center"/>
                </w:tcPr>
                <w:p w14:paraId="2EDEB379">
                  <w:pPr>
                    <w:adjustRightInd w:val="0"/>
                    <w:snapToGrid w:val="0"/>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委托有资质单位处置</w:t>
                  </w:r>
                </w:p>
              </w:tc>
            </w:tr>
            <w:tr w14:paraId="24AB04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tcBorders>
                    <w:tl2br w:val="nil"/>
                    <w:tr2bl w:val="nil"/>
                  </w:tcBorders>
                  <w:vAlign w:val="center"/>
                </w:tcPr>
                <w:p w14:paraId="6F1E61D6">
                  <w:pPr>
                    <w:adjustRightInd w:val="0"/>
                    <w:snapToGrid w:val="0"/>
                    <w:jc w:val="center"/>
                    <w:rPr>
                      <w:rFonts w:eastAsiaTheme="minorEastAsia"/>
                      <w:bCs/>
                      <w:color w:val="auto"/>
                      <w:kern w:val="0"/>
                      <w:szCs w:val="21"/>
                    </w:rPr>
                  </w:pPr>
                  <w:r>
                    <w:rPr>
                      <w:rFonts w:hint="eastAsia" w:eastAsiaTheme="minorEastAsia"/>
                      <w:bCs/>
                      <w:color w:val="auto"/>
                      <w:kern w:val="0"/>
                      <w:szCs w:val="21"/>
                    </w:rPr>
                    <w:t>8</w:t>
                  </w:r>
                </w:p>
              </w:tc>
              <w:tc>
                <w:tcPr>
                  <w:tcW w:w="448" w:type="pct"/>
                  <w:tcBorders>
                    <w:tl2br w:val="nil"/>
                    <w:tr2bl w:val="nil"/>
                  </w:tcBorders>
                  <w:vAlign w:val="center"/>
                </w:tcPr>
                <w:p w14:paraId="1406DDA1">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废液压油</w:t>
                  </w:r>
                </w:p>
              </w:tc>
              <w:tc>
                <w:tcPr>
                  <w:tcW w:w="448" w:type="pct"/>
                  <w:tcBorders>
                    <w:tl2br w:val="nil"/>
                    <w:tr2bl w:val="nil"/>
                  </w:tcBorders>
                  <w:vAlign w:val="center"/>
                </w:tcPr>
                <w:p w14:paraId="04B38614">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危险废物</w:t>
                  </w:r>
                </w:p>
              </w:tc>
              <w:tc>
                <w:tcPr>
                  <w:tcW w:w="448" w:type="pct"/>
                  <w:tcBorders>
                    <w:tl2br w:val="nil"/>
                    <w:tr2bl w:val="nil"/>
                  </w:tcBorders>
                  <w:vAlign w:val="center"/>
                </w:tcPr>
                <w:p w14:paraId="5F6EA1A7">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裁剪</w:t>
                  </w:r>
                </w:p>
              </w:tc>
              <w:tc>
                <w:tcPr>
                  <w:tcW w:w="448" w:type="pct"/>
                  <w:tcBorders>
                    <w:tl2br w:val="nil"/>
                    <w:tr2bl w:val="nil"/>
                  </w:tcBorders>
                  <w:vAlign w:val="center"/>
                </w:tcPr>
                <w:p w14:paraId="77465DF0">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液态</w:t>
                  </w:r>
                </w:p>
              </w:tc>
              <w:tc>
                <w:tcPr>
                  <w:tcW w:w="448" w:type="pct"/>
                  <w:tcBorders>
                    <w:tl2br w:val="nil"/>
                    <w:tr2bl w:val="nil"/>
                  </w:tcBorders>
                  <w:vAlign w:val="center"/>
                </w:tcPr>
                <w:p w14:paraId="5B3534BA">
                  <w:pPr>
                    <w:adjustRightInd w:val="0"/>
                    <w:snapToGrid w:val="0"/>
                    <w:jc w:val="center"/>
                    <w:rPr>
                      <w:rFonts w:eastAsiaTheme="minorEastAsia"/>
                      <w:bCs/>
                      <w:color w:val="auto"/>
                      <w:kern w:val="0"/>
                      <w:szCs w:val="21"/>
                    </w:rPr>
                  </w:pPr>
                  <w:r>
                    <w:rPr>
                      <w:rFonts w:hint="eastAsia" w:eastAsiaTheme="minorEastAsia"/>
                      <w:bCs/>
                      <w:color w:val="auto"/>
                      <w:kern w:val="0"/>
                      <w:szCs w:val="21"/>
                    </w:rPr>
                    <w:t>液压油</w:t>
                  </w:r>
                </w:p>
              </w:tc>
              <w:tc>
                <w:tcPr>
                  <w:tcW w:w="450" w:type="pct"/>
                  <w:tcBorders>
                    <w:tl2br w:val="nil"/>
                    <w:tr2bl w:val="nil"/>
                  </w:tcBorders>
                  <w:vAlign w:val="center"/>
                </w:tcPr>
                <w:p w14:paraId="016C02FD">
                  <w:pPr>
                    <w:adjustRightInd w:val="0"/>
                    <w:snapToGrid w:val="0"/>
                    <w:jc w:val="center"/>
                    <w:rPr>
                      <w:rFonts w:eastAsiaTheme="minorEastAsia"/>
                      <w:bCs/>
                      <w:color w:val="auto"/>
                      <w:kern w:val="0"/>
                      <w:szCs w:val="21"/>
                    </w:rPr>
                  </w:pPr>
                  <w:r>
                    <w:rPr>
                      <w:rFonts w:hint="eastAsia" w:eastAsiaTheme="minorEastAsia"/>
                      <w:bCs/>
                      <w:color w:val="auto"/>
                      <w:kern w:val="0"/>
                      <w:szCs w:val="21"/>
                    </w:rPr>
                    <w:t>HW</w:t>
                  </w:r>
                </w:p>
                <w:p w14:paraId="05694226">
                  <w:pPr>
                    <w:adjustRightInd w:val="0"/>
                    <w:snapToGrid w:val="0"/>
                    <w:jc w:val="center"/>
                    <w:rPr>
                      <w:rFonts w:eastAsiaTheme="minorEastAsia"/>
                      <w:bCs/>
                      <w:color w:val="auto"/>
                      <w:kern w:val="0"/>
                      <w:szCs w:val="21"/>
                    </w:rPr>
                  </w:pPr>
                  <w:r>
                    <w:rPr>
                      <w:rFonts w:hint="eastAsia" w:eastAsiaTheme="minorEastAsia"/>
                      <w:bCs/>
                      <w:color w:val="auto"/>
                      <w:kern w:val="0"/>
                      <w:szCs w:val="21"/>
                    </w:rPr>
                    <w:t>08</w:t>
                  </w:r>
                </w:p>
              </w:tc>
              <w:tc>
                <w:tcPr>
                  <w:tcW w:w="818" w:type="pct"/>
                  <w:tcBorders>
                    <w:tl2br w:val="nil"/>
                    <w:tr2bl w:val="nil"/>
                  </w:tcBorders>
                  <w:vAlign w:val="center"/>
                </w:tcPr>
                <w:p w14:paraId="4649852D">
                  <w:pPr>
                    <w:adjustRightInd w:val="0"/>
                    <w:snapToGrid w:val="0"/>
                    <w:jc w:val="center"/>
                    <w:rPr>
                      <w:rFonts w:eastAsiaTheme="minorEastAsia"/>
                      <w:bCs/>
                      <w:color w:val="auto"/>
                      <w:kern w:val="0"/>
                      <w:szCs w:val="21"/>
                    </w:rPr>
                  </w:pPr>
                  <w:r>
                    <w:rPr>
                      <w:rFonts w:hint="eastAsia" w:eastAsiaTheme="minorEastAsia"/>
                      <w:bCs/>
                      <w:color w:val="auto"/>
                      <w:kern w:val="0"/>
                      <w:szCs w:val="21"/>
                    </w:rPr>
                    <w:t>900-218-08</w:t>
                  </w:r>
                </w:p>
              </w:tc>
              <w:tc>
                <w:tcPr>
                  <w:tcW w:w="593" w:type="pct"/>
                  <w:tcBorders>
                    <w:tl2br w:val="nil"/>
                    <w:tr2bl w:val="nil"/>
                  </w:tcBorders>
                  <w:vAlign w:val="center"/>
                </w:tcPr>
                <w:p w14:paraId="1364B26D">
                  <w:pPr>
                    <w:adjustRightInd w:val="0"/>
                    <w:snapToGrid w:val="0"/>
                    <w:jc w:val="center"/>
                    <w:rPr>
                      <w:rFonts w:asciiTheme="minorEastAsia" w:hAnsiTheme="minorEastAsia" w:eastAsiaTheme="minorEastAsia" w:cstheme="minorEastAsia"/>
                      <w:bCs/>
                      <w:color w:val="auto"/>
                      <w:kern w:val="0"/>
                      <w:szCs w:val="21"/>
                    </w:rPr>
                  </w:pPr>
                  <w:r>
                    <w:rPr>
                      <w:rFonts w:eastAsiaTheme="minorEastAsia"/>
                      <w:bCs/>
                      <w:color w:val="auto"/>
                      <w:kern w:val="0"/>
                      <w:szCs w:val="21"/>
                    </w:rPr>
                    <w:t>0.02</w:t>
                  </w:r>
                </w:p>
              </w:tc>
              <w:tc>
                <w:tcPr>
                  <w:tcW w:w="448" w:type="pct"/>
                  <w:tcBorders>
                    <w:tl2br w:val="nil"/>
                    <w:tr2bl w:val="nil"/>
                  </w:tcBorders>
                  <w:vAlign w:val="center"/>
                </w:tcPr>
                <w:p w14:paraId="7CAB4540">
                  <w:pPr>
                    <w:adjustRightInd w:val="0"/>
                    <w:snapToGrid w:val="0"/>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委托有资质单位处置</w:t>
                  </w:r>
                </w:p>
              </w:tc>
            </w:tr>
            <w:tr w14:paraId="33A90E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tcBorders>
                    <w:tl2br w:val="nil"/>
                    <w:tr2bl w:val="nil"/>
                  </w:tcBorders>
                  <w:vAlign w:val="center"/>
                </w:tcPr>
                <w:p w14:paraId="4BDA0613">
                  <w:pPr>
                    <w:adjustRightInd w:val="0"/>
                    <w:snapToGrid w:val="0"/>
                    <w:jc w:val="center"/>
                    <w:rPr>
                      <w:rFonts w:eastAsiaTheme="minorEastAsia"/>
                      <w:bCs/>
                      <w:color w:val="auto"/>
                      <w:kern w:val="0"/>
                      <w:szCs w:val="21"/>
                    </w:rPr>
                  </w:pPr>
                  <w:r>
                    <w:rPr>
                      <w:rFonts w:hint="eastAsia" w:eastAsiaTheme="minorEastAsia"/>
                      <w:bCs/>
                      <w:color w:val="auto"/>
                      <w:kern w:val="0"/>
                      <w:szCs w:val="21"/>
                    </w:rPr>
                    <w:t>9</w:t>
                  </w:r>
                </w:p>
              </w:tc>
              <w:tc>
                <w:tcPr>
                  <w:tcW w:w="448" w:type="pct"/>
                  <w:tcBorders>
                    <w:tl2br w:val="nil"/>
                    <w:tr2bl w:val="nil"/>
                  </w:tcBorders>
                  <w:vAlign w:val="center"/>
                </w:tcPr>
                <w:p w14:paraId="1472444F">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除尘灰</w:t>
                  </w:r>
                </w:p>
              </w:tc>
              <w:tc>
                <w:tcPr>
                  <w:tcW w:w="448" w:type="pct"/>
                  <w:tcBorders>
                    <w:tl2br w:val="nil"/>
                    <w:tr2bl w:val="nil"/>
                  </w:tcBorders>
                  <w:vAlign w:val="center"/>
                </w:tcPr>
                <w:p w14:paraId="36A107B5">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一般固废</w:t>
                  </w:r>
                </w:p>
              </w:tc>
              <w:tc>
                <w:tcPr>
                  <w:tcW w:w="448" w:type="pct"/>
                  <w:tcBorders>
                    <w:tl2br w:val="nil"/>
                    <w:tr2bl w:val="nil"/>
                  </w:tcBorders>
                  <w:vAlign w:val="center"/>
                </w:tcPr>
                <w:p w14:paraId="753185A5">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废气处理</w:t>
                  </w:r>
                </w:p>
              </w:tc>
              <w:tc>
                <w:tcPr>
                  <w:tcW w:w="448" w:type="pct"/>
                  <w:tcBorders>
                    <w:tl2br w:val="nil"/>
                    <w:tr2bl w:val="nil"/>
                  </w:tcBorders>
                  <w:vAlign w:val="center"/>
                </w:tcPr>
                <w:p w14:paraId="1846D7DD">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固态</w:t>
                  </w:r>
                </w:p>
              </w:tc>
              <w:tc>
                <w:tcPr>
                  <w:tcW w:w="448" w:type="pct"/>
                  <w:tcBorders>
                    <w:tl2br w:val="nil"/>
                    <w:tr2bl w:val="nil"/>
                  </w:tcBorders>
                  <w:vAlign w:val="center"/>
                </w:tcPr>
                <w:p w14:paraId="6E46A104">
                  <w:pPr>
                    <w:adjustRightInd w:val="0"/>
                    <w:snapToGrid w:val="0"/>
                    <w:jc w:val="center"/>
                    <w:rPr>
                      <w:rFonts w:eastAsiaTheme="minorEastAsia"/>
                      <w:bCs/>
                      <w:color w:val="auto"/>
                      <w:kern w:val="0"/>
                      <w:szCs w:val="21"/>
                    </w:rPr>
                  </w:pPr>
                  <w:r>
                    <w:rPr>
                      <w:rFonts w:hint="eastAsia" w:eastAsiaTheme="minorEastAsia"/>
                      <w:bCs/>
                      <w:color w:val="auto"/>
                      <w:kern w:val="0"/>
                      <w:szCs w:val="21"/>
                    </w:rPr>
                    <w:t>灰尘</w:t>
                  </w:r>
                </w:p>
              </w:tc>
              <w:tc>
                <w:tcPr>
                  <w:tcW w:w="450" w:type="pct"/>
                  <w:tcBorders>
                    <w:tl2br w:val="nil"/>
                    <w:tr2bl w:val="nil"/>
                  </w:tcBorders>
                  <w:vAlign w:val="center"/>
                </w:tcPr>
                <w:p w14:paraId="61F27EE9">
                  <w:pPr>
                    <w:adjustRightInd w:val="0"/>
                    <w:snapToGrid w:val="0"/>
                    <w:jc w:val="center"/>
                    <w:rPr>
                      <w:rFonts w:eastAsiaTheme="minorEastAsia"/>
                      <w:bCs/>
                      <w:color w:val="auto"/>
                      <w:kern w:val="0"/>
                      <w:szCs w:val="21"/>
                    </w:rPr>
                  </w:pPr>
                  <w:r>
                    <w:rPr>
                      <w:rFonts w:hint="eastAsia" w:asciiTheme="minorEastAsia" w:hAnsiTheme="minorEastAsia" w:eastAsiaTheme="minorEastAsia" w:cstheme="minorEastAsia"/>
                      <w:bCs/>
                      <w:color w:val="auto"/>
                      <w:kern w:val="0"/>
                      <w:szCs w:val="21"/>
                    </w:rPr>
                    <w:t>一般固废</w:t>
                  </w:r>
                </w:p>
              </w:tc>
              <w:tc>
                <w:tcPr>
                  <w:tcW w:w="818" w:type="pct"/>
                  <w:tcBorders>
                    <w:tl2br w:val="nil"/>
                    <w:tr2bl w:val="nil"/>
                  </w:tcBorders>
                  <w:vAlign w:val="center"/>
                </w:tcPr>
                <w:p w14:paraId="0E4D58A3">
                  <w:pPr>
                    <w:adjustRightInd w:val="0"/>
                    <w:snapToGrid w:val="0"/>
                    <w:jc w:val="center"/>
                    <w:rPr>
                      <w:rFonts w:eastAsiaTheme="minorEastAsia"/>
                      <w:bCs/>
                      <w:color w:val="auto"/>
                      <w:kern w:val="0"/>
                      <w:szCs w:val="21"/>
                    </w:rPr>
                  </w:pPr>
                  <w:r>
                    <w:rPr>
                      <w:rFonts w:hint="eastAsia" w:eastAsiaTheme="minorEastAsia"/>
                      <w:bCs/>
                      <w:color w:val="auto"/>
                      <w:kern w:val="0"/>
                      <w:szCs w:val="21"/>
                    </w:rPr>
                    <w:t>900-099-S16</w:t>
                  </w:r>
                </w:p>
              </w:tc>
              <w:tc>
                <w:tcPr>
                  <w:tcW w:w="593" w:type="pct"/>
                  <w:tcBorders>
                    <w:tl2br w:val="nil"/>
                    <w:tr2bl w:val="nil"/>
                  </w:tcBorders>
                  <w:vAlign w:val="center"/>
                </w:tcPr>
                <w:p w14:paraId="0C09C541">
                  <w:pPr>
                    <w:adjustRightInd w:val="0"/>
                    <w:snapToGrid w:val="0"/>
                    <w:jc w:val="center"/>
                    <w:rPr>
                      <w:rFonts w:hint="default" w:asciiTheme="minorEastAsia" w:hAnsiTheme="minorEastAsia" w:eastAsiaTheme="minorEastAsia" w:cstheme="minorEastAsia"/>
                      <w:bCs/>
                      <w:color w:val="auto"/>
                      <w:kern w:val="0"/>
                      <w:szCs w:val="21"/>
                      <w:lang w:val="en-US" w:eastAsia="zh-CN"/>
                    </w:rPr>
                  </w:pPr>
                  <w:r>
                    <w:rPr>
                      <w:rFonts w:hint="eastAsia" w:eastAsiaTheme="minorEastAsia"/>
                      <w:bCs/>
                      <w:color w:val="auto"/>
                      <w:kern w:val="0"/>
                      <w:szCs w:val="21"/>
                      <w:lang w:val="en-US" w:eastAsia="zh-CN"/>
                    </w:rPr>
                    <w:t>50.5</w:t>
                  </w:r>
                </w:p>
              </w:tc>
              <w:tc>
                <w:tcPr>
                  <w:tcW w:w="448" w:type="pct"/>
                  <w:tcBorders>
                    <w:tl2br w:val="nil"/>
                    <w:tr2bl w:val="nil"/>
                  </w:tcBorders>
                  <w:vAlign w:val="center"/>
                </w:tcPr>
                <w:p w14:paraId="7A13CC52">
                  <w:pPr>
                    <w:adjustRightInd w:val="0"/>
                    <w:snapToGrid w:val="0"/>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回用</w:t>
                  </w:r>
                </w:p>
              </w:tc>
            </w:tr>
            <w:tr w14:paraId="65CD8B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tcBorders>
                    <w:tl2br w:val="nil"/>
                    <w:tr2bl w:val="nil"/>
                  </w:tcBorders>
                  <w:vAlign w:val="center"/>
                </w:tcPr>
                <w:p w14:paraId="52B2ACE3">
                  <w:pPr>
                    <w:adjustRightInd w:val="0"/>
                    <w:snapToGrid w:val="0"/>
                    <w:jc w:val="center"/>
                    <w:rPr>
                      <w:rFonts w:eastAsiaTheme="minorEastAsia"/>
                      <w:bCs/>
                      <w:color w:val="auto"/>
                      <w:kern w:val="0"/>
                      <w:szCs w:val="21"/>
                    </w:rPr>
                  </w:pPr>
                  <w:r>
                    <w:rPr>
                      <w:rFonts w:hint="eastAsia" w:eastAsiaTheme="minorEastAsia"/>
                      <w:bCs/>
                      <w:color w:val="auto"/>
                      <w:kern w:val="0"/>
                      <w:szCs w:val="21"/>
                    </w:rPr>
                    <w:t>10</w:t>
                  </w:r>
                </w:p>
              </w:tc>
              <w:tc>
                <w:tcPr>
                  <w:tcW w:w="448" w:type="pct"/>
                  <w:tcBorders>
                    <w:tl2br w:val="nil"/>
                    <w:tr2bl w:val="nil"/>
                  </w:tcBorders>
                  <w:vAlign w:val="center"/>
                </w:tcPr>
                <w:p w14:paraId="6E59ED29">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生活垃圾</w:t>
                  </w:r>
                </w:p>
              </w:tc>
              <w:tc>
                <w:tcPr>
                  <w:tcW w:w="448" w:type="pct"/>
                  <w:tcBorders>
                    <w:tl2br w:val="nil"/>
                    <w:tr2bl w:val="nil"/>
                  </w:tcBorders>
                  <w:vAlign w:val="center"/>
                </w:tcPr>
                <w:p w14:paraId="0731C3F4">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w:t>
                  </w:r>
                </w:p>
              </w:tc>
              <w:tc>
                <w:tcPr>
                  <w:tcW w:w="448" w:type="pct"/>
                  <w:tcBorders>
                    <w:tl2br w:val="nil"/>
                    <w:tr2bl w:val="nil"/>
                  </w:tcBorders>
                  <w:vAlign w:val="center"/>
                </w:tcPr>
                <w:p w14:paraId="3A921B90">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职工生活</w:t>
                  </w:r>
                </w:p>
              </w:tc>
              <w:tc>
                <w:tcPr>
                  <w:tcW w:w="448" w:type="pct"/>
                  <w:tcBorders>
                    <w:tl2br w:val="nil"/>
                    <w:tr2bl w:val="nil"/>
                  </w:tcBorders>
                  <w:vAlign w:val="center"/>
                </w:tcPr>
                <w:p w14:paraId="32A5D404">
                  <w:pPr>
                    <w:adjustRightInd w:val="0"/>
                    <w:snapToGrid w:val="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固态</w:t>
                  </w:r>
                </w:p>
              </w:tc>
              <w:tc>
                <w:tcPr>
                  <w:tcW w:w="448" w:type="pct"/>
                  <w:tcBorders>
                    <w:tl2br w:val="nil"/>
                    <w:tr2bl w:val="nil"/>
                  </w:tcBorders>
                  <w:vAlign w:val="center"/>
                </w:tcPr>
                <w:p w14:paraId="1C34D7BC">
                  <w:pPr>
                    <w:adjustRightInd w:val="0"/>
                    <w:snapToGrid w:val="0"/>
                    <w:jc w:val="center"/>
                    <w:rPr>
                      <w:rFonts w:eastAsiaTheme="minorEastAsia"/>
                      <w:bCs/>
                      <w:color w:val="auto"/>
                      <w:kern w:val="0"/>
                      <w:szCs w:val="21"/>
                    </w:rPr>
                  </w:pPr>
                  <w:r>
                    <w:rPr>
                      <w:rFonts w:hint="eastAsia" w:eastAsiaTheme="minorEastAsia"/>
                      <w:bCs/>
                      <w:color w:val="auto"/>
                      <w:kern w:val="0"/>
                      <w:szCs w:val="21"/>
                    </w:rPr>
                    <w:t>瓜果纸皮等</w:t>
                  </w:r>
                </w:p>
              </w:tc>
              <w:tc>
                <w:tcPr>
                  <w:tcW w:w="450" w:type="pct"/>
                  <w:tcBorders>
                    <w:tl2br w:val="nil"/>
                    <w:tr2bl w:val="nil"/>
                  </w:tcBorders>
                  <w:vAlign w:val="center"/>
                </w:tcPr>
                <w:p w14:paraId="6C5BF307">
                  <w:pPr>
                    <w:adjustRightInd w:val="0"/>
                    <w:snapToGrid w:val="0"/>
                    <w:jc w:val="center"/>
                    <w:rPr>
                      <w:rFonts w:eastAsiaTheme="minorEastAsia"/>
                      <w:bCs/>
                      <w:color w:val="auto"/>
                      <w:kern w:val="0"/>
                      <w:szCs w:val="21"/>
                    </w:rPr>
                  </w:pPr>
                  <w:r>
                    <w:rPr>
                      <w:rFonts w:hint="eastAsia" w:eastAsiaTheme="minorEastAsia"/>
                      <w:bCs/>
                      <w:color w:val="auto"/>
                      <w:kern w:val="0"/>
                      <w:szCs w:val="21"/>
                    </w:rPr>
                    <w:t>/</w:t>
                  </w:r>
                </w:p>
              </w:tc>
              <w:tc>
                <w:tcPr>
                  <w:tcW w:w="818" w:type="pct"/>
                  <w:tcBorders>
                    <w:tl2br w:val="nil"/>
                    <w:tr2bl w:val="nil"/>
                  </w:tcBorders>
                  <w:vAlign w:val="center"/>
                </w:tcPr>
                <w:p w14:paraId="261AE06F">
                  <w:pPr>
                    <w:adjustRightInd w:val="0"/>
                    <w:snapToGrid w:val="0"/>
                    <w:jc w:val="center"/>
                    <w:rPr>
                      <w:rFonts w:eastAsiaTheme="minorEastAsia"/>
                      <w:bCs/>
                      <w:color w:val="auto"/>
                      <w:kern w:val="0"/>
                      <w:szCs w:val="21"/>
                    </w:rPr>
                  </w:pPr>
                  <w:r>
                    <w:rPr>
                      <w:rFonts w:hint="eastAsia" w:eastAsiaTheme="minorEastAsia"/>
                      <w:bCs/>
                      <w:color w:val="auto"/>
                      <w:kern w:val="0"/>
                      <w:szCs w:val="21"/>
                    </w:rPr>
                    <w:t>/</w:t>
                  </w:r>
                </w:p>
              </w:tc>
              <w:tc>
                <w:tcPr>
                  <w:tcW w:w="593" w:type="pct"/>
                  <w:tcBorders>
                    <w:tl2br w:val="nil"/>
                    <w:tr2bl w:val="nil"/>
                  </w:tcBorders>
                  <w:vAlign w:val="center"/>
                </w:tcPr>
                <w:p w14:paraId="65E61A5C">
                  <w:pPr>
                    <w:adjustRightInd w:val="0"/>
                    <w:snapToGrid w:val="0"/>
                    <w:jc w:val="center"/>
                    <w:rPr>
                      <w:rFonts w:asciiTheme="minorEastAsia" w:hAnsiTheme="minorEastAsia" w:eastAsiaTheme="minorEastAsia" w:cstheme="minorEastAsia"/>
                      <w:bCs/>
                      <w:color w:val="auto"/>
                      <w:kern w:val="0"/>
                      <w:szCs w:val="21"/>
                    </w:rPr>
                  </w:pPr>
                  <w:r>
                    <w:rPr>
                      <w:rFonts w:hint="eastAsia" w:eastAsiaTheme="minorEastAsia"/>
                      <w:bCs/>
                      <w:color w:val="auto"/>
                      <w:kern w:val="0"/>
                      <w:szCs w:val="21"/>
                    </w:rPr>
                    <w:t>6.25</w:t>
                  </w:r>
                </w:p>
              </w:tc>
              <w:tc>
                <w:tcPr>
                  <w:tcW w:w="448" w:type="pct"/>
                  <w:tcBorders>
                    <w:tl2br w:val="nil"/>
                    <w:tr2bl w:val="nil"/>
                  </w:tcBorders>
                  <w:vAlign w:val="center"/>
                </w:tcPr>
                <w:p w14:paraId="4A74FE57">
                  <w:pPr>
                    <w:adjustRightInd w:val="0"/>
                    <w:snapToGrid w:val="0"/>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环卫清理</w:t>
                  </w:r>
                </w:p>
              </w:tc>
            </w:tr>
          </w:tbl>
          <w:p w14:paraId="129B4A43">
            <w:pPr>
              <w:adjustRightInd w:val="0"/>
              <w:spacing w:line="360" w:lineRule="auto"/>
              <w:ind w:firstLine="482"/>
              <w:rPr>
                <w:rFonts w:ascii="宋体" w:hAnsi="宋体" w:cs="宋体"/>
                <w:bCs/>
                <w:color w:val="auto"/>
                <w:sz w:val="24"/>
                <w:lang w:bidi="ar"/>
              </w:rPr>
            </w:pPr>
          </w:p>
          <w:p w14:paraId="64EA27E3">
            <w:pPr>
              <w:adjustRightInd w:val="0"/>
              <w:snapToGri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5、地下水及土壤环境影响</w:t>
            </w:r>
          </w:p>
          <w:p w14:paraId="193EFB57">
            <w:pPr>
              <w:spacing w:line="360" w:lineRule="auto"/>
              <w:ind w:firstLine="472" w:firstLineChars="200"/>
              <w:rPr>
                <w:rFonts w:ascii="宋体" w:hAnsi="宋体" w:cs="宋体"/>
                <w:bCs/>
                <w:color w:val="auto"/>
                <w:spacing w:val="-2"/>
                <w:sz w:val="24"/>
              </w:rPr>
            </w:pPr>
            <w:r>
              <w:rPr>
                <w:rFonts w:hint="eastAsia" w:ascii="宋体" w:hAnsi="宋体" w:cs="宋体"/>
                <w:bCs/>
                <w:color w:val="auto"/>
                <w:spacing w:val="-2"/>
                <w:sz w:val="24"/>
              </w:rPr>
              <w:t>根据项目特点，对地下水及土壤环境影响很小，对项目区进行分区防渗。根据导则要求，结合项目区地质情况以及项目区对地下水的污染途径，项目区分为简单防渗区、一般防渗区和重点防渗区，详情见表</w:t>
            </w:r>
            <w:r>
              <w:rPr>
                <w:rFonts w:hint="default" w:ascii="Times New Roman" w:hAnsi="Times New Roman" w:cs="Times New Roman"/>
                <w:bCs/>
                <w:color w:val="auto"/>
                <w:spacing w:val="-2"/>
                <w:sz w:val="24"/>
              </w:rPr>
              <w:t>4-18</w:t>
            </w:r>
            <w:r>
              <w:rPr>
                <w:rFonts w:hint="eastAsia" w:ascii="宋体" w:hAnsi="宋体" w:cs="宋体"/>
                <w:bCs/>
                <w:color w:val="auto"/>
                <w:spacing w:val="-2"/>
                <w:sz w:val="24"/>
              </w:rPr>
              <w:t>：</w:t>
            </w:r>
          </w:p>
          <w:p w14:paraId="78BC28E9">
            <w:pPr>
              <w:pStyle w:val="100"/>
              <w:spacing w:line="360" w:lineRule="auto"/>
              <w:jc w:val="center"/>
              <w:rPr>
                <w:b/>
                <w:color w:val="auto"/>
                <w:sz w:val="21"/>
                <w:szCs w:val="21"/>
              </w:rPr>
            </w:pPr>
            <w:r>
              <w:rPr>
                <w:rFonts w:hint="eastAsia"/>
                <w:b/>
                <w:color w:val="auto"/>
                <w:spacing w:val="6"/>
                <w:sz w:val="21"/>
                <w:szCs w:val="21"/>
              </w:rPr>
              <w:t>表</w:t>
            </w:r>
            <w:r>
              <w:rPr>
                <w:rFonts w:hint="eastAsia"/>
                <w:b/>
                <w:color w:val="auto"/>
                <w:spacing w:val="-28"/>
                <w:sz w:val="21"/>
                <w:szCs w:val="21"/>
              </w:rPr>
              <w:t xml:space="preserve"> </w:t>
            </w:r>
            <w:r>
              <w:rPr>
                <w:rFonts w:hint="eastAsia"/>
                <w:b/>
                <w:bCs/>
                <w:color w:val="auto"/>
                <w:spacing w:val="6"/>
                <w:sz w:val="21"/>
                <w:szCs w:val="21"/>
              </w:rPr>
              <w:t xml:space="preserve">4-18   </w:t>
            </w:r>
            <w:r>
              <w:rPr>
                <w:rFonts w:hint="eastAsia"/>
                <w:b/>
                <w:color w:val="auto"/>
                <w:spacing w:val="6"/>
                <w:sz w:val="21"/>
                <w:szCs w:val="21"/>
              </w:rPr>
              <w:t>项目防渗分区一览表</w:t>
            </w:r>
          </w:p>
          <w:tbl>
            <w:tblPr>
              <w:tblStyle w:val="102"/>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23"/>
              <w:gridCol w:w="2252"/>
              <w:gridCol w:w="1000"/>
              <w:gridCol w:w="1000"/>
              <w:gridCol w:w="3144"/>
            </w:tblGrid>
            <w:tr w14:paraId="2BD311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389" w:type="pct"/>
                  <w:tcBorders>
                    <w:tl2br w:val="nil"/>
                    <w:tr2bl w:val="nil"/>
                  </w:tcBorders>
                  <w:vAlign w:val="center"/>
                </w:tcPr>
                <w:p w14:paraId="08AA4167">
                  <w:pPr>
                    <w:pStyle w:val="100"/>
                    <w:spacing w:line="240" w:lineRule="atLeast"/>
                    <w:jc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pacing w:val="6"/>
                      <w:sz w:val="21"/>
                      <w:szCs w:val="21"/>
                    </w:rPr>
                    <w:t>序号</w:t>
                  </w:r>
                </w:p>
              </w:tc>
              <w:tc>
                <w:tcPr>
                  <w:tcW w:w="1403" w:type="pct"/>
                  <w:tcBorders>
                    <w:tl2br w:val="nil"/>
                    <w:tr2bl w:val="nil"/>
                  </w:tcBorders>
                  <w:vAlign w:val="center"/>
                </w:tcPr>
                <w:p w14:paraId="17065AE1">
                  <w:pPr>
                    <w:pStyle w:val="100"/>
                    <w:spacing w:line="240" w:lineRule="atLeast"/>
                    <w:jc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pacing w:val="9"/>
                      <w:sz w:val="21"/>
                      <w:szCs w:val="21"/>
                    </w:rPr>
                    <w:t>装置、单元名称</w:t>
                  </w:r>
                </w:p>
              </w:tc>
              <w:tc>
                <w:tcPr>
                  <w:tcW w:w="623" w:type="pct"/>
                  <w:tcBorders>
                    <w:tl2br w:val="nil"/>
                    <w:tr2bl w:val="nil"/>
                  </w:tcBorders>
                  <w:vAlign w:val="center"/>
                </w:tcPr>
                <w:p w14:paraId="5F7FE22A">
                  <w:pPr>
                    <w:pStyle w:val="100"/>
                    <w:spacing w:line="240" w:lineRule="atLeast"/>
                    <w:ind w:right="184"/>
                    <w:jc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pacing w:val="8"/>
                      <w:sz w:val="21"/>
                      <w:szCs w:val="21"/>
                    </w:rPr>
                    <w:t>污染防治区域</w:t>
                  </w:r>
                </w:p>
              </w:tc>
              <w:tc>
                <w:tcPr>
                  <w:tcW w:w="623" w:type="pct"/>
                  <w:tcBorders>
                    <w:tl2br w:val="nil"/>
                    <w:tr2bl w:val="nil"/>
                  </w:tcBorders>
                  <w:vAlign w:val="center"/>
                </w:tcPr>
                <w:p w14:paraId="268C14EC">
                  <w:pPr>
                    <w:pStyle w:val="100"/>
                    <w:spacing w:line="240" w:lineRule="atLeast"/>
                    <w:ind w:right="202"/>
                    <w:jc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pacing w:val="8"/>
                      <w:sz w:val="21"/>
                      <w:szCs w:val="21"/>
                    </w:rPr>
                    <w:t>污染防治区</w:t>
                  </w:r>
                  <w:r>
                    <w:rPr>
                      <w:rFonts w:ascii="Times New Roman" w:hAnsi="Times New Roman" w:eastAsia="Times New Roman" w:cs="Times New Roman"/>
                      <w:b/>
                      <w:color w:val="auto"/>
                      <w:spacing w:val="6"/>
                      <w:sz w:val="21"/>
                      <w:szCs w:val="21"/>
                    </w:rPr>
                    <w:t>类别</w:t>
                  </w:r>
                </w:p>
              </w:tc>
              <w:tc>
                <w:tcPr>
                  <w:tcW w:w="1959" w:type="pct"/>
                  <w:tcBorders>
                    <w:tl2br w:val="nil"/>
                    <w:tr2bl w:val="nil"/>
                  </w:tcBorders>
                  <w:vAlign w:val="center"/>
                </w:tcPr>
                <w:p w14:paraId="53D41A59">
                  <w:pPr>
                    <w:pStyle w:val="100"/>
                    <w:spacing w:line="240" w:lineRule="atLeast"/>
                    <w:jc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pacing w:val="6"/>
                      <w:sz w:val="21"/>
                      <w:szCs w:val="21"/>
                    </w:rPr>
                    <w:t>防渗技术要求</w:t>
                  </w:r>
                </w:p>
              </w:tc>
            </w:tr>
            <w:tr w14:paraId="6760C0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389" w:type="pct"/>
                  <w:tcBorders>
                    <w:tl2br w:val="nil"/>
                    <w:tr2bl w:val="nil"/>
                  </w:tcBorders>
                  <w:vAlign w:val="center"/>
                </w:tcPr>
                <w:p w14:paraId="1D2C9F5F">
                  <w:pPr>
                    <w:kinsoku w:val="0"/>
                    <w:autoSpaceDE w:val="0"/>
                    <w:autoSpaceDN w:val="0"/>
                    <w:adjustRightInd w:val="0"/>
                    <w:snapToGrid w:val="0"/>
                    <w:spacing w:line="240" w:lineRule="atLeast"/>
                    <w:jc w:val="center"/>
                    <w:textAlignment w:val="baseline"/>
                    <w:rPr>
                      <w:rFonts w:eastAsia="Times New Roman"/>
                      <w:color w:val="auto"/>
                      <w:szCs w:val="21"/>
                    </w:rPr>
                  </w:pPr>
                  <w:r>
                    <w:rPr>
                      <w:rFonts w:eastAsia="Times New Roman"/>
                      <w:color w:val="auto"/>
                    </w:rPr>
                    <w:t>1</w:t>
                  </w:r>
                </w:p>
              </w:tc>
              <w:tc>
                <w:tcPr>
                  <w:tcW w:w="1403" w:type="pct"/>
                  <w:tcBorders>
                    <w:tl2br w:val="nil"/>
                    <w:tr2bl w:val="nil"/>
                  </w:tcBorders>
                  <w:vAlign w:val="center"/>
                </w:tcPr>
                <w:p w14:paraId="29DA6081">
                  <w:pPr>
                    <w:pStyle w:val="100"/>
                    <w:spacing w:line="240" w:lineRule="atLeast"/>
                    <w:ind w:right="105"/>
                    <w:jc w:val="center"/>
                    <w:rPr>
                      <w:rFonts w:hint="default" w:ascii="Times New Roman" w:hAnsi="Times New Roman" w:eastAsia="宋体" w:cs="Times New Roman"/>
                      <w:color w:val="auto"/>
                      <w:spacing w:val="3"/>
                      <w:sz w:val="21"/>
                      <w:szCs w:val="21"/>
                      <w:lang w:val="en-US" w:eastAsia="zh-CN"/>
                    </w:rPr>
                  </w:pPr>
                  <w:r>
                    <w:rPr>
                      <w:rFonts w:hint="eastAsia" w:ascii="Times New Roman" w:hAnsi="Times New Roman" w:cs="Times New Roman"/>
                      <w:color w:val="auto"/>
                      <w:spacing w:val="3"/>
                      <w:sz w:val="21"/>
                      <w:szCs w:val="21"/>
                      <w:lang w:val="en-US" w:eastAsia="zh-CN"/>
                    </w:rPr>
                    <w:t>危废暂存间</w:t>
                  </w:r>
                </w:p>
              </w:tc>
              <w:tc>
                <w:tcPr>
                  <w:tcW w:w="623" w:type="pct"/>
                  <w:tcBorders>
                    <w:tl2br w:val="nil"/>
                    <w:tr2bl w:val="nil"/>
                  </w:tcBorders>
                  <w:vAlign w:val="center"/>
                </w:tcPr>
                <w:p w14:paraId="3F53DB03">
                  <w:pPr>
                    <w:pStyle w:val="100"/>
                    <w:spacing w:line="240" w:lineRule="atLeast"/>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4"/>
                      <w:sz w:val="21"/>
                      <w:szCs w:val="21"/>
                    </w:rPr>
                    <w:t>地面</w:t>
                  </w:r>
                </w:p>
              </w:tc>
              <w:tc>
                <w:tcPr>
                  <w:tcW w:w="623" w:type="pct"/>
                  <w:tcBorders>
                    <w:tl2br w:val="nil"/>
                    <w:tr2bl w:val="nil"/>
                  </w:tcBorders>
                  <w:vAlign w:val="center"/>
                </w:tcPr>
                <w:p w14:paraId="78DF9BE6">
                  <w:pPr>
                    <w:pStyle w:val="100"/>
                    <w:spacing w:line="240" w:lineRule="atLeast"/>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7"/>
                      <w:sz w:val="21"/>
                      <w:szCs w:val="21"/>
                    </w:rPr>
                    <w:t>重点防渗区</w:t>
                  </w:r>
                </w:p>
              </w:tc>
              <w:tc>
                <w:tcPr>
                  <w:tcW w:w="1959" w:type="pct"/>
                  <w:tcBorders>
                    <w:tl2br w:val="nil"/>
                    <w:tr2bl w:val="nil"/>
                  </w:tcBorders>
                  <w:vAlign w:val="center"/>
                </w:tcPr>
                <w:p w14:paraId="220D170A">
                  <w:pPr>
                    <w:pStyle w:val="100"/>
                    <w:ind w:right="186"/>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8"/>
                      <w:sz w:val="21"/>
                      <w:szCs w:val="21"/>
                    </w:rPr>
                    <w:t>采用钢筋混凝土结构，并敷设2mm厚高密度聚乙烯土工膜（HDPE膜)，防渗区满足：等效黏土防渗层</w:t>
                  </w:r>
                  <w:r>
                    <w:rPr>
                      <w:rFonts w:ascii="Times New Roman" w:hAnsi="Times New Roman" w:eastAsia="Times New Roman" w:cs="Times New Roman"/>
                      <w:color w:val="auto"/>
                      <w:spacing w:val="2"/>
                      <w:sz w:val="21"/>
                      <w:szCs w:val="21"/>
                    </w:rPr>
                    <w:t xml:space="preserve"> </w:t>
                  </w:r>
                  <w:r>
                    <w:rPr>
                      <w:rFonts w:ascii="Times New Roman" w:hAnsi="Times New Roman" w:eastAsia="Times New Roman" w:cs="Times New Roman"/>
                      <w:color w:val="auto"/>
                      <w:sz w:val="21"/>
                      <w:szCs w:val="21"/>
                    </w:rPr>
                    <w:t>Mb</w:t>
                  </w:r>
                  <w:r>
                    <w:rPr>
                      <w:rFonts w:ascii="Times New Roman" w:hAnsi="Times New Roman" w:eastAsia="Times New Roman" w:cs="Times New Roman"/>
                      <w:color w:val="auto"/>
                      <w:spacing w:val="5"/>
                      <w:sz w:val="21"/>
                      <w:szCs w:val="21"/>
                    </w:rPr>
                    <w:t>≥6.0m，</w:t>
                  </w:r>
                  <w:r>
                    <w:rPr>
                      <w:rFonts w:ascii="Times New Roman" w:hAnsi="Times New Roman" w:eastAsia="Times New Roman" w:cs="Times New Roman"/>
                      <w:color w:val="auto"/>
                      <w:spacing w:val="2"/>
                      <w:sz w:val="21"/>
                      <w:szCs w:val="21"/>
                    </w:rPr>
                    <w:t>K≤1×</w:t>
                  </w:r>
                  <w:r>
                    <w:rPr>
                      <w:rFonts w:ascii="Times New Roman" w:hAnsi="Times New Roman" w:eastAsia="Times New Roman" w:cs="Times New Roman"/>
                      <w:color w:val="auto"/>
                      <w:spacing w:val="-19"/>
                      <w:sz w:val="21"/>
                      <w:szCs w:val="21"/>
                    </w:rPr>
                    <w:t xml:space="preserve"> </w:t>
                  </w:r>
                  <w:r>
                    <w:rPr>
                      <w:rFonts w:ascii="Times New Roman" w:hAnsi="Times New Roman" w:eastAsia="Times New Roman" w:cs="Times New Roman"/>
                      <w:color w:val="auto"/>
                      <w:spacing w:val="2"/>
                      <w:sz w:val="21"/>
                      <w:szCs w:val="21"/>
                    </w:rPr>
                    <w:t>10</w:t>
                  </w:r>
                  <w:r>
                    <w:rPr>
                      <w:rFonts w:ascii="Times New Roman" w:hAnsi="Times New Roman" w:eastAsia="Times New Roman" w:cs="Times New Roman"/>
                      <w:color w:val="auto"/>
                      <w:spacing w:val="2"/>
                      <w:sz w:val="21"/>
                      <w:szCs w:val="21"/>
                      <w:vertAlign w:val="superscript"/>
                    </w:rPr>
                    <w:t>-7</w:t>
                  </w:r>
                  <w:r>
                    <w:rPr>
                      <w:rFonts w:ascii="Times New Roman" w:hAnsi="Times New Roman" w:eastAsia="Times New Roman" w:cs="Times New Roman"/>
                      <w:color w:val="auto"/>
                      <w:sz w:val="21"/>
                      <w:szCs w:val="21"/>
                    </w:rPr>
                    <w:t>cm</w:t>
                  </w:r>
                  <w:r>
                    <w:rPr>
                      <w:rFonts w:ascii="Times New Roman" w:hAnsi="Times New Roman" w:eastAsia="Times New Roman" w:cs="Times New Roman"/>
                      <w:color w:val="auto"/>
                      <w:spacing w:val="2"/>
                      <w:sz w:val="21"/>
                      <w:szCs w:val="21"/>
                    </w:rPr>
                    <w:t>/s</w:t>
                  </w:r>
                </w:p>
              </w:tc>
            </w:tr>
            <w:tr w14:paraId="21CA68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389" w:type="pct"/>
                  <w:tcBorders>
                    <w:tl2br w:val="nil"/>
                    <w:tr2bl w:val="nil"/>
                  </w:tcBorders>
                  <w:vAlign w:val="center"/>
                </w:tcPr>
                <w:p w14:paraId="61DFD8E0">
                  <w:pPr>
                    <w:kinsoku w:val="0"/>
                    <w:autoSpaceDE w:val="0"/>
                    <w:autoSpaceDN w:val="0"/>
                    <w:adjustRightInd w:val="0"/>
                    <w:snapToGrid w:val="0"/>
                    <w:spacing w:line="240" w:lineRule="atLeast"/>
                    <w:jc w:val="center"/>
                    <w:textAlignment w:val="baseline"/>
                    <w:rPr>
                      <w:rFonts w:eastAsia="Times New Roman"/>
                      <w:color w:val="auto"/>
                      <w:szCs w:val="21"/>
                    </w:rPr>
                  </w:pPr>
                  <w:r>
                    <w:rPr>
                      <w:rFonts w:eastAsia="Times New Roman"/>
                      <w:color w:val="auto"/>
                    </w:rPr>
                    <w:t>2</w:t>
                  </w:r>
                </w:p>
              </w:tc>
              <w:tc>
                <w:tcPr>
                  <w:tcW w:w="1403" w:type="pct"/>
                  <w:tcBorders>
                    <w:tl2br w:val="nil"/>
                    <w:tr2bl w:val="nil"/>
                  </w:tcBorders>
                  <w:vAlign w:val="center"/>
                </w:tcPr>
                <w:p w14:paraId="1A7FDDA9">
                  <w:pPr>
                    <w:pStyle w:val="100"/>
                    <w:spacing w:line="240" w:lineRule="atLeast"/>
                    <w:ind w:right="78"/>
                    <w:jc w:val="center"/>
                    <w:rPr>
                      <w:rFonts w:hint="default" w:ascii="Times New Roman" w:hAnsi="Times New Roman" w:eastAsia="宋体" w:cs="Times New Roman"/>
                      <w:color w:val="auto"/>
                      <w:sz w:val="21"/>
                      <w:szCs w:val="21"/>
                      <w:lang w:val="en-US" w:eastAsia="zh-CN"/>
                    </w:rPr>
                  </w:pPr>
                  <w:r>
                    <w:rPr>
                      <w:rFonts w:ascii="Times New Roman" w:hAnsi="Times New Roman" w:eastAsia="Times New Roman" w:cs="Times New Roman"/>
                      <w:color w:val="auto"/>
                      <w:spacing w:val="6"/>
                      <w:sz w:val="21"/>
                      <w:szCs w:val="21"/>
                    </w:rPr>
                    <w:t>生产车间</w:t>
                  </w:r>
                  <w:r>
                    <w:rPr>
                      <w:rFonts w:hint="eastAsia" w:ascii="Times New Roman" w:hAnsi="Times New Roman" w:cs="Times New Roman"/>
                      <w:color w:val="auto"/>
                      <w:spacing w:val="6"/>
                      <w:sz w:val="21"/>
                      <w:szCs w:val="21"/>
                      <w:lang w:eastAsia="zh-CN"/>
                    </w:rPr>
                    <w:t>、</w:t>
                  </w:r>
                  <w:r>
                    <w:rPr>
                      <w:rFonts w:hint="eastAsia" w:ascii="Times New Roman" w:hAnsi="Times New Roman" w:cs="Times New Roman"/>
                      <w:color w:val="auto"/>
                      <w:spacing w:val="6"/>
                      <w:sz w:val="21"/>
                      <w:szCs w:val="21"/>
                      <w:lang w:val="en-US" w:eastAsia="zh-CN"/>
                    </w:rPr>
                    <w:t>循环水池</w:t>
                  </w:r>
                </w:p>
              </w:tc>
              <w:tc>
                <w:tcPr>
                  <w:tcW w:w="623" w:type="pct"/>
                  <w:tcBorders>
                    <w:tl2br w:val="nil"/>
                    <w:tr2bl w:val="nil"/>
                  </w:tcBorders>
                  <w:vAlign w:val="center"/>
                </w:tcPr>
                <w:p w14:paraId="1BD484E4">
                  <w:pPr>
                    <w:spacing w:line="240" w:lineRule="atLeast"/>
                    <w:jc w:val="center"/>
                    <w:rPr>
                      <w:rFonts w:eastAsia="Times New Roman"/>
                      <w:color w:val="auto"/>
                      <w:szCs w:val="21"/>
                    </w:rPr>
                  </w:pPr>
                </w:p>
                <w:p w14:paraId="5AB232AE">
                  <w:pPr>
                    <w:pStyle w:val="100"/>
                    <w:spacing w:line="240" w:lineRule="atLeast"/>
                    <w:jc w:val="center"/>
                    <w:rPr>
                      <w:rFonts w:ascii="Times New Roman" w:hAnsi="Times New Roman" w:eastAsia="Times New Roman" w:cs="Times New Roman"/>
                      <w:color w:val="auto"/>
                      <w:sz w:val="21"/>
                      <w:szCs w:val="21"/>
                    </w:rPr>
                  </w:pPr>
                  <w:r>
                    <w:rPr>
                      <w:rFonts w:hint="eastAsia" w:ascii="Times New Roman" w:hAnsi="Times New Roman" w:cs="Times New Roman"/>
                      <w:color w:val="auto"/>
                      <w:spacing w:val="4"/>
                      <w:sz w:val="21"/>
                      <w:szCs w:val="21"/>
                      <w:lang w:val="en-US" w:eastAsia="zh-CN"/>
                    </w:rPr>
                    <w:t>池体、</w:t>
                  </w:r>
                  <w:r>
                    <w:rPr>
                      <w:rFonts w:ascii="Times New Roman" w:hAnsi="Times New Roman" w:eastAsia="Times New Roman" w:cs="Times New Roman"/>
                      <w:color w:val="auto"/>
                      <w:spacing w:val="4"/>
                      <w:sz w:val="21"/>
                      <w:szCs w:val="21"/>
                    </w:rPr>
                    <w:t>地面</w:t>
                  </w:r>
                </w:p>
              </w:tc>
              <w:tc>
                <w:tcPr>
                  <w:tcW w:w="623" w:type="pct"/>
                  <w:tcBorders>
                    <w:tl2br w:val="nil"/>
                    <w:tr2bl w:val="nil"/>
                  </w:tcBorders>
                  <w:vAlign w:val="center"/>
                </w:tcPr>
                <w:p w14:paraId="03DC227D">
                  <w:pPr>
                    <w:spacing w:line="240" w:lineRule="atLeast"/>
                    <w:jc w:val="center"/>
                    <w:rPr>
                      <w:rFonts w:eastAsia="Times New Roman"/>
                      <w:color w:val="auto"/>
                      <w:szCs w:val="21"/>
                    </w:rPr>
                  </w:pPr>
                </w:p>
                <w:p w14:paraId="426ECC51">
                  <w:pPr>
                    <w:pStyle w:val="100"/>
                    <w:spacing w:line="240" w:lineRule="atLeast"/>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7"/>
                      <w:sz w:val="21"/>
                      <w:szCs w:val="21"/>
                    </w:rPr>
                    <w:t>一般防渗区</w:t>
                  </w:r>
                </w:p>
              </w:tc>
              <w:tc>
                <w:tcPr>
                  <w:tcW w:w="1959" w:type="pct"/>
                  <w:tcBorders>
                    <w:tl2br w:val="nil"/>
                    <w:tr2bl w:val="nil"/>
                  </w:tcBorders>
                  <w:vAlign w:val="center"/>
                </w:tcPr>
                <w:p w14:paraId="71B8C67D">
                  <w:pPr>
                    <w:pStyle w:val="100"/>
                    <w:ind w:right="186"/>
                    <w:jc w:val="center"/>
                    <w:rPr>
                      <w:rFonts w:ascii="Times New Roman" w:hAnsi="Times New Roman" w:eastAsia="Times New Roman" w:cs="Times New Roman"/>
                      <w:color w:val="auto"/>
                      <w:spacing w:val="8"/>
                      <w:sz w:val="21"/>
                      <w:szCs w:val="21"/>
                    </w:rPr>
                  </w:pPr>
                  <w:r>
                    <w:rPr>
                      <w:rFonts w:ascii="Times New Roman" w:hAnsi="Times New Roman" w:eastAsia="Times New Roman" w:cs="Times New Roman"/>
                      <w:color w:val="auto"/>
                      <w:spacing w:val="8"/>
                      <w:sz w:val="21"/>
                      <w:szCs w:val="21"/>
                    </w:rPr>
                    <w:t>粘土铺底+抗渗混凝土</w:t>
                  </w:r>
                </w:p>
                <w:p w14:paraId="1E9A130A">
                  <w:pPr>
                    <w:pStyle w:val="100"/>
                    <w:ind w:right="186"/>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8"/>
                      <w:sz w:val="21"/>
                      <w:szCs w:val="21"/>
                    </w:rPr>
                    <w:t>等效黏土防渗层</w:t>
                  </w:r>
                  <w:r>
                    <w:rPr>
                      <w:rFonts w:ascii="Times New Roman" w:hAnsi="Times New Roman" w:eastAsia="Times New Roman" w:cs="Times New Roman"/>
                      <w:color w:val="auto"/>
                      <w:sz w:val="21"/>
                      <w:szCs w:val="21"/>
                    </w:rPr>
                    <w:t>Mb</w:t>
                  </w:r>
                  <w:r>
                    <w:rPr>
                      <w:rFonts w:ascii="Times New Roman" w:hAnsi="Times New Roman" w:eastAsia="Times New Roman" w:cs="Times New Roman"/>
                      <w:color w:val="auto"/>
                      <w:spacing w:val="5"/>
                      <w:sz w:val="21"/>
                      <w:szCs w:val="21"/>
                    </w:rPr>
                    <w:t>≥3.0m，</w:t>
                  </w:r>
                  <w:r>
                    <w:rPr>
                      <w:rFonts w:ascii="Times New Roman" w:hAnsi="Times New Roman" w:eastAsia="Times New Roman" w:cs="Times New Roman"/>
                      <w:color w:val="auto"/>
                      <w:spacing w:val="2"/>
                      <w:sz w:val="21"/>
                      <w:szCs w:val="21"/>
                    </w:rPr>
                    <w:t>K≤1×</w:t>
                  </w:r>
                  <w:r>
                    <w:rPr>
                      <w:rFonts w:ascii="Times New Roman" w:hAnsi="Times New Roman" w:eastAsia="Times New Roman" w:cs="Times New Roman"/>
                      <w:color w:val="auto"/>
                      <w:spacing w:val="-19"/>
                      <w:sz w:val="21"/>
                      <w:szCs w:val="21"/>
                    </w:rPr>
                    <w:t xml:space="preserve"> </w:t>
                  </w:r>
                  <w:r>
                    <w:rPr>
                      <w:rFonts w:ascii="Times New Roman" w:hAnsi="Times New Roman" w:eastAsia="Times New Roman" w:cs="Times New Roman"/>
                      <w:color w:val="auto"/>
                      <w:spacing w:val="2"/>
                      <w:sz w:val="21"/>
                      <w:szCs w:val="21"/>
                    </w:rPr>
                    <w:t>10</w:t>
                  </w:r>
                  <w:r>
                    <w:rPr>
                      <w:rFonts w:ascii="Times New Roman" w:hAnsi="Times New Roman" w:eastAsia="Times New Roman" w:cs="Times New Roman"/>
                      <w:color w:val="auto"/>
                      <w:spacing w:val="2"/>
                      <w:position w:val="6"/>
                      <w:sz w:val="21"/>
                      <w:szCs w:val="21"/>
                      <w:vertAlign w:val="superscript"/>
                    </w:rPr>
                    <w:t>-7</w:t>
                  </w:r>
                  <w:r>
                    <w:rPr>
                      <w:rFonts w:ascii="Times New Roman" w:hAnsi="Times New Roman" w:eastAsia="Times New Roman" w:cs="Times New Roman"/>
                      <w:color w:val="auto"/>
                      <w:sz w:val="21"/>
                      <w:szCs w:val="21"/>
                    </w:rPr>
                    <w:t>cm</w:t>
                  </w:r>
                  <w:r>
                    <w:rPr>
                      <w:rFonts w:ascii="Times New Roman" w:hAnsi="Times New Roman" w:eastAsia="Times New Roman" w:cs="Times New Roman"/>
                      <w:color w:val="auto"/>
                      <w:spacing w:val="2"/>
                      <w:sz w:val="21"/>
                      <w:szCs w:val="21"/>
                    </w:rPr>
                    <w:t>/s</w:t>
                  </w:r>
                </w:p>
              </w:tc>
            </w:tr>
            <w:tr w14:paraId="603E6C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389" w:type="pct"/>
                  <w:tcBorders>
                    <w:tl2br w:val="nil"/>
                    <w:tr2bl w:val="nil"/>
                  </w:tcBorders>
                  <w:vAlign w:val="center"/>
                </w:tcPr>
                <w:p w14:paraId="02020579">
                  <w:pPr>
                    <w:kinsoku w:val="0"/>
                    <w:autoSpaceDE w:val="0"/>
                    <w:autoSpaceDN w:val="0"/>
                    <w:adjustRightInd w:val="0"/>
                    <w:snapToGrid w:val="0"/>
                    <w:spacing w:line="240" w:lineRule="atLeast"/>
                    <w:jc w:val="center"/>
                    <w:textAlignment w:val="baseline"/>
                    <w:rPr>
                      <w:rFonts w:eastAsia="Times New Roman"/>
                      <w:color w:val="auto"/>
                      <w:szCs w:val="21"/>
                    </w:rPr>
                  </w:pPr>
                  <w:r>
                    <w:rPr>
                      <w:rFonts w:eastAsia="Times New Roman"/>
                      <w:color w:val="auto"/>
                      <w:spacing w:val="1"/>
                    </w:rPr>
                    <w:t>3</w:t>
                  </w:r>
                </w:p>
              </w:tc>
              <w:tc>
                <w:tcPr>
                  <w:tcW w:w="1403" w:type="pct"/>
                  <w:tcBorders>
                    <w:tl2br w:val="nil"/>
                    <w:tr2bl w:val="nil"/>
                  </w:tcBorders>
                  <w:vAlign w:val="center"/>
                </w:tcPr>
                <w:p w14:paraId="110FB896">
                  <w:pPr>
                    <w:pStyle w:val="100"/>
                    <w:spacing w:line="240" w:lineRule="atLeast"/>
                    <w:ind w:right="78"/>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5"/>
                      <w:sz w:val="21"/>
                      <w:szCs w:val="21"/>
                    </w:rPr>
                    <w:t>生活区、进出场道路</w:t>
                  </w:r>
                </w:p>
              </w:tc>
              <w:tc>
                <w:tcPr>
                  <w:tcW w:w="623" w:type="pct"/>
                  <w:tcBorders>
                    <w:tl2br w:val="nil"/>
                    <w:tr2bl w:val="nil"/>
                  </w:tcBorders>
                  <w:vAlign w:val="center"/>
                </w:tcPr>
                <w:p w14:paraId="10923F8B">
                  <w:pPr>
                    <w:pStyle w:val="100"/>
                    <w:spacing w:line="240" w:lineRule="atLeast"/>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4"/>
                      <w:sz w:val="21"/>
                      <w:szCs w:val="21"/>
                    </w:rPr>
                    <w:t>地面</w:t>
                  </w:r>
                </w:p>
              </w:tc>
              <w:tc>
                <w:tcPr>
                  <w:tcW w:w="623" w:type="pct"/>
                  <w:tcBorders>
                    <w:tl2br w:val="nil"/>
                    <w:tr2bl w:val="nil"/>
                  </w:tcBorders>
                  <w:vAlign w:val="center"/>
                </w:tcPr>
                <w:p w14:paraId="671D066A">
                  <w:pPr>
                    <w:pStyle w:val="100"/>
                    <w:spacing w:line="240" w:lineRule="atLeast"/>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6"/>
                      <w:sz w:val="21"/>
                      <w:szCs w:val="21"/>
                    </w:rPr>
                    <w:t>简单防渗</w:t>
                  </w:r>
                </w:p>
              </w:tc>
              <w:tc>
                <w:tcPr>
                  <w:tcW w:w="1959" w:type="pct"/>
                  <w:tcBorders>
                    <w:tl2br w:val="nil"/>
                    <w:tr2bl w:val="nil"/>
                  </w:tcBorders>
                  <w:vAlign w:val="center"/>
                </w:tcPr>
                <w:p w14:paraId="0FF5C879">
                  <w:pPr>
                    <w:kinsoku w:val="0"/>
                    <w:autoSpaceDE w:val="0"/>
                    <w:autoSpaceDN w:val="0"/>
                    <w:adjustRightInd w:val="0"/>
                    <w:snapToGrid w:val="0"/>
                    <w:spacing w:line="240" w:lineRule="atLeast"/>
                    <w:jc w:val="center"/>
                    <w:textAlignment w:val="baseline"/>
                    <w:rPr>
                      <w:rFonts w:eastAsia="Times New Roman"/>
                      <w:color w:val="auto"/>
                      <w:szCs w:val="21"/>
                    </w:rPr>
                  </w:pPr>
                  <w:r>
                    <w:rPr>
                      <w:rFonts w:eastAsia="Times New Roman"/>
                      <w:color w:val="auto"/>
                      <w:spacing w:val="2"/>
                    </w:rPr>
                    <w:t>一般地面硬化</w:t>
                  </w:r>
                </w:p>
              </w:tc>
            </w:tr>
          </w:tbl>
          <w:p w14:paraId="51325C1D">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根据项目特点，厂区进行分区并对不同分区采取相应的防渗措施。项目对可能产生地下水、土壤影响的各项途径均进行有效预防，各项防渗措施可以有 效地防止对区域地下水、土壤造成污染。综上所述，项目不会对项目区地下水、土壤环境造成污染影响。</w:t>
            </w:r>
          </w:p>
          <w:p w14:paraId="6039530C">
            <w:pPr>
              <w:adjustRightInd w:val="0"/>
              <w:snapToGrid w:val="0"/>
              <w:spacing w:line="360" w:lineRule="auto"/>
              <w:ind w:firstLine="482" w:firstLineChars="200"/>
              <w:rPr>
                <w:rFonts w:ascii="宋体" w:hAnsi="宋体" w:cs="宋体"/>
                <w:b/>
                <w:color w:val="auto"/>
                <w:kern w:val="0"/>
                <w:sz w:val="24"/>
                <w:highlight w:val="none"/>
              </w:rPr>
            </w:pPr>
            <w:r>
              <w:rPr>
                <w:rFonts w:hint="default" w:ascii="Times New Roman" w:hAnsi="Times New Roman" w:cs="Times New Roman"/>
                <w:b/>
                <w:color w:val="auto"/>
                <w:kern w:val="0"/>
                <w:sz w:val="24"/>
                <w:highlight w:val="none"/>
              </w:rPr>
              <w:t>6、</w:t>
            </w:r>
            <w:r>
              <w:rPr>
                <w:rFonts w:hint="eastAsia" w:ascii="宋体" w:hAnsi="宋体" w:cs="宋体"/>
                <w:b/>
                <w:color w:val="auto"/>
                <w:kern w:val="0"/>
                <w:sz w:val="24"/>
                <w:highlight w:val="none"/>
              </w:rPr>
              <w:t>环境风险</w:t>
            </w:r>
          </w:p>
          <w:p w14:paraId="757F89AB">
            <w:pPr>
              <w:adjustRightInd w:val="0"/>
              <w:snapToGrid w:val="0"/>
              <w:spacing w:line="360" w:lineRule="auto"/>
              <w:ind w:firstLine="482" w:firstLineChars="200"/>
              <w:rPr>
                <w:rFonts w:hint="eastAsia" w:ascii="宋体" w:hAnsi="宋体" w:cs="宋体"/>
                <w:color w:val="auto"/>
                <w:kern w:val="0"/>
                <w:sz w:val="24"/>
              </w:rPr>
            </w:pPr>
            <w:r>
              <w:rPr>
                <w:rFonts w:hint="default" w:ascii="Times New Roman" w:hAnsi="Times New Roman" w:cs="Times New Roman"/>
                <w:b/>
                <w:color w:val="auto"/>
                <w:kern w:val="0"/>
                <w:sz w:val="24"/>
              </w:rPr>
              <w:t>6.1</w:t>
            </w:r>
            <w:r>
              <w:rPr>
                <w:rFonts w:hint="eastAsia" w:ascii="宋体" w:hAnsi="宋体" w:cs="宋体"/>
                <w:b/>
                <w:color w:val="auto"/>
                <w:kern w:val="0"/>
                <w:sz w:val="24"/>
              </w:rPr>
              <w:t>风险</w:t>
            </w:r>
            <w:r>
              <w:rPr>
                <w:rFonts w:hint="eastAsia" w:ascii="宋体" w:hAnsi="宋体" w:cs="宋体"/>
                <w:b/>
                <w:color w:val="auto"/>
                <w:kern w:val="0"/>
                <w:sz w:val="24"/>
                <w:lang w:val="en-US" w:eastAsia="zh-CN"/>
              </w:rPr>
              <w:t>物质识别</w:t>
            </w:r>
          </w:p>
          <w:p w14:paraId="7FAD1CD0">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本项目使用</w:t>
            </w:r>
            <w:r>
              <w:rPr>
                <w:rFonts w:hint="eastAsia" w:ascii="宋体" w:hAnsi="宋体" w:cs="宋体"/>
                <w:color w:val="auto"/>
                <w:kern w:val="0"/>
                <w:sz w:val="24"/>
                <w:lang w:val="en-US" w:eastAsia="zh-CN"/>
              </w:rPr>
              <w:t>的</w:t>
            </w:r>
            <w:r>
              <w:rPr>
                <w:rFonts w:hint="eastAsia" w:ascii="宋体" w:hAnsi="宋体" w:cs="宋体"/>
                <w:color w:val="auto"/>
                <w:kern w:val="0"/>
                <w:sz w:val="24"/>
              </w:rPr>
              <w:t>原辅材料</w:t>
            </w:r>
            <w:r>
              <w:rPr>
                <w:rStyle w:val="30"/>
                <w:rFonts w:hint="eastAsia"/>
                <w:color w:val="auto"/>
                <w:kern w:val="0"/>
                <w:sz w:val="24"/>
                <w:szCs w:val="24"/>
                <w:lang w:val="en-US" w:eastAsia="zh-CN"/>
              </w:rPr>
              <w:t>中机油、乳化液及液压油为</w:t>
            </w:r>
            <w:r>
              <w:rPr>
                <w:rFonts w:hint="eastAsia" w:ascii="宋体" w:hAnsi="宋体" w:cs="宋体"/>
                <w:color w:val="auto"/>
                <w:kern w:val="0"/>
                <w:sz w:val="24"/>
              </w:rPr>
              <w:t>《有毒有害大气污染物名录》《有毒有害水污染物名录》中的环境风险物质。</w:t>
            </w:r>
          </w:p>
          <w:p w14:paraId="28E026CF">
            <w:pPr>
              <w:adjustRightInd w:val="0"/>
              <w:snapToGrid w:val="0"/>
              <w:spacing w:line="360" w:lineRule="auto"/>
              <w:ind w:firstLine="482" w:firstLineChars="200"/>
              <w:rPr>
                <w:rFonts w:ascii="宋体" w:hAnsi="宋体" w:eastAsia="宋体" w:cs="宋体"/>
                <w:b/>
                <w:bCs/>
                <w:color w:val="auto"/>
                <w:kern w:val="0"/>
                <w:sz w:val="24"/>
              </w:rPr>
            </w:pPr>
            <w:r>
              <w:rPr>
                <w:rFonts w:hint="default" w:ascii="Times New Roman" w:hAnsi="Times New Roman" w:eastAsia="宋体" w:cs="Times New Roman"/>
                <w:b/>
                <w:bCs/>
                <w:color w:val="auto"/>
                <w:kern w:val="0"/>
                <w:sz w:val="24"/>
              </w:rPr>
              <w:t>6.2</w:t>
            </w:r>
            <w:r>
              <w:rPr>
                <w:rFonts w:ascii="宋体" w:hAnsi="宋体" w:eastAsia="宋体" w:cs="宋体"/>
                <w:b/>
                <w:bCs/>
                <w:color w:val="auto"/>
                <w:kern w:val="0"/>
                <w:sz w:val="24"/>
              </w:rPr>
              <w:t>环境风险潜势初判</w:t>
            </w:r>
          </w:p>
          <w:p w14:paraId="2676BC2A">
            <w:pPr>
              <w:adjustRightInd w:val="0"/>
              <w:snapToGrid w:val="0"/>
              <w:spacing w:line="360" w:lineRule="auto"/>
              <w:ind w:firstLine="480" w:firstLineChars="200"/>
              <w:rPr>
                <w:rFonts w:hint="eastAsia" w:eastAsia="宋体"/>
                <w:color w:val="auto"/>
                <w:spacing w:val="6"/>
                <w:sz w:val="24"/>
                <w:highlight w:val="none"/>
                <w:lang w:val="en-US" w:eastAsia="zh-CN"/>
              </w:rPr>
            </w:pPr>
            <w:r>
              <w:rPr>
                <w:rFonts w:ascii="宋体" w:hAnsi="宋体" w:eastAsia="宋体" w:cs="宋体"/>
                <w:color w:val="auto"/>
                <w:kern w:val="0"/>
                <w:sz w:val="24"/>
              </w:rPr>
              <w:t>根据《建设项目环境风险评价技术导则》（</w:t>
            </w:r>
            <w:r>
              <w:rPr>
                <w:rFonts w:hint="default" w:ascii="Times New Roman" w:hAnsi="Times New Roman" w:eastAsia="宋体" w:cs="Times New Roman"/>
                <w:color w:val="auto"/>
                <w:kern w:val="0"/>
                <w:sz w:val="24"/>
              </w:rPr>
              <w:t>HJ169-2018</w:t>
            </w:r>
            <w:r>
              <w:rPr>
                <w:rFonts w:ascii="宋体" w:hAnsi="宋体" w:eastAsia="宋体" w:cs="宋体"/>
                <w:color w:val="auto"/>
                <w:kern w:val="0"/>
                <w:sz w:val="24"/>
              </w:rPr>
              <w:t>）和《危险化学品重大危险源辨识》（</w:t>
            </w:r>
            <w:r>
              <w:rPr>
                <w:rFonts w:hint="default" w:ascii="Times New Roman" w:hAnsi="Times New Roman" w:eastAsia="宋体" w:cs="Times New Roman"/>
                <w:color w:val="auto"/>
                <w:kern w:val="0"/>
                <w:sz w:val="24"/>
              </w:rPr>
              <w:t>GB18218-2018</w:t>
            </w:r>
            <w:r>
              <w:rPr>
                <w:rFonts w:ascii="宋体" w:hAnsi="宋体" w:eastAsia="宋体" w:cs="宋体"/>
                <w:color w:val="auto"/>
                <w:kern w:val="0"/>
                <w:sz w:val="24"/>
              </w:rPr>
              <w:t>），危险化学品重大危险源是指“长期地或临时地生产、加工、搬运、使用或储存危险化学品，且危险化学品的数量等于或超过临界量的单元”。本项目涉及的危险物质</w:t>
            </w:r>
            <w:r>
              <w:rPr>
                <w:rFonts w:hint="eastAsia" w:ascii="宋体" w:hAnsi="宋体" w:eastAsia="宋体" w:cs="宋体"/>
                <w:color w:val="auto"/>
                <w:kern w:val="0"/>
                <w:sz w:val="24"/>
                <w:lang w:val="en-US" w:eastAsia="zh-CN"/>
              </w:rPr>
              <w:t>为</w:t>
            </w:r>
            <w:r>
              <w:rPr>
                <w:rStyle w:val="30"/>
                <w:rFonts w:hint="eastAsia"/>
                <w:color w:val="auto"/>
                <w:kern w:val="0"/>
                <w:sz w:val="24"/>
                <w:szCs w:val="24"/>
                <w:lang w:val="en-US" w:eastAsia="zh-CN"/>
              </w:rPr>
              <w:t>机油、乳化液及液压油</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 xml:space="preserve"> </w:t>
            </w:r>
          </w:p>
          <w:p w14:paraId="7CA93FAB">
            <w:pPr>
              <w:jc w:val="center"/>
              <w:rPr>
                <w:b/>
                <w:color w:val="auto"/>
                <w:szCs w:val="21"/>
                <w:highlight w:val="none"/>
              </w:rPr>
            </w:pPr>
            <w:r>
              <w:rPr>
                <w:b/>
                <w:color w:val="auto"/>
                <w:szCs w:val="21"/>
                <w:highlight w:val="none"/>
              </w:rPr>
              <w:t>表</w:t>
            </w:r>
            <w:r>
              <w:rPr>
                <w:rFonts w:hint="eastAsia"/>
                <w:b/>
                <w:color w:val="auto"/>
                <w:szCs w:val="21"/>
                <w:highlight w:val="none"/>
                <w:lang w:val="en-US" w:eastAsia="zh-CN"/>
              </w:rPr>
              <w:t>4-19</w:t>
            </w:r>
            <w:r>
              <w:rPr>
                <w:rFonts w:hint="eastAsia"/>
                <w:b/>
                <w:color w:val="auto"/>
                <w:szCs w:val="21"/>
                <w:highlight w:val="none"/>
              </w:rPr>
              <w:t xml:space="preserve">  </w:t>
            </w:r>
            <w:r>
              <w:rPr>
                <w:b/>
                <w:color w:val="auto"/>
                <w:szCs w:val="21"/>
                <w:highlight w:val="none"/>
              </w:rPr>
              <w:t xml:space="preserve"> 危险化学品重大危险源识别</w:t>
            </w:r>
          </w:p>
          <w:tbl>
            <w:tblPr>
              <w:tblStyle w:val="24"/>
              <w:tblW w:w="4997" w:type="pct"/>
              <w:tblInd w:w="2" w:type="dxa"/>
              <w:tblBorders>
                <w:top w:val="single" w:color="000000" w:sz="2" w:space="0"/>
                <w:left w:val="none" w:color="auto" w:sz="0" w:space="0"/>
                <w:bottom w:val="single" w:color="000000" w:sz="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727"/>
              <w:gridCol w:w="1226"/>
              <w:gridCol w:w="1273"/>
              <w:gridCol w:w="1882"/>
              <w:gridCol w:w="1618"/>
              <w:gridCol w:w="1293"/>
            </w:tblGrid>
            <w:tr w14:paraId="2E00CB16">
              <w:tblPrEx>
                <w:tblBorders>
                  <w:top w:val="single" w:color="000000" w:sz="2" w:space="0"/>
                  <w:left w:val="none" w:color="auto" w:sz="0" w:space="0"/>
                  <w:bottom w:val="single" w:color="000000" w:sz="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453" w:type="pct"/>
                  <w:tcBorders>
                    <w:tl2br w:val="nil"/>
                    <w:tr2bl w:val="nil"/>
                  </w:tcBorders>
                  <w:noWrap w:val="0"/>
                  <w:vAlign w:val="center"/>
                </w:tcPr>
                <w:p w14:paraId="0026946B">
                  <w:pPr>
                    <w:jc w:val="center"/>
                    <w:rPr>
                      <w:b/>
                      <w:bCs/>
                      <w:color w:val="auto"/>
                      <w:szCs w:val="21"/>
                      <w:highlight w:val="none"/>
                    </w:rPr>
                  </w:pPr>
                  <w:r>
                    <w:rPr>
                      <w:b/>
                      <w:bCs/>
                      <w:color w:val="auto"/>
                      <w:szCs w:val="21"/>
                      <w:highlight w:val="none"/>
                    </w:rPr>
                    <w:t>序号</w:t>
                  </w:r>
                </w:p>
              </w:tc>
              <w:tc>
                <w:tcPr>
                  <w:tcW w:w="764" w:type="pct"/>
                  <w:tcBorders>
                    <w:tl2br w:val="nil"/>
                    <w:tr2bl w:val="nil"/>
                  </w:tcBorders>
                  <w:noWrap w:val="0"/>
                  <w:vAlign w:val="center"/>
                </w:tcPr>
                <w:p w14:paraId="749785F3">
                  <w:pPr>
                    <w:jc w:val="center"/>
                    <w:rPr>
                      <w:rFonts w:hint="eastAsia" w:eastAsia="宋体"/>
                      <w:b/>
                      <w:bCs/>
                      <w:color w:val="auto"/>
                      <w:szCs w:val="21"/>
                      <w:highlight w:val="none"/>
                      <w:lang w:eastAsia="zh-CN"/>
                    </w:rPr>
                  </w:pPr>
                  <w:r>
                    <w:rPr>
                      <w:rFonts w:hint="eastAsia"/>
                      <w:b/>
                      <w:bCs/>
                      <w:color w:val="auto"/>
                      <w:szCs w:val="21"/>
                      <w:highlight w:val="none"/>
                      <w:lang w:val="en-US" w:eastAsia="zh-CN"/>
                    </w:rPr>
                    <w:t>危险物质</w:t>
                  </w:r>
                </w:p>
              </w:tc>
              <w:tc>
                <w:tcPr>
                  <w:tcW w:w="793" w:type="pct"/>
                  <w:tcBorders>
                    <w:tl2br w:val="nil"/>
                    <w:tr2bl w:val="nil"/>
                  </w:tcBorders>
                  <w:noWrap w:val="0"/>
                  <w:vAlign w:val="center"/>
                </w:tcPr>
                <w:p w14:paraId="378C9926">
                  <w:pPr>
                    <w:jc w:val="center"/>
                    <w:rPr>
                      <w:rFonts w:hint="default" w:eastAsia="宋体"/>
                      <w:b/>
                      <w:bCs/>
                      <w:color w:val="auto"/>
                      <w:szCs w:val="21"/>
                      <w:highlight w:val="none"/>
                      <w:lang w:val="en-US" w:eastAsia="zh-CN"/>
                    </w:rPr>
                  </w:pPr>
                  <w:r>
                    <w:rPr>
                      <w:rFonts w:hint="eastAsia"/>
                      <w:b/>
                      <w:bCs/>
                      <w:color w:val="auto"/>
                      <w:szCs w:val="21"/>
                      <w:highlight w:val="none"/>
                      <w:lang w:val="en-US" w:eastAsia="zh-CN"/>
                    </w:rPr>
                    <w:t>危险物质类别</w:t>
                  </w:r>
                </w:p>
              </w:tc>
              <w:tc>
                <w:tcPr>
                  <w:tcW w:w="1173" w:type="pct"/>
                  <w:tcBorders>
                    <w:tl2br w:val="nil"/>
                    <w:tr2bl w:val="nil"/>
                  </w:tcBorders>
                  <w:noWrap w:val="0"/>
                  <w:vAlign w:val="center"/>
                </w:tcPr>
                <w:p w14:paraId="55507D4F">
                  <w:pPr>
                    <w:jc w:val="center"/>
                    <w:rPr>
                      <w:b/>
                      <w:bCs/>
                      <w:color w:val="auto"/>
                      <w:szCs w:val="21"/>
                      <w:highlight w:val="none"/>
                    </w:rPr>
                  </w:pPr>
                  <w:r>
                    <w:rPr>
                      <w:b/>
                      <w:bCs/>
                      <w:color w:val="auto"/>
                      <w:szCs w:val="21"/>
                      <w:highlight w:val="none"/>
                    </w:rPr>
                    <w:t>最大储存量q（t）</w:t>
                  </w:r>
                </w:p>
              </w:tc>
              <w:tc>
                <w:tcPr>
                  <w:tcW w:w="1008" w:type="pct"/>
                  <w:tcBorders>
                    <w:tl2br w:val="nil"/>
                    <w:tr2bl w:val="nil"/>
                  </w:tcBorders>
                  <w:noWrap w:val="0"/>
                  <w:vAlign w:val="center"/>
                </w:tcPr>
                <w:p w14:paraId="5970AD44">
                  <w:pPr>
                    <w:jc w:val="center"/>
                    <w:rPr>
                      <w:b/>
                      <w:bCs/>
                      <w:color w:val="auto"/>
                      <w:szCs w:val="21"/>
                      <w:highlight w:val="none"/>
                    </w:rPr>
                  </w:pPr>
                  <w:r>
                    <w:rPr>
                      <w:b/>
                      <w:bCs/>
                      <w:color w:val="auto"/>
                      <w:szCs w:val="21"/>
                      <w:highlight w:val="none"/>
                    </w:rPr>
                    <w:t>临界量*Q（t）</w:t>
                  </w:r>
                </w:p>
              </w:tc>
              <w:tc>
                <w:tcPr>
                  <w:tcW w:w="806" w:type="pct"/>
                  <w:tcBorders>
                    <w:tl2br w:val="nil"/>
                    <w:tr2bl w:val="nil"/>
                  </w:tcBorders>
                  <w:noWrap w:val="0"/>
                  <w:vAlign w:val="center"/>
                </w:tcPr>
                <w:p w14:paraId="40FAEB19">
                  <w:pPr>
                    <w:jc w:val="center"/>
                    <w:rPr>
                      <w:b/>
                      <w:bCs/>
                      <w:color w:val="auto"/>
                      <w:szCs w:val="21"/>
                      <w:highlight w:val="none"/>
                    </w:rPr>
                  </w:pPr>
                  <w:r>
                    <w:rPr>
                      <w:b/>
                      <w:bCs/>
                      <w:color w:val="auto"/>
                      <w:szCs w:val="21"/>
                      <w:highlight w:val="none"/>
                    </w:rPr>
                    <w:t>q/Q</w:t>
                  </w:r>
                </w:p>
              </w:tc>
            </w:tr>
            <w:tr w14:paraId="1E0AC3EB">
              <w:tblPrEx>
                <w:tblBorders>
                  <w:top w:val="single" w:color="000000" w:sz="2" w:space="0"/>
                  <w:left w:val="none" w:color="auto" w:sz="0" w:space="0"/>
                  <w:bottom w:val="single" w:color="000000" w:sz="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53" w:type="pct"/>
                  <w:tcBorders>
                    <w:tl2br w:val="nil"/>
                    <w:tr2bl w:val="nil"/>
                  </w:tcBorders>
                  <w:noWrap w:val="0"/>
                  <w:vAlign w:val="center"/>
                </w:tcPr>
                <w:p w14:paraId="40CBF0D0">
                  <w:pPr>
                    <w:jc w:val="center"/>
                    <w:rPr>
                      <w:color w:val="auto"/>
                      <w:szCs w:val="21"/>
                      <w:highlight w:val="none"/>
                    </w:rPr>
                  </w:pPr>
                  <w:r>
                    <w:rPr>
                      <w:color w:val="auto"/>
                      <w:szCs w:val="21"/>
                      <w:highlight w:val="none"/>
                    </w:rPr>
                    <w:t>1</w:t>
                  </w:r>
                </w:p>
              </w:tc>
              <w:tc>
                <w:tcPr>
                  <w:tcW w:w="764" w:type="pct"/>
                  <w:tcBorders>
                    <w:tl2br w:val="nil"/>
                    <w:tr2bl w:val="nil"/>
                  </w:tcBorders>
                  <w:noWrap w:val="0"/>
                  <w:vAlign w:val="center"/>
                </w:tcPr>
                <w:p w14:paraId="335BEA09">
                  <w:pPr>
                    <w:jc w:val="center"/>
                    <w:rPr>
                      <w:rFonts w:hint="eastAsia" w:eastAsia="宋体"/>
                      <w:color w:val="auto"/>
                      <w:szCs w:val="21"/>
                      <w:highlight w:val="none"/>
                      <w:lang w:val="en-US" w:eastAsia="zh-CN"/>
                    </w:rPr>
                  </w:pPr>
                  <w:r>
                    <w:rPr>
                      <w:rFonts w:hint="eastAsia"/>
                      <w:color w:val="auto"/>
                      <w:szCs w:val="21"/>
                      <w:highlight w:val="none"/>
                      <w:lang w:val="en-US" w:eastAsia="zh-CN"/>
                    </w:rPr>
                    <w:t>机油</w:t>
                  </w:r>
                </w:p>
              </w:tc>
              <w:tc>
                <w:tcPr>
                  <w:tcW w:w="793" w:type="pct"/>
                  <w:vMerge w:val="restart"/>
                  <w:tcBorders>
                    <w:tl2br w:val="nil"/>
                    <w:tr2bl w:val="nil"/>
                  </w:tcBorders>
                  <w:noWrap w:val="0"/>
                  <w:vAlign w:val="center"/>
                </w:tcPr>
                <w:p w14:paraId="19D8F382">
                  <w:pPr>
                    <w:jc w:val="center"/>
                    <w:rPr>
                      <w:rFonts w:hint="default" w:eastAsia="宋体"/>
                      <w:color w:val="auto"/>
                      <w:szCs w:val="21"/>
                      <w:highlight w:val="none"/>
                      <w:lang w:val="en-US" w:eastAsia="zh-CN"/>
                    </w:rPr>
                  </w:pPr>
                  <w:r>
                    <w:rPr>
                      <w:rFonts w:hint="eastAsia"/>
                      <w:color w:val="auto"/>
                      <w:szCs w:val="21"/>
                      <w:highlight w:val="none"/>
                      <w:lang w:val="en-US" w:eastAsia="zh-CN"/>
                    </w:rPr>
                    <w:t>油类物质</w:t>
                  </w:r>
                </w:p>
              </w:tc>
              <w:tc>
                <w:tcPr>
                  <w:tcW w:w="1173" w:type="pct"/>
                  <w:tcBorders>
                    <w:tl2br w:val="nil"/>
                    <w:tr2bl w:val="nil"/>
                  </w:tcBorders>
                  <w:noWrap w:val="0"/>
                  <w:vAlign w:val="center"/>
                </w:tcPr>
                <w:p w14:paraId="6023ED48">
                  <w:pPr>
                    <w:jc w:val="center"/>
                    <w:rPr>
                      <w:rFonts w:hint="default" w:eastAsia="宋体"/>
                      <w:color w:val="auto"/>
                      <w:szCs w:val="21"/>
                      <w:highlight w:val="none"/>
                      <w:lang w:val="en-US" w:eastAsia="zh-CN"/>
                    </w:rPr>
                  </w:pPr>
                  <w:r>
                    <w:rPr>
                      <w:rFonts w:hint="eastAsia"/>
                      <w:color w:val="auto"/>
                      <w:szCs w:val="21"/>
                      <w:highlight w:val="none"/>
                      <w:lang w:val="en-US" w:eastAsia="zh-CN"/>
                    </w:rPr>
                    <w:t>0.05</w:t>
                  </w:r>
                </w:p>
              </w:tc>
              <w:tc>
                <w:tcPr>
                  <w:tcW w:w="1008" w:type="pct"/>
                  <w:tcBorders>
                    <w:tl2br w:val="nil"/>
                    <w:tr2bl w:val="nil"/>
                  </w:tcBorders>
                  <w:noWrap w:val="0"/>
                  <w:vAlign w:val="center"/>
                </w:tcPr>
                <w:p w14:paraId="15E3414B">
                  <w:pPr>
                    <w:jc w:val="center"/>
                    <w:rPr>
                      <w:color w:val="auto"/>
                      <w:szCs w:val="21"/>
                      <w:highlight w:val="none"/>
                    </w:rPr>
                  </w:pPr>
                  <w:r>
                    <w:rPr>
                      <w:color w:val="auto"/>
                      <w:szCs w:val="21"/>
                      <w:highlight w:val="none"/>
                    </w:rPr>
                    <w:t>2500</w:t>
                  </w:r>
                </w:p>
              </w:tc>
              <w:tc>
                <w:tcPr>
                  <w:tcW w:w="806" w:type="pct"/>
                  <w:tcBorders>
                    <w:tl2br w:val="nil"/>
                    <w:tr2bl w:val="nil"/>
                  </w:tcBorders>
                  <w:noWrap w:val="0"/>
                  <w:vAlign w:val="center"/>
                </w:tcPr>
                <w:p w14:paraId="26A9D57C">
                  <w:pPr>
                    <w:jc w:val="center"/>
                    <w:rPr>
                      <w:rFonts w:hint="default" w:eastAsia="宋体"/>
                      <w:color w:val="auto"/>
                      <w:szCs w:val="21"/>
                      <w:highlight w:val="none"/>
                      <w:lang w:val="en-US" w:eastAsia="zh-CN"/>
                    </w:rPr>
                  </w:pPr>
                  <w:r>
                    <w:rPr>
                      <w:rFonts w:hint="eastAsia"/>
                      <w:color w:val="auto"/>
                      <w:szCs w:val="21"/>
                      <w:highlight w:val="none"/>
                      <w:lang w:val="en-US" w:eastAsia="zh-CN"/>
                    </w:rPr>
                    <w:t>0.00002</w:t>
                  </w:r>
                </w:p>
              </w:tc>
            </w:tr>
            <w:tr w14:paraId="032E8069">
              <w:tblPrEx>
                <w:tblBorders>
                  <w:top w:val="single" w:color="000000" w:sz="2" w:space="0"/>
                  <w:left w:val="none" w:color="auto" w:sz="0" w:space="0"/>
                  <w:bottom w:val="single" w:color="000000" w:sz="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53" w:type="pct"/>
                  <w:tcBorders>
                    <w:tl2br w:val="nil"/>
                    <w:tr2bl w:val="nil"/>
                  </w:tcBorders>
                  <w:noWrap w:val="0"/>
                  <w:vAlign w:val="center"/>
                </w:tcPr>
                <w:p w14:paraId="0108271B">
                  <w:pPr>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764" w:type="pct"/>
                  <w:tcBorders>
                    <w:tl2br w:val="nil"/>
                    <w:tr2bl w:val="nil"/>
                  </w:tcBorders>
                  <w:noWrap w:val="0"/>
                  <w:vAlign w:val="center"/>
                </w:tcPr>
                <w:p w14:paraId="036DB41A">
                  <w:pPr>
                    <w:jc w:val="center"/>
                    <w:rPr>
                      <w:rFonts w:hint="eastAsia" w:eastAsia="宋体"/>
                      <w:color w:val="auto"/>
                      <w:szCs w:val="21"/>
                      <w:highlight w:val="none"/>
                      <w:lang w:val="en-US" w:eastAsia="zh-CN"/>
                    </w:rPr>
                  </w:pPr>
                  <w:r>
                    <w:rPr>
                      <w:rFonts w:hint="eastAsia"/>
                      <w:color w:val="auto"/>
                      <w:szCs w:val="21"/>
                      <w:highlight w:val="none"/>
                      <w:lang w:val="en-US" w:eastAsia="zh-CN"/>
                    </w:rPr>
                    <w:t>液压油</w:t>
                  </w:r>
                </w:p>
              </w:tc>
              <w:tc>
                <w:tcPr>
                  <w:tcW w:w="793" w:type="pct"/>
                  <w:vMerge w:val="continue"/>
                  <w:tcBorders>
                    <w:tl2br w:val="nil"/>
                    <w:tr2bl w:val="nil"/>
                  </w:tcBorders>
                  <w:noWrap w:val="0"/>
                  <w:vAlign w:val="center"/>
                </w:tcPr>
                <w:p w14:paraId="29BE47C7">
                  <w:pPr>
                    <w:jc w:val="center"/>
                    <w:rPr>
                      <w:rFonts w:hint="default" w:eastAsia="宋体"/>
                      <w:color w:val="auto"/>
                      <w:szCs w:val="21"/>
                      <w:highlight w:val="none"/>
                      <w:lang w:val="en-US" w:eastAsia="zh-CN"/>
                    </w:rPr>
                  </w:pPr>
                </w:p>
              </w:tc>
              <w:tc>
                <w:tcPr>
                  <w:tcW w:w="1173" w:type="pct"/>
                  <w:tcBorders>
                    <w:tl2br w:val="nil"/>
                    <w:tr2bl w:val="nil"/>
                  </w:tcBorders>
                  <w:noWrap w:val="0"/>
                  <w:vAlign w:val="center"/>
                </w:tcPr>
                <w:p w14:paraId="602F39FB">
                  <w:pPr>
                    <w:jc w:val="center"/>
                    <w:rPr>
                      <w:rFonts w:hint="default" w:eastAsia="宋体"/>
                      <w:color w:val="auto"/>
                      <w:szCs w:val="21"/>
                      <w:highlight w:val="none"/>
                      <w:lang w:val="en-US" w:eastAsia="zh-CN"/>
                    </w:rPr>
                  </w:pPr>
                  <w:r>
                    <w:rPr>
                      <w:rFonts w:hint="eastAsia"/>
                      <w:color w:val="auto"/>
                      <w:szCs w:val="21"/>
                      <w:highlight w:val="none"/>
                      <w:lang w:val="en-US" w:eastAsia="zh-CN"/>
                    </w:rPr>
                    <w:t>0.03</w:t>
                  </w:r>
                </w:p>
              </w:tc>
              <w:tc>
                <w:tcPr>
                  <w:tcW w:w="1008" w:type="pct"/>
                  <w:tcBorders>
                    <w:tl2br w:val="nil"/>
                    <w:tr2bl w:val="nil"/>
                  </w:tcBorders>
                  <w:noWrap w:val="0"/>
                  <w:vAlign w:val="center"/>
                </w:tcPr>
                <w:p w14:paraId="4B9B4CCF">
                  <w:pPr>
                    <w:jc w:val="center"/>
                    <w:rPr>
                      <w:color w:val="auto"/>
                      <w:szCs w:val="21"/>
                      <w:highlight w:val="none"/>
                    </w:rPr>
                  </w:pPr>
                  <w:r>
                    <w:rPr>
                      <w:color w:val="auto"/>
                      <w:szCs w:val="21"/>
                      <w:highlight w:val="none"/>
                    </w:rPr>
                    <w:t>2500</w:t>
                  </w:r>
                </w:p>
              </w:tc>
              <w:tc>
                <w:tcPr>
                  <w:tcW w:w="806" w:type="pct"/>
                  <w:tcBorders>
                    <w:tl2br w:val="nil"/>
                    <w:tr2bl w:val="nil"/>
                  </w:tcBorders>
                  <w:noWrap w:val="0"/>
                  <w:vAlign w:val="center"/>
                </w:tcPr>
                <w:p w14:paraId="5502ED18">
                  <w:pPr>
                    <w:jc w:val="center"/>
                    <w:rPr>
                      <w:rFonts w:hint="eastAsia"/>
                      <w:color w:val="auto"/>
                      <w:szCs w:val="21"/>
                      <w:highlight w:val="none"/>
                    </w:rPr>
                  </w:pPr>
                  <w:r>
                    <w:rPr>
                      <w:color w:val="auto"/>
                      <w:szCs w:val="21"/>
                      <w:highlight w:val="none"/>
                    </w:rPr>
                    <w:t>0.0</w:t>
                  </w:r>
                  <w:r>
                    <w:rPr>
                      <w:rFonts w:hint="eastAsia"/>
                      <w:color w:val="auto"/>
                      <w:szCs w:val="21"/>
                      <w:highlight w:val="none"/>
                      <w:lang w:val="en-US" w:eastAsia="zh-CN"/>
                    </w:rPr>
                    <w:t>0001</w:t>
                  </w:r>
                  <w:r>
                    <w:rPr>
                      <w:rFonts w:hint="eastAsia"/>
                      <w:color w:val="auto"/>
                      <w:szCs w:val="21"/>
                      <w:highlight w:val="none"/>
                    </w:rPr>
                    <w:t>2</w:t>
                  </w:r>
                </w:p>
              </w:tc>
            </w:tr>
            <w:tr w14:paraId="1669C63A">
              <w:tblPrEx>
                <w:tblBorders>
                  <w:top w:val="single" w:color="000000" w:sz="2" w:space="0"/>
                  <w:left w:val="none" w:color="auto" w:sz="0" w:space="0"/>
                  <w:bottom w:val="single" w:color="000000" w:sz="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453" w:type="pct"/>
                  <w:tcBorders>
                    <w:tl2br w:val="nil"/>
                    <w:tr2bl w:val="nil"/>
                  </w:tcBorders>
                  <w:noWrap w:val="0"/>
                  <w:vAlign w:val="center"/>
                </w:tcPr>
                <w:p w14:paraId="19AA4231">
                  <w:pPr>
                    <w:jc w:val="center"/>
                    <w:rPr>
                      <w:rFonts w:hint="default" w:eastAsia="宋体"/>
                      <w:color w:val="auto"/>
                      <w:szCs w:val="21"/>
                      <w:highlight w:val="none"/>
                      <w:lang w:val="en-US" w:eastAsia="zh-CN"/>
                    </w:rPr>
                  </w:pPr>
                  <w:r>
                    <w:rPr>
                      <w:rFonts w:hint="eastAsia"/>
                      <w:color w:val="auto"/>
                      <w:szCs w:val="21"/>
                      <w:highlight w:val="none"/>
                      <w:lang w:val="en-US" w:eastAsia="zh-CN"/>
                    </w:rPr>
                    <w:t>3</w:t>
                  </w:r>
                </w:p>
              </w:tc>
              <w:tc>
                <w:tcPr>
                  <w:tcW w:w="764" w:type="pct"/>
                  <w:tcBorders>
                    <w:tl2br w:val="nil"/>
                    <w:tr2bl w:val="nil"/>
                  </w:tcBorders>
                  <w:noWrap w:val="0"/>
                  <w:vAlign w:val="center"/>
                </w:tcPr>
                <w:p w14:paraId="1B2F31FC">
                  <w:pPr>
                    <w:jc w:val="center"/>
                    <w:rPr>
                      <w:rFonts w:hint="default" w:eastAsia="宋体"/>
                      <w:color w:val="auto"/>
                      <w:szCs w:val="21"/>
                      <w:highlight w:val="none"/>
                      <w:lang w:val="en-US" w:eastAsia="zh-CN"/>
                    </w:rPr>
                  </w:pPr>
                  <w:r>
                    <w:rPr>
                      <w:rFonts w:hint="eastAsia" w:eastAsia="宋体"/>
                      <w:color w:val="auto"/>
                      <w:szCs w:val="21"/>
                      <w:highlight w:val="none"/>
                      <w:lang w:val="en-US" w:eastAsia="zh-CN"/>
                    </w:rPr>
                    <w:t>乳化液</w:t>
                  </w:r>
                </w:p>
              </w:tc>
              <w:tc>
                <w:tcPr>
                  <w:tcW w:w="793" w:type="pct"/>
                  <w:vMerge w:val="continue"/>
                  <w:tcBorders>
                    <w:tl2br w:val="nil"/>
                    <w:tr2bl w:val="nil"/>
                  </w:tcBorders>
                  <w:noWrap w:val="0"/>
                  <w:vAlign w:val="center"/>
                </w:tcPr>
                <w:p w14:paraId="5E97B9F7">
                  <w:pPr>
                    <w:jc w:val="both"/>
                    <w:rPr>
                      <w:rFonts w:hint="eastAsia" w:eastAsia="宋体"/>
                      <w:color w:val="auto"/>
                      <w:szCs w:val="21"/>
                      <w:highlight w:val="none"/>
                      <w:lang w:val="en-US" w:eastAsia="zh-CN"/>
                    </w:rPr>
                  </w:pPr>
                </w:p>
              </w:tc>
              <w:tc>
                <w:tcPr>
                  <w:tcW w:w="1173" w:type="pct"/>
                  <w:tcBorders>
                    <w:tl2br w:val="nil"/>
                    <w:tr2bl w:val="nil"/>
                  </w:tcBorders>
                  <w:noWrap w:val="0"/>
                  <w:vAlign w:val="center"/>
                </w:tcPr>
                <w:p w14:paraId="7CCB4EA1">
                  <w:pPr>
                    <w:jc w:val="center"/>
                    <w:rPr>
                      <w:rFonts w:hint="default" w:eastAsia="宋体"/>
                      <w:color w:val="auto"/>
                      <w:szCs w:val="21"/>
                      <w:highlight w:val="none"/>
                      <w:lang w:val="en-US" w:eastAsia="zh-CN"/>
                    </w:rPr>
                  </w:pPr>
                  <w:r>
                    <w:rPr>
                      <w:rFonts w:hint="eastAsia" w:eastAsia="宋体"/>
                      <w:color w:val="auto"/>
                      <w:szCs w:val="21"/>
                      <w:highlight w:val="none"/>
                      <w:lang w:val="en-US" w:eastAsia="zh-CN"/>
                    </w:rPr>
                    <w:t>2</w:t>
                  </w:r>
                </w:p>
              </w:tc>
              <w:tc>
                <w:tcPr>
                  <w:tcW w:w="1008" w:type="pct"/>
                  <w:tcBorders>
                    <w:tl2br w:val="nil"/>
                    <w:tr2bl w:val="nil"/>
                  </w:tcBorders>
                  <w:noWrap w:val="0"/>
                  <w:vAlign w:val="center"/>
                </w:tcPr>
                <w:p w14:paraId="08425443">
                  <w:pPr>
                    <w:jc w:val="center"/>
                    <w:rPr>
                      <w:rFonts w:hint="default" w:eastAsia="宋体"/>
                      <w:color w:val="auto"/>
                      <w:szCs w:val="21"/>
                      <w:highlight w:val="none"/>
                      <w:lang w:val="en-US" w:eastAsia="zh-CN"/>
                    </w:rPr>
                  </w:pPr>
                  <w:r>
                    <w:rPr>
                      <w:rFonts w:hint="eastAsia"/>
                      <w:color w:val="auto"/>
                      <w:szCs w:val="21"/>
                      <w:highlight w:val="none"/>
                      <w:lang w:val="en-US" w:eastAsia="zh-CN"/>
                    </w:rPr>
                    <w:t>2500</w:t>
                  </w:r>
                </w:p>
              </w:tc>
              <w:tc>
                <w:tcPr>
                  <w:tcW w:w="806" w:type="pct"/>
                  <w:tcBorders>
                    <w:tl2br w:val="nil"/>
                    <w:tr2bl w:val="nil"/>
                  </w:tcBorders>
                  <w:noWrap w:val="0"/>
                  <w:vAlign w:val="center"/>
                </w:tcPr>
                <w:p w14:paraId="0DD9DD0A">
                  <w:pPr>
                    <w:jc w:val="center"/>
                    <w:rPr>
                      <w:rFonts w:hint="default" w:eastAsia="宋体"/>
                      <w:color w:val="auto"/>
                      <w:szCs w:val="21"/>
                      <w:highlight w:val="none"/>
                      <w:lang w:val="en-US" w:eastAsia="zh-CN"/>
                    </w:rPr>
                  </w:pPr>
                  <w:r>
                    <w:rPr>
                      <w:rFonts w:hint="eastAsia"/>
                      <w:color w:val="auto"/>
                      <w:szCs w:val="21"/>
                      <w:highlight w:val="none"/>
                      <w:lang w:val="en-US" w:eastAsia="zh-CN"/>
                    </w:rPr>
                    <w:t>0.0008</w:t>
                  </w:r>
                </w:p>
              </w:tc>
            </w:tr>
          </w:tbl>
          <w:p w14:paraId="589A0195">
            <w:pPr>
              <w:adjustRightInd w:val="0"/>
              <w:snapToGrid w:val="0"/>
              <w:spacing w:line="360" w:lineRule="auto"/>
              <w:ind w:firstLine="504" w:firstLineChars="200"/>
              <w:rPr>
                <w:rFonts w:hint="eastAsia" w:ascii="Times New Roman" w:hAnsi="Times New Roman" w:eastAsia="宋体" w:cs="Times New Roman"/>
                <w:color w:val="auto"/>
                <w:spacing w:val="6"/>
                <w:sz w:val="24"/>
                <w:highlight w:val="none"/>
                <w:lang w:val="en-US" w:eastAsia="zh-CN"/>
              </w:rPr>
            </w:pPr>
            <w:r>
              <w:rPr>
                <w:rFonts w:hint="eastAsia" w:ascii="Times New Roman" w:hAnsi="Times New Roman" w:eastAsia="宋体" w:cs="Times New Roman"/>
                <w:color w:val="auto"/>
                <w:spacing w:val="6"/>
                <w:sz w:val="24"/>
                <w:highlight w:val="none"/>
                <w:lang w:val="en-US" w:eastAsia="zh-CN"/>
              </w:rPr>
              <w:t>根据《建设项目环境风险评价技术导则》（HJ/T 169-2018）附录C.1.1 中规定，当Q＜1时，该项目环境风险潜势为Ⅰ。通过表4-19可知，项目Q＜1</w:t>
            </w:r>
            <w:r>
              <w:rPr>
                <w:rFonts w:hint="eastAsia" w:cs="Times New Roman"/>
                <w:color w:val="auto"/>
                <w:spacing w:val="6"/>
                <w:sz w:val="24"/>
                <w:highlight w:val="none"/>
                <w:lang w:val="en-US" w:eastAsia="zh-CN"/>
              </w:rPr>
              <w:t>，</w:t>
            </w:r>
            <w:r>
              <w:rPr>
                <w:rFonts w:hint="eastAsia" w:ascii="Times New Roman" w:hAnsi="Times New Roman" w:eastAsia="宋体" w:cs="Times New Roman"/>
                <w:color w:val="auto"/>
                <w:spacing w:val="6"/>
                <w:sz w:val="24"/>
                <w:highlight w:val="none"/>
                <w:lang w:val="en-US" w:eastAsia="zh-CN"/>
              </w:rPr>
              <w:t>因此，本项目的风险潜势为Ⅰ。</w:t>
            </w:r>
          </w:p>
          <w:p w14:paraId="6971A204">
            <w:pPr>
              <w:adjustRightInd w:val="0"/>
              <w:snapToGrid w:val="0"/>
              <w:spacing w:line="360" w:lineRule="auto"/>
              <w:ind w:firstLine="482" w:firstLineChars="200"/>
              <w:rPr>
                <w:rFonts w:hint="eastAsia" w:ascii="宋体" w:hAnsi="宋体" w:eastAsia="宋体" w:cs="宋体"/>
                <w:b/>
                <w:color w:val="auto"/>
                <w:kern w:val="0"/>
                <w:sz w:val="24"/>
                <w:lang w:val="en-US" w:eastAsia="zh-CN"/>
              </w:rPr>
            </w:pPr>
            <w:r>
              <w:rPr>
                <w:rFonts w:hint="default" w:ascii="Times New Roman" w:hAnsi="Times New Roman" w:eastAsia="宋体" w:cs="Times New Roman"/>
                <w:b/>
                <w:color w:val="auto"/>
                <w:kern w:val="0"/>
                <w:sz w:val="24"/>
                <w:lang w:val="en-US" w:eastAsia="zh-CN"/>
              </w:rPr>
              <w:t>6.3</w:t>
            </w:r>
            <w:r>
              <w:rPr>
                <w:rFonts w:hint="eastAsia" w:ascii="宋体" w:hAnsi="宋体" w:eastAsia="宋体" w:cs="宋体"/>
                <w:b/>
                <w:color w:val="auto"/>
                <w:kern w:val="0"/>
                <w:sz w:val="24"/>
                <w:lang w:val="en-US" w:eastAsia="zh-CN"/>
              </w:rPr>
              <w:t>评价等级</w:t>
            </w:r>
          </w:p>
          <w:p w14:paraId="545EF35B">
            <w:pPr>
              <w:pStyle w:val="2"/>
              <w:snapToGrid/>
              <w:spacing w:before="0" w:after="0" w:line="360" w:lineRule="auto"/>
              <w:ind w:right="0" w:firstLine="480" w:firstLineChars="200"/>
              <w:rPr>
                <w:rFonts w:hint="default"/>
                <w:color w:val="auto"/>
                <w:lang w:val="en-US" w:eastAsia="zh-CN"/>
              </w:rPr>
            </w:pPr>
            <w:r>
              <w:rPr>
                <w:rFonts w:hint="eastAsia"/>
                <w:bCs/>
                <w:color w:val="auto"/>
                <w:sz w:val="24"/>
                <w:lang w:val="en-US" w:eastAsia="zh-CN"/>
              </w:rPr>
              <w:t>根据《建设项目环境风险评价技术导则》（HJ/T169-2018）表1评价工作等级划分可知，本项目环境风险潜势为</w:t>
            </w:r>
            <w:r>
              <w:rPr>
                <w:bCs/>
                <w:color w:val="auto"/>
                <w:sz w:val="24"/>
                <w:lang w:val="en-US" w:eastAsia="zh-CN"/>
              </w:rPr>
              <w:t>Ⅰ</w:t>
            </w:r>
            <w:r>
              <w:rPr>
                <w:rFonts w:hint="eastAsia"/>
                <w:bCs/>
                <w:color w:val="auto"/>
                <w:sz w:val="24"/>
                <w:lang w:val="en-US" w:eastAsia="zh-CN"/>
              </w:rPr>
              <w:t>，对应的评价工作等级为简单分析。</w:t>
            </w:r>
          </w:p>
          <w:p w14:paraId="0EC60263">
            <w:pPr>
              <w:adjustRightInd w:val="0"/>
              <w:snapToGrid w:val="0"/>
              <w:spacing w:line="360" w:lineRule="auto"/>
              <w:ind w:firstLine="482" w:firstLineChars="200"/>
              <w:rPr>
                <w:rFonts w:hint="eastAsia" w:ascii="Times New Roman" w:hAnsi="Times New Roman" w:cs="Times New Roman"/>
                <w:b/>
                <w:color w:val="auto"/>
                <w:kern w:val="0"/>
                <w:sz w:val="24"/>
                <w:highlight w:val="none"/>
                <w:lang w:val="en-US" w:eastAsia="zh-CN"/>
              </w:rPr>
            </w:pPr>
            <w:r>
              <w:rPr>
                <w:rFonts w:hint="default" w:ascii="Times New Roman" w:hAnsi="Times New Roman" w:cs="Times New Roman"/>
                <w:b/>
                <w:color w:val="auto"/>
                <w:kern w:val="0"/>
                <w:sz w:val="24"/>
                <w:highlight w:val="none"/>
              </w:rPr>
              <w:t>6.</w:t>
            </w:r>
            <w:r>
              <w:rPr>
                <w:rFonts w:hint="eastAsia" w:ascii="Times New Roman" w:hAnsi="Times New Roman" w:cs="Times New Roman"/>
                <w:b/>
                <w:color w:val="auto"/>
                <w:kern w:val="0"/>
                <w:sz w:val="24"/>
                <w:highlight w:val="none"/>
                <w:lang w:val="en-US" w:eastAsia="zh-CN"/>
              </w:rPr>
              <w:t>4环境风险分析</w:t>
            </w:r>
          </w:p>
          <w:p w14:paraId="123D71CE">
            <w:pPr>
              <w:pStyle w:val="2"/>
              <w:snapToGrid/>
              <w:spacing w:before="0" w:after="0" w:line="360" w:lineRule="auto"/>
              <w:ind w:right="0" w:firstLine="480" w:firstLineChars="200"/>
              <w:rPr>
                <w:rFonts w:hint="eastAsia"/>
                <w:color w:val="auto"/>
                <w:sz w:val="24"/>
                <w:szCs w:val="24"/>
                <w:lang w:val="en-US" w:eastAsia="zh-CN"/>
              </w:rPr>
            </w:pPr>
            <w:r>
              <w:rPr>
                <w:rFonts w:hint="eastAsia"/>
                <w:color w:val="auto"/>
                <w:sz w:val="24"/>
                <w:szCs w:val="24"/>
                <w:lang w:val="en-US" w:eastAsia="zh-CN"/>
              </w:rPr>
              <w:t>建设项目可能发生的事故主要有：</w:t>
            </w:r>
          </w:p>
          <w:p w14:paraId="45E69A89">
            <w:pPr>
              <w:pStyle w:val="2"/>
              <w:snapToGrid/>
              <w:spacing w:before="0" w:after="0" w:line="360" w:lineRule="auto"/>
              <w:ind w:right="0" w:firstLine="480" w:firstLineChars="200"/>
              <w:rPr>
                <w:rFonts w:hint="eastAsia"/>
                <w:color w:val="auto"/>
                <w:sz w:val="24"/>
                <w:szCs w:val="24"/>
                <w:lang w:val="en-US" w:eastAsia="zh-CN"/>
              </w:rPr>
            </w:pPr>
            <w:r>
              <w:rPr>
                <w:rFonts w:hint="eastAsia"/>
                <w:color w:val="auto"/>
                <w:sz w:val="24"/>
                <w:szCs w:val="24"/>
                <w:lang w:val="en-US" w:eastAsia="zh-CN"/>
              </w:rPr>
              <w:t>机油、乳化液及液压油储罐破损物品渗漏引起土壤及地下水的污染，工人误操作时产生的泄漏以及由此引起的火灾对人身安全及周围环境产生的危害。根据风险识别，扩建项目主要存在的事故类型有：</w:t>
            </w:r>
          </w:p>
          <w:p w14:paraId="0D296C91">
            <w:pPr>
              <w:pStyle w:val="2"/>
              <w:snapToGrid/>
              <w:spacing w:before="0" w:after="0" w:line="360" w:lineRule="auto"/>
              <w:ind w:right="0" w:firstLine="480" w:firstLineChars="200"/>
              <w:rPr>
                <w:rFonts w:hint="eastAsia"/>
                <w:color w:val="auto"/>
                <w:sz w:val="24"/>
                <w:szCs w:val="24"/>
                <w:lang w:val="en-US" w:eastAsia="zh-CN"/>
              </w:rPr>
            </w:pPr>
            <w:r>
              <w:rPr>
                <w:rFonts w:hint="eastAsia"/>
                <w:color w:val="auto"/>
                <w:sz w:val="24"/>
                <w:szCs w:val="24"/>
                <w:lang w:val="en-US" w:eastAsia="zh-CN"/>
              </w:rPr>
              <w:t>a、储罐破损物品渗漏引起土壤及地下水的污染；</w:t>
            </w:r>
          </w:p>
          <w:p w14:paraId="6B6CF219">
            <w:pPr>
              <w:pStyle w:val="2"/>
              <w:snapToGrid/>
              <w:spacing w:before="0" w:after="0" w:line="360" w:lineRule="auto"/>
              <w:ind w:right="0" w:firstLine="480" w:firstLineChars="200"/>
              <w:rPr>
                <w:rFonts w:hint="eastAsia"/>
                <w:color w:val="auto"/>
                <w:sz w:val="24"/>
                <w:szCs w:val="24"/>
                <w:lang w:val="en-US" w:eastAsia="zh-CN"/>
              </w:rPr>
            </w:pPr>
            <w:r>
              <w:rPr>
                <w:rFonts w:hint="eastAsia"/>
                <w:color w:val="auto"/>
                <w:sz w:val="24"/>
                <w:szCs w:val="24"/>
                <w:lang w:val="en-US" w:eastAsia="zh-CN"/>
              </w:rPr>
              <w:t>b、油品溢出或泄漏后遇明火发生火灾事故。</w:t>
            </w:r>
          </w:p>
          <w:p w14:paraId="3CAA53B3">
            <w:pPr>
              <w:adjustRightInd w:val="0"/>
              <w:snapToGrid w:val="0"/>
              <w:spacing w:line="360" w:lineRule="auto"/>
              <w:ind w:firstLine="482" w:firstLineChars="200"/>
              <w:rPr>
                <w:rFonts w:hint="default"/>
                <w:color w:val="auto"/>
                <w:lang w:val="en-US"/>
              </w:rPr>
            </w:pPr>
            <w:r>
              <w:rPr>
                <w:rFonts w:hint="default" w:ascii="Times New Roman" w:hAnsi="Times New Roman" w:eastAsia="宋体" w:cs="Times New Roman"/>
                <w:b/>
                <w:color w:val="auto"/>
                <w:kern w:val="0"/>
                <w:sz w:val="24"/>
                <w:lang w:val="en-US" w:eastAsia="zh-CN"/>
              </w:rPr>
              <w:t>6.</w:t>
            </w:r>
            <w:r>
              <w:rPr>
                <w:rFonts w:hint="eastAsia" w:cs="Times New Roman"/>
                <w:b/>
                <w:color w:val="auto"/>
                <w:kern w:val="0"/>
                <w:sz w:val="24"/>
                <w:lang w:val="en-US" w:eastAsia="zh-CN"/>
              </w:rPr>
              <w:t>5环境风险防范措施</w:t>
            </w:r>
          </w:p>
          <w:p w14:paraId="161D1F95">
            <w:pPr>
              <w:spacing w:line="360" w:lineRule="auto"/>
              <w:ind w:firstLine="480" w:firstLineChars="200"/>
              <w:rPr>
                <w:rFonts w:ascii="宋体" w:hAnsi="宋体" w:cs="宋体"/>
                <w:color w:val="auto"/>
                <w:sz w:val="24"/>
              </w:rPr>
            </w:pPr>
            <w:r>
              <w:rPr>
                <w:rFonts w:hint="eastAsia" w:ascii="宋体" w:hAnsi="宋体" w:cs="宋体"/>
                <w:color w:val="auto"/>
                <w:sz w:val="24"/>
              </w:rPr>
              <w:t>（1）建立安全环保管理机构，保证风险防范措施的落实</w:t>
            </w:r>
          </w:p>
          <w:p w14:paraId="24D3DD4B">
            <w:pPr>
              <w:spacing w:line="360" w:lineRule="auto"/>
              <w:ind w:firstLine="480" w:firstLineChars="200"/>
              <w:rPr>
                <w:rFonts w:ascii="宋体" w:hAnsi="宋体" w:cs="宋体"/>
                <w:color w:val="auto"/>
                <w:sz w:val="24"/>
              </w:rPr>
            </w:pPr>
            <w:r>
              <w:rPr>
                <w:rFonts w:hint="eastAsia" w:ascii="宋体" w:hAnsi="宋体" w:cs="宋体"/>
                <w:color w:val="auto"/>
                <w:sz w:val="24"/>
              </w:rPr>
              <w:t>建设单位应设立专门的安全环保机构，负责日常的安全环保管理工作，确保各项安全、环保措施的执行与落实，做好事故的预防工作。事故期间，安全环保机构负责落实风险救援计划各项措施，确保应急救援工作及时顺利展开。</w:t>
            </w:r>
          </w:p>
          <w:p w14:paraId="31962AD6">
            <w:pPr>
              <w:spacing w:line="360" w:lineRule="auto"/>
              <w:ind w:firstLine="480" w:firstLineChars="200"/>
              <w:rPr>
                <w:color w:val="auto"/>
                <w:sz w:val="24"/>
              </w:rPr>
            </w:pPr>
            <w:r>
              <w:rPr>
                <w:rFonts w:hint="eastAsia" w:ascii="宋体" w:hAnsi="宋体" w:cs="宋体"/>
                <w:color w:val="auto"/>
                <w:sz w:val="24"/>
              </w:rPr>
              <w:t>（2）</w:t>
            </w:r>
            <w:r>
              <w:rPr>
                <w:color w:val="auto"/>
                <w:sz w:val="24"/>
              </w:rPr>
              <w:t xml:space="preserve">火灾事故防范措施 </w:t>
            </w:r>
          </w:p>
          <w:p w14:paraId="245B0835">
            <w:pPr>
              <w:spacing w:line="360" w:lineRule="auto"/>
              <w:ind w:firstLine="480" w:firstLineChars="200"/>
              <w:rPr>
                <w:color w:val="auto"/>
                <w:sz w:val="24"/>
              </w:rPr>
            </w:pPr>
            <w:r>
              <w:rPr>
                <w:color w:val="auto"/>
                <w:sz w:val="24"/>
              </w:rPr>
              <w:t xml:space="preserve">当发生火灾事故时，在火灾的灭火过程中，消防喷水、泡沫喷淋等均会产生废水，以上消防废液若直接排入地表水体，含高浓度的消防排水势必对水体造成不利的影响。为预防和减少突发环境事件的发生，控制、减轻和消除突发环境事件引起的危害，规范突发环境事件应急管理工作，保障公众生命、环境和财产的安全。本次评价要求项目在生产运营过程中要注意做好贮存、操作、管理等各项安全措施，以确保人身的安全及环境的维护。 </w:t>
            </w:r>
          </w:p>
          <w:p w14:paraId="2F2102D0">
            <w:pPr>
              <w:spacing w:line="360" w:lineRule="auto"/>
              <w:ind w:firstLine="480" w:firstLineChars="200"/>
              <w:rPr>
                <w:color w:val="auto"/>
                <w:sz w:val="24"/>
              </w:rPr>
            </w:pPr>
            <w:r>
              <w:rPr>
                <w:color w:val="auto"/>
                <w:sz w:val="24"/>
              </w:rPr>
              <w:t>●应加强车间内的通风次数；</w:t>
            </w:r>
          </w:p>
          <w:p w14:paraId="0CFB0D40">
            <w:pPr>
              <w:spacing w:line="360" w:lineRule="auto"/>
              <w:ind w:firstLine="480" w:firstLineChars="200"/>
              <w:rPr>
                <w:color w:val="auto"/>
                <w:sz w:val="24"/>
              </w:rPr>
            </w:pPr>
            <w:r>
              <w:rPr>
                <w:color w:val="auto"/>
                <w:sz w:val="24"/>
              </w:rPr>
              <w:t xml:space="preserve">●采购有证企业生产的合格产品，不得靠近热源和明火，保证周围环境通风、干燥；  </w:t>
            </w:r>
          </w:p>
          <w:p w14:paraId="25F8A227">
            <w:pPr>
              <w:spacing w:line="360" w:lineRule="auto"/>
              <w:ind w:firstLine="480" w:firstLineChars="200"/>
              <w:rPr>
                <w:color w:val="auto"/>
                <w:sz w:val="24"/>
              </w:rPr>
            </w:pPr>
            <w:r>
              <w:rPr>
                <w:color w:val="auto"/>
                <w:sz w:val="24"/>
              </w:rPr>
              <w:t xml:space="preserve">●指导群众向上风方向疏散，减少吸入火灾烟气，从末端控制污染物，减少火灾大气污染物伤害； </w:t>
            </w:r>
          </w:p>
          <w:p w14:paraId="0EE49A42">
            <w:pPr>
              <w:spacing w:line="360" w:lineRule="auto"/>
              <w:ind w:firstLine="480" w:firstLineChars="200"/>
              <w:rPr>
                <w:color w:val="auto"/>
                <w:sz w:val="24"/>
              </w:rPr>
            </w:pPr>
            <w:r>
              <w:rPr>
                <w:color w:val="auto"/>
                <w:sz w:val="24"/>
              </w:rPr>
              <w:t xml:space="preserve">●在雨水管网出口处设置闸门，发生事故时及时关闭闸门，防止消防废水流出厂区，将其可能产生的环境影响控制在厂区之内，从传播途径控制污染物，减少火灾水污染物扩散范围； </w:t>
            </w:r>
          </w:p>
          <w:p w14:paraId="586828D0">
            <w:pPr>
              <w:spacing w:line="360" w:lineRule="auto"/>
              <w:ind w:firstLine="480" w:firstLineChars="200"/>
              <w:rPr>
                <w:color w:val="auto"/>
                <w:sz w:val="24"/>
              </w:rPr>
            </w:pPr>
            <w:r>
              <w:rPr>
                <w:color w:val="auto"/>
                <w:sz w:val="24"/>
              </w:rPr>
              <w:t xml:space="preserve">●在事故发生位置四周用装满沙土的袋子围成围堰拦截消防废水，并在厂内采取导流方式将消防废水统一收集至消防（应急）水池内，集中处理，消除安全隐患后交由有资质单位处理，从末端处理污染物，减少火灾水污染物排放。 </w:t>
            </w:r>
          </w:p>
          <w:p w14:paraId="1B0BD98F">
            <w:pPr>
              <w:snapToGrid w:val="0"/>
              <w:spacing w:line="360" w:lineRule="auto"/>
              <w:ind w:firstLine="482" w:firstLineChars="200"/>
              <w:rPr>
                <w:b/>
                <w:color w:val="auto"/>
                <w:sz w:val="24"/>
              </w:rPr>
            </w:pPr>
            <w:r>
              <w:rPr>
                <w:b/>
                <w:color w:val="auto"/>
                <w:sz w:val="24"/>
              </w:rPr>
              <w:t>6.</w:t>
            </w:r>
            <w:r>
              <w:rPr>
                <w:rFonts w:hint="eastAsia"/>
                <w:b/>
                <w:color w:val="auto"/>
                <w:sz w:val="24"/>
                <w:lang w:val="en-US" w:eastAsia="zh-CN"/>
              </w:rPr>
              <w:t>6</w:t>
            </w:r>
            <w:r>
              <w:rPr>
                <w:b/>
                <w:color w:val="auto"/>
                <w:sz w:val="24"/>
              </w:rPr>
              <w:t>应急预案</w:t>
            </w:r>
          </w:p>
          <w:p w14:paraId="58858273">
            <w:pPr>
              <w:pStyle w:val="42"/>
              <w:spacing w:beforeLines="0" w:afterLines="0" w:line="360" w:lineRule="auto"/>
              <w:ind w:firstLine="480" w:firstLineChars="200"/>
              <w:jc w:val="both"/>
              <w:rPr>
                <w:rFonts w:ascii="Times New Roman"/>
                <w:color w:val="auto"/>
                <w:sz w:val="24"/>
                <w:szCs w:val="24"/>
              </w:rPr>
            </w:pPr>
            <w:r>
              <w:rPr>
                <w:rFonts w:ascii="Times New Roman"/>
                <w:color w:val="auto"/>
                <w:sz w:val="24"/>
                <w:szCs w:val="24"/>
              </w:rPr>
              <w:t>本项目在运行过程中，一旦出现突发事故，必须按事先拟定的应急方案，进行紧急处理，它包括应急状态分类、应急计划区、事故等级水平、应急防护和应急医学处理等。建设方应根据预案纲要制定详细的“事故应急救援预案”，完成备案，及时更新版本，并认真执行。应急有关内容具体见下表4-</w:t>
            </w:r>
            <w:r>
              <w:rPr>
                <w:rFonts w:hint="eastAsia" w:ascii="Times New Roman"/>
                <w:color w:val="auto"/>
                <w:sz w:val="24"/>
                <w:szCs w:val="24"/>
                <w:lang w:val="en-US" w:eastAsia="zh-CN"/>
              </w:rPr>
              <w:t>20</w:t>
            </w:r>
            <w:r>
              <w:rPr>
                <w:rFonts w:ascii="Times New Roman"/>
                <w:color w:val="auto"/>
                <w:sz w:val="24"/>
                <w:szCs w:val="24"/>
              </w:rPr>
              <w:t>。</w:t>
            </w:r>
          </w:p>
          <w:p w14:paraId="3BA0529F">
            <w:pPr>
              <w:pStyle w:val="108"/>
              <w:spacing w:before="0" w:after="0" w:afterAutospacing="0" w:line="360" w:lineRule="auto"/>
              <w:rPr>
                <w:b/>
                <w:color w:val="auto"/>
                <w:sz w:val="21"/>
                <w:szCs w:val="21"/>
              </w:rPr>
            </w:pPr>
          </w:p>
          <w:p w14:paraId="16388A40">
            <w:pPr>
              <w:pStyle w:val="108"/>
              <w:spacing w:before="0" w:after="0" w:afterAutospacing="0" w:line="360" w:lineRule="auto"/>
              <w:rPr>
                <w:b/>
                <w:color w:val="auto"/>
                <w:sz w:val="21"/>
                <w:szCs w:val="21"/>
              </w:rPr>
            </w:pPr>
          </w:p>
          <w:p w14:paraId="445CF9D8">
            <w:pPr>
              <w:pStyle w:val="108"/>
              <w:spacing w:before="0" w:after="0" w:afterAutospacing="0" w:line="360" w:lineRule="auto"/>
              <w:rPr>
                <w:b/>
                <w:color w:val="auto"/>
                <w:sz w:val="21"/>
                <w:szCs w:val="21"/>
              </w:rPr>
            </w:pPr>
            <w:r>
              <w:rPr>
                <w:b/>
                <w:color w:val="auto"/>
                <w:sz w:val="21"/>
                <w:szCs w:val="21"/>
              </w:rPr>
              <w:t>表4-</w:t>
            </w:r>
            <w:r>
              <w:rPr>
                <w:rFonts w:hint="eastAsia"/>
                <w:b/>
                <w:color w:val="auto"/>
                <w:sz w:val="21"/>
                <w:szCs w:val="21"/>
                <w:lang w:val="en-US" w:eastAsia="zh-CN"/>
              </w:rPr>
              <w:t>20</w:t>
            </w:r>
            <w:r>
              <w:rPr>
                <w:b/>
                <w:color w:val="auto"/>
                <w:sz w:val="21"/>
                <w:szCs w:val="21"/>
              </w:rPr>
              <w:t xml:space="preserve">  环境风险的突发性事故应急预案</w:t>
            </w:r>
          </w:p>
          <w:tbl>
            <w:tblPr>
              <w:tblStyle w:val="24"/>
              <w:tblW w:w="4999"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269"/>
              <w:gridCol w:w="6134"/>
            </w:tblGrid>
            <w:tr w14:paraId="776EA3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86" w:type="pct"/>
                  <w:tcBorders>
                    <w:tl2br w:val="nil"/>
                    <w:tr2bl w:val="nil"/>
                  </w:tcBorders>
                  <w:vAlign w:val="center"/>
                </w:tcPr>
                <w:p w14:paraId="68A1348B">
                  <w:pPr>
                    <w:pStyle w:val="2"/>
                    <w:spacing w:before="0" w:after="0" w:line="240" w:lineRule="atLeast"/>
                    <w:rPr>
                      <w:b/>
                      <w:bCs/>
                      <w:color w:val="auto"/>
                      <w:sz w:val="21"/>
                      <w:szCs w:val="21"/>
                    </w:rPr>
                  </w:pPr>
                  <w:r>
                    <w:rPr>
                      <w:b/>
                      <w:bCs/>
                      <w:color w:val="auto"/>
                      <w:sz w:val="21"/>
                      <w:szCs w:val="21"/>
                    </w:rPr>
                    <w:t>序号</w:t>
                  </w:r>
                </w:p>
              </w:tc>
              <w:tc>
                <w:tcPr>
                  <w:tcW w:w="791" w:type="pct"/>
                  <w:tcBorders>
                    <w:tl2br w:val="nil"/>
                    <w:tr2bl w:val="nil"/>
                  </w:tcBorders>
                  <w:vAlign w:val="center"/>
                </w:tcPr>
                <w:p w14:paraId="203E4230">
                  <w:pPr>
                    <w:pStyle w:val="2"/>
                    <w:spacing w:before="0" w:after="0" w:line="240" w:lineRule="atLeast"/>
                    <w:jc w:val="center"/>
                    <w:rPr>
                      <w:b/>
                      <w:bCs/>
                      <w:color w:val="auto"/>
                      <w:sz w:val="21"/>
                      <w:szCs w:val="21"/>
                    </w:rPr>
                  </w:pPr>
                  <w:r>
                    <w:rPr>
                      <w:b/>
                      <w:bCs/>
                      <w:color w:val="auto"/>
                      <w:sz w:val="21"/>
                      <w:szCs w:val="21"/>
                    </w:rPr>
                    <w:t>项目</w:t>
                  </w:r>
                </w:p>
              </w:tc>
              <w:tc>
                <w:tcPr>
                  <w:tcW w:w="3822" w:type="pct"/>
                  <w:tcBorders>
                    <w:tl2br w:val="nil"/>
                    <w:tr2bl w:val="nil"/>
                  </w:tcBorders>
                  <w:vAlign w:val="center"/>
                </w:tcPr>
                <w:p w14:paraId="4EE090E2">
                  <w:pPr>
                    <w:pStyle w:val="2"/>
                    <w:spacing w:before="0" w:after="0" w:line="240" w:lineRule="atLeast"/>
                    <w:jc w:val="center"/>
                    <w:rPr>
                      <w:b/>
                      <w:bCs/>
                      <w:color w:val="auto"/>
                      <w:sz w:val="21"/>
                      <w:szCs w:val="21"/>
                    </w:rPr>
                  </w:pPr>
                  <w:r>
                    <w:rPr>
                      <w:b/>
                      <w:bCs/>
                      <w:color w:val="auto"/>
                      <w:sz w:val="21"/>
                      <w:szCs w:val="21"/>
                    </w:rPr>
                    <w:t>主要内容及要求</w:t>
                  </w:r>
                </w:p>
              </w:tc>
            </w:tr>
            <w:tr w14:paraId="42464C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86" w:type="pct"/>
                  <w:tcBorders>
                    <w:tl2br w:val="nil"/>
                    <w:tr2bl w:val="nil"/>
                  </w:tcBorders>
                  <w:vAlign w:val="center"/>
                </w:tcPr>
                <w:p w14:paraId="49DA702F">
                  <w:pPr>
                    <w:pStyle w:val="2"/>
                    <w:spacing w:before="0" w:after="0" w:line="240" w:lineRule="atLeast"/>
                    <w:rPr>
                      <w:color w:val="auto"/>
                      <w:sz w:val="21"/>
                      <w:szCs w:val="21"/>
                    </w:rPr>
                  </w:pPr>
                  <w:r>
                    <w:rPr>
                      <w:color w:val="auto"/>
                      <w:sz w:val="21"/>
                      <w:szCs w:val="21"/>
                    </w:rPr>
                    <w:t>1</w:t>
                  </w:r>
                </w:p>
              </w:tc>
              <w:tc>
                <w:tcPr>
                  <w:tcW w:w="791" w:type="pct"/>
                  <w:tcBorders>
                    <w:tl2br w:val="nil"/>
                    <w:tr2bl w:val="nil"/>
                  </w:tcBorders>
                  <w:vAlign w:val="center"/>
                </w:tcPr>
                <w:p w14:paraId="26099428">
                  <w:pPr>
                    <w:pStyle w:val="2"/>
                    <w:spacing w:before="0" w:after="0" w:line="240" w:lineRule="atLeast"/>
                    <w:rPr>
                      <w:color w:val="auto"/>
                      <w:sz w:val="21"/>
                      <w:szCs w:val="21"/>
                    </w:rPr>
                  </w:pPr>
                  <w:r>
                    <w:rPr>
                      <w:color w:val="auto"/>
                      <w:sz w:val="21"/>
                      <w:szCs w:val="21"/>
                    </w:rPr>
                    <w:t>基本情况</w:t>
                  </w:r>
                </w:p>
              </w:tc>
              <w:tc>
                <w:tcPr>
                  <w:tcW w:w="3822" w:type="pct"/>
                  <w:tcBorders>
                    <w:tl2br w:val="nil"/>
                    <w:tr2bl w:val="nil"/>
                  </w:tcBorders>
                  <w:vAlign w:val="center"/>
                </w:tcPr>
                <w:p w14:paraId="66D38EC6">
                  <w:pPr>
                    <w:pStyle w:val="2"/>
                    <w:spacing w:before="0" w:after="0" w:line="240" w:lineRule="atLeast"/>
                    <w:rPr>
                      <w:color w:val="auto"/>
                      <w:sz w:val="21"/>
                      <w:szCs w:val="21"/>
                    </w:rPr>
                  </w:pPr>
                  <w:r>
                    <w:rPr>
                      <w:color w:val="auto"/>
                      <w:sz w:val="21"/>
                      <w:szCs w:val="21"/>
                    </w:rPr>
                    <w:t>地理位置，企业人数，上级部门，产品与原辅材料规模，周边企业单位和社会情况，重要基础设施、道路等情况，危险化学品运输单位、车辆及主要的运输产品、运量、运地、行车路线等。</w:t>
                  </w:r>
                </w:p>
              </w:tc>
            </w:tr>
            <w:tr w14:paraId="643158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386" w:type="pct"/>
                  <w:tcBorders>
                    <w:tl2br w:val="nil"/>
                    <w:tr2bl w:val="nil"/>
                  </w:tcBorders>
                  <w:vAlign w:val="center"/>
                </w:tcPr>
                <w:p w14:paraId="2CE6D246">
                  <w:pPr>
                    <w:pStyle w:val="2"/>
                    <w:spacing w:before="0" w:after="0" w:line="240" w:lineRule="atLeast"/>
                    <w:rPr>
                      <w:color w:val="auto"/>
                      <w:sz w:val="21"/>
                      <w:szCs w:val="21"/>
                    </w:rPr>
                  </w:pPr>
                  <w:r>
                    <w:rPr>
                      <w:color w:val="auto"/>
                      <w:sz w:val="21"/>
                      <w:szCs w:val="21"/>
                    </w:rPr>
                    <w:t>2</w:t>
                  </w:r>
                </w:p>
              </w:tc>
              <w:tc>
                <w:tcPr>
                  <w:tcW w:w="791" w:type="pct"/>
                  <w:tcBorders>
                    <w:tl2br w:val="nil"/>
                    <w:tr2bl w:val="nil"/>
                  </w:tcBorders>
                  <w:vAlign w:val="center"/>
                </w:tcPr>
                <w:p w14:paraId="1203F8C9">
                  <w:pPr>
                    <w:pStyle w:val="2"/>
                    <w:spacing w:before="0" w:after="0" w:line="240" w:lineRule="atLeast"/>
                    <w:rPr>
                      <w:color w:val="auto"/>
                      <w:sz w:val="21"/>
                      <w:szCs w:val="21"/>
                    </w:rPr>
                  </w:pPr>
                  <w:r>
                    <w:rPr>
                      <w:color w:val="auto"/>
                      <w:sz w:val="21"/>
                      <w:szCs w:val="21"/>
                    </w:rPr>
                    <w:t>确定危险目标及其危险特性对周围的影响</w:t>
                  </w:r>
                </w:p>
              </w:tc>
              <w:tc>
                <w:tcPr>
                  <w:tcW w:w="3822" w:type="pct"/>
                  <w:tcBorders>
                    <w:tl2br w:val="nil"/>
                    <w:tr2bl w:val="nil"/>
                  </w:tcBorders>
                  <w:vAlign w:val="center"/>
                </w:tcPr>
                <w:p w14:paraId="63F84A30">
                  <w:pPr>
                    <w:pStyle w:val="2"/>
                    <w:spacing w:before="0" w:after="0" w:line="240" w:lineRule="atLeast"/>
                    <w:rPr>
                      <w:color w:val="auto"/>
                      <w:sz w:val="21"/>
                      <w:szCs w:val="21"/>
                    </w:rPr>
                  </w:pPr>
                  <w:r>
                    <w:rPr>
                      <w:color w:val="auto"/>
                      <w:sz w:val="21"/>
                      <w:szCs w:val="21"/>
                    </w:rPr>
                    <w:t>根据事故类别、综合分析的危害程度，确定危险目标。</w:t>
                  </w:r>
                </w:p>
                <w:p w14:paraId="5C4A0456">
                  <w:pPr>
                    <w:pStyle w:val="2"/>
                    <w:spacing w:before="0" w:after="0" w:line="240" w:lineRule="atLeast"/>
                    <w:rPr>
                      <w:color w:val="auto"/>
                      <w:sz w:val="21"/>
                      <w:szCs w:val="21"/>
                    </w:rPr>
                  </w:pPr>
                  <w:r>
                    <w:rPr>
                      <w:color w:val="auto"/>
                      <w:sz w:val="21"/>
                      <w:szCs w:val="21"/>
                    </w:rPr>
                    <w:t>根据确定的危险目标，明确其危险特性及对周边的影响</w:t>
                  </w:r>
                </w:p>
              </w:tc>
            </w:tr>
            <w:tr w14:paraId="6F5B90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86" w:type="pct"/>
                  <w:tcBorders>
                    <w:tl2br w:val="nil"/>
                    <w:tr2bl w:val="nil"/>
                  </w:tcBorders>
                  <w:vAlign w:val="center"/>
                </w:tcPr>
                <w:p w14:paraId="2623CDC0">
                  <w:pPr>
                    <w:pStyle w:val="2"/>
                    <w:spacing w:before="0" w:after="0" w:line="240" w:lineRule="atLeast"/>
                    <w:rPr>
                      <w:color w:val="auto"/>
                      <w:sz w:val="21"/>
                      <w:szCs w:val="21"/>
                    </w:rPr>
                  </w:pPr>
                  <w:r>
                    <w:rPr>
                      <w:color w:val="auto"/>
                      <w:sz w:val="21"/>
                      <w:szCs w:val="21"/>
                    </w:rPr>
                    <w:t>3</w:t>
                  </w:r>
                </w:p>
              </w:tc>
              <w:tc>
                <w:tcPr>
                  <w:tcW w:w="791" w:type="pct"/>
                  <w:tcBorders>
                    <w:tl2br w:val="nil"/>
                    <w:tr2bl w:val="nil"/>
                  </w:tcBorders>
                  <w:vAlign w:val="center"/>
                </w:tcPr>
                <w:p w14:paraId="7437381A">
                  <w:pPr>
                    <w:pStyle w:val="2"/>
                    <w:spacing w:before="0" w:after="0" w:line="240" w:lineRule="atLeast"/>
                    <w:rPr>
                      <w:color w:val="auto"/>
                      <w:sz w:val="21"/>
                      <w:szCs w:val="21"/>
                    </w:rPr>
                  </w:pPr>
                  <w:r>
                    <w:rPr>
                      <w:color w:val="auto"/>
                      <w:sz w:val="21"/>
                      <w:szCs w:val="21"/>
                    </w:rPr>
                    <w:t>设备、器材</w:t>
                  </w:r>
                </w:p>
              </w:tc>
              <w:tc>
                <w:tcPr>
                  <w:tcW w:w="3822" w:type="pct"/>
                  <w:tcBorders>
                    <w:tl2br w:val="nil"/>
                    <w:tr2bl w:val="nil"/>
                  </w:tcBorders>
                  <w:vAlign w:val="center"/>
                </w:tcPr>
                <w:p w14:paraId="35AE245A">
                  <w:pPr>
                    <w:pStyle w:val="2"/>
                    <w:spacing w:before="0" w:after="0" w:line="240" w:lineRule="atLeast"/>
                    <w:rPr>
                      <w:color w:val="auto"/>
                      <w:sz w:val="21"/>
                      <w:szCs w:val="21"/>
                    </w:rPr>
                  </w:pPr>
                  <w:r>
                    <w:rPr>
                      <w:color w:val="auto"/>
                      <w:sz w:val="21"/>
                      <w:szCs w:val="21"/>
                    </w:rPr>
                    <w:t>危险目标周围可利用的安全、消防、个体防护的设备、器材及其分布。</w:t>
                  </w:r>
                </w:p>
              </w:tc>
            </w:tr>
            <w:tr w14:paraId="2E9E1E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386" w:type="pct"/>
                  <w:tcBorders>
                    <w:tl2br w:val="nil"/>
                    <w:tr2bl w:val="nil"/>
                  </w:tcBorders>
                  <w:vAlign w:val="center"/>
                </w:tcPr>
                <w:p w14:paraId="68AF3720">
                  <w:pPr>
                    <w:pStyle w:val="2"/>
                    <w:spacing w:before="0" w:after="0" w:line="240" w:lineRule="atLeast"/>
                    <w:rPr>
                      <w:color w:val="auto"/>
                      <w:sz w:val="21"/>
                      <w:szCs w:val="21"/>
                    </w:rPr>
                  </w:pPr>
                  <w:r>
                    <w:rPr>
                      <w:color w:val="auto"/>
                      <w:sz w:val="21"/>
                      <w:szCs w:val="21"/>
                    </w:rPr>
                    <w:t>4</w:t>
                  </w:r>
                </w:p>
              </w:tc>
              <w:tc>
                <w:tcPr>
                  <w:tcW w:w="791" w:type="pct"/>
                  <w:tcBorders>
                    <w:tl2br w:val="nil"/>
                    <w:tr2bl w:val="nil"/>
                  </w:tcBorders>
                  <w:vAlign w:val="center"/>
                </w:tcPr>
                <w:p w14:paraId="30DE36CE">
                  <w:pPr>
                    <w:pStyle w:val="2"/>
                    <w:spacing w:before="0" w:after="0" w:line="240" w:lineRule="atLeast"/>
                    <w:rPr>
                      <w:color w:val="auto"/>
                      <w:sz w:val="21"/>
                      <w:szCs w:val="21"/>
                    </w:rPr>
                  </w:pPr>
                  <w:r>
                    <w:rPr>
                      <w:color w:val="auto"/>
                      <w:sz w:val="21"/>
                      <w:szCs w:val="21"/>
                    </w:rPr>
                    <w:t>组织机构、组成人员和职责划分</w:t>
                  </w:r>
                </w:p>
              </w:tc>
              <w:tc>
                <w:tcPr>
                  <w:tcW w:w="3822" w:type="pct"/>
                  <w:tcBorders>
                    <w:tl2br w:val="nil"/>
                    <w:tr2bl w:val="nil"/>
                  </w:tcBorders>
                  <w:vAlign w:val="center"/>
                </w:tcPr>
                <w:p w14:paraId="67ACBE10">
                  <w:pPr>
                    <w:pStyle w:val="2"/>
                    <w:spacing w:before="0" w:after="0" w:line="240" w:lineRule="atLeast"/>
                    <w:rPr>
                      <w:color w:val="auto"/>
                      <w:sz w:val="21"/>
                      <w:szCs w:val="21"/>
                    </w:rPr>
                  </w:pPr>
                  <w:r>
                    <w:rPr>
                      <w:color w:val="auto"/>
                      <w:sz w:val="21"/>
                      <w:szCs w:val="21"/>
                    </w:rPr>
                    <w:t>依据危险品事故危害程度的级别，设置分级应急救援组织机构。</w:t>
                  </w:r>
                </w:p>
                <w:p w14:paraId="5ABB6A0A">
                  <w:pPr>
                    <w:pStyle w:val="2"/>
                    <w:spacing w:before="0" w:after="0" w:line="240" w:lineRule="atLeast"/>
                    <w:rPr>
                      <w:color w:val="auto"/>
                      <w:sz w:val="21"/>
                      <w:szCs w:val="21"/>
                    </w:rPr>
                  </w:pPr>
                  <w:r>
                    <w:rPr>
                      <w:color w:val="auto"/>
                      <w:sz w:val="21"/>
                      <w:szCs w:val="21"/>
                    </w:rPr>
                    <w:t>组成人员和主要职责，确定负责人、资源配置、应急队伍的调动。</w:t>
                  </w:r>
                </w:p>
                <w:p w14:paraId="6540028A">
                  <w:pPr>
                    <w:pStyle w:val="2"/>
                    <w:spacing w:before="0" w:after="0" w:line="240" w:lineRule="atLeast"/>
                    <w:rPr>
                      <w:color w:val="auto"/>
                      <w:sz w:val="21"/>
                      <w:szCs w:val="21"/>
                    </w:rPr>
                  </w:pPr>
                  <w:r>
                    <w:rPr>
                      <w:color w:val="auto"/>
                      <w:sz w:val="21"/>
                      <w:szCs w:val="21"/>
                    </w:rPr>
                    <w:t>组织制定危险化学品事故应急救援预案。</w:t>
                  </w:r>
                </w:p>
                <w:p w14:paraId="1C110A1F">
                  <w:pPr>
                    <w:pStyle w:val="2"/>
                    <w:spacing w:before="0" w:after="0" w:line="240" w:lineRule="atLeast"/>
                    <w:rPr>
                      <w:color w:val="auto"/>
                      <w:sz w:val="21"/>
                      <w:szCs w:val="21"/>
                    </w:rPr>
                  </w:pPr>
                  <w:r>
                    <w:rPr>
                      <w:color w:val="auto"/>
                      <w:sz w:val="21"/>
                      <w:szCs w:val="21"/>
                    </w:rPr>
                    <w:t>确定事故现场协调方案，预案启动与终止的批准，事故信息的上报，保护事故现场及相关数据采集，接受政府的指令和调动。</w:t>
                  </w:r>
                </w:p>
              </w:tc>
            </w:tr>
            <w:tr w14:paraId="2BC3C9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86" w:type="pct"/>
                  <w:tcBorders>
                    <w:tl2br w:val="nil"/>
                    <w:tr2bl w:val="nil"/>
                  </w:tcBorders>
                  <w:vAlign w:val="center"/>
                </w:tcPr>
                <w:p w14:paraId="6ADFDC51">
                  <w:pPr>
                    <w:pStyle w:val="2"/>
                    <w:spacing w:before="0" w:after="0" w:line="240" w:lineRule="atLeast"/>
                    <w:rPr>
                      <w:color w:val="auto"/>
                      <w:sz w:val="21"/>
                      <w:szCs w:val="21"/>
                    </w:rPr>
                  </w:pPr>
                  <w:r>
                    <w:rPr>
                      <w:color w:val="auto"/>
                      <w:sz w:val="21"/>
                      <w:szCs w:val="21"/>
                    </w:rPr>
                    <w:t>5</w:t>
                  </w:r>
                </w:p>
              </w:tc>
              <w:tc>
                <w:tcPr>
                  <w:tcW w:w="791" w:type="pct"/>
                  <w:tcBorders>
                    <w:tl2br w:val="nil"/>
                    <w:tr2bl w:val="nil"/>
                  </w:tcBorders>
                  <w:vAlign w:val="center"/>
                </w:tcPr>
                <w:p w14:paraId="32960C14">
                  <w:pPr>
                    <w:pStyle w:val="2"/>
                    <w:spacing w:before="0" w:after="0" w:line="240" w:lineRule="atLeast"/>
                    <w:rPr>
                      <w:color w:val="auto"/>
                      <w:sz w:val="21"/>
                      <w:szCs w:val="21"/>
                    </w:rPr>
                  </w:pPr>
                  <w:r>
                    <w:rPr>
                      <w:color w:val="auto"/>
                      <w:sz w:val="21"/>
                      <w:szCs w:val="21"/>
                    </w:rPr>
                    <w:t>报警、通讯联络方式</w:t>
                  </w:r>
                </w:p>
              </w:tc>
              <w:tc>
                <w:tcPr>
                  <w:tcW w:w="3822" w:type="pct"/>
                  <w:tcBorders>
                    <w:tl2br w:val="nil"/>
                    <w:tr2bl w:val="nil"/>
                  </w:tcBorders>
                  <w:vAlign w:val="center"/>
                </w:tcPr>
                <w:p w14:paraId="5C732D2B">
                  <w:pPr>
                    <w:pStyle w:val="2"/>
                    <w:spacing w:before="0" w:after="0" w:line="240" w:lineRule="atLeast"/>
                    <w:rPr>
                      <w:color w:val="auto"/>
                      <w:sz w:val="21"/>
                      <w:szCs w:val="21"/>
                    </w:rPr>
                  </w:pPr>
                  <w:r>
                    <w:rPr>
                      <w:color w:val="auto"/>
                      <w:sz w:val="21"/>
                      <w:szCs w:val="21"/>
                    </w:rPr>
                    <w:t>设置 24 小时有效报警装置，确定内外部通讯联络手段，包括运输危险品驾驶员、押运员报警及与单位、生产厂、托运方联系的方式方法。</w:t>
                  </w:r>
                </w:p>
              </w:tc>
            </w:tr>
            <w:tr w14:paraId="7D3203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86" w:type="pct"/>
                  <w:tcBorders>
                    <w:tl2br w:val="nil"/>
                    <w:tr2bl w:val="nil"/>
                  </w:tcBorders>
                  <w:vAlign w:val="center"/>
                </w:tcPr>
                <w:p w14:paraId="29962CBE">
                  <w:pPr>
                    <w:pStyle w:val="2"/>
                    <w:spacing w:before="0" w:after="0" w:line="240" w:lineRule="atLeast"/>
                    <w:rPr>
                      <w:color w:val="auto"/>
                      <w:sz w:val="21"/>
                      <w:szCs w:val="21"/>
                    </w:rPr>
                  </w:pPr>
                  <w:r>
                    <w:rPr>
                      <w:color w:val="auto"/>
                      <w:sz w:val="21"/>
                      <w:szCs w:val="21"/>
                    </w:rPr>
                    <w:t>6</w:t>
                  </w:r>
                </w:p>
              </w:tc>
              <w:tc>
                <w:tcPr>
                  <w:tcW w:w="791" w:type="pct"/>
                  <w:tcBorders>
                    <w:tl2br w:val="nil"/>
                    <w:tr2bl w:val="nil"/>
                  </w:tcBorders>
                  <w:vAlign w:val="center"/>
                </w:tcPr>
                <w:p w14:paraId="5E093C78">
                  <w:pPr>
                    <w:pStyle w:val="2"/>
                    <w:spacing w:before="0" w:after="0" w:line="240" w:lineRule="atLeast"/>
                    <w:rPr>
                      <w:color w:val="auto"/>
                      <w:sz w:val="21"/>
                      <w:szCs w:val="21"/>
                    </w:rPr>
                  </w:pPr>
                  <w:r>
                    <w:rPr>
                      <w:color w:val="auto"/>
                      <w:sz w:val="21"/>
                      <w:szCs w:val="21"/>
                    </w:rPr>
                    <w:t>处理措施</w:t>
                  </w:r>
                </w:p>
              </w:tc>
              <w:tc>
                <w:tcPr>
                  <w:tcW w:w="3822" w:type="pct"/>
                  <w:tcBorders>
                    <w:tl2br w:val="nil"/>
                    <w:tr2bl w:val="nil"/>
                  </w:tcBorders>
                  <w:vAlign w:val="center"/>
                </w:tcPr>
                <w:p w14:paraId="15B10404">
                  <w:pPr>
                    <w:pStyle w:val="2"/>
                    <w:spacing w:before="0" w:after="0" w:line="240" w:lineRule="atLeast"/>
                    <w:rPr>
                      <w:color w:val="auto"/>
                      <w:sz w:val="21"/>
                      <w:szCs w:val="21"/>
                    </w:rPr>
                  </w:pPr>
                  <w:r>
                    <w:rPr>
                      <w:color w:val="auto"/>
                      <w:sz w:val="21"/>
                      <w:szCs w:val="21"/>
                    </w:rPr>
                    <w:t>根据工艺、操作规程技术要求，确定采取的紧急处理措施。</w:t>
                  </w:r>
                </w:p>
                <w:p w14:paraId="001BBA81">
                  <w:pPr>
                    <w:pStyle w:val="2"/>
                    <w:spacing w:before="0" w:after="0" w:line="240" w:lineRule="atLeast"/>
                    <w:rPr>
                      <w:color w:val="auto"/>
                      <w:sz w:val="21"/>
                      <w:szCs w:val="21"/>
                    </w:rPr>
                  </w:pPr>
                  <w:r>
                    <w:rPr>
                      <w:color w:val="auto"/>
                      <w:sz w:val="21"/>
                      <w:szCs w:val="21"/>
                    </w:rPr>
                    <w:t>根据安全运输、本单位、相关厂家、托运方信息采取的应急措施。</w:t>
                  </w:r>
                </w:p>
              </w:tc>
            </w:tr>
            <w:tr w14:paraId="11FFB4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86" w:type="pct"/>
                  <w:tcBorders>
                    <w:tl2br w:val="nil"/>
                    <w:tr2bl w:val="nil"/>
                  </w:tcBorders>
                  <w:vAlign w:val="center"/>
                </w:tcPr>
                <w:p w14:paraId="03C7B774">
                  <w:pPr>
                    <w:pStyle w:val="2"/>
                    <w:spacing w:before="0" w:after="0" w:line="240" w:lineRule="atLeast"/>
                    <w:rPr>
                      <w:color w:val="auto"/>
                      <w:sz w:val="21"/>
                      <w:szCs w:val="21"/>
                    </w:rPr>
                  </w:pPr>
                  <w:r>
                    <w:rPr>
                      <w:color w:val="auto"/>
                      <w:sz w:val="21"/>
                      <w:szCs w:val="21"/>
                    </w:rPr>
                    <w:t>7</w:t>
                  </w:r>
                </w:p>
              </w:tc>
              <w:tc>
                <w:tcPr>
                  <w:tcW w:w="791" w:type="pct"/>
                  <w:tcBorders>
                    <w:tl2br w:val="nil"/>
                    <w:tr2bl w:val="nil"/>
                  </w:tcBorders>
                  <w:vAlign w:val="center"/>
                </w:tcPr>
                <w:p w14:paraId="718AF327">
                  <w:pPr>
                    <w:pStyle w:val="2"/>
                    <w:spacing w:before="0" w:after="0" w:line="240" w:lineRule="atLeast"/>
                    <w:rPr>
                      <w:color w:val="auto"/>
                      <w:sz w:val="21"/>
                      <w:szCs w:val="21"/>
                    </w:rPr>
                  </w:pPr>
                  <w:r>
                    <w:rPr>
                      <w:color w:val="auto"/>
                      <w:sz w:val="21"/>
                      <w:szCs w:val="21"/>
                    </w:rPr>
                    <w:t>人员紧急疏散、撤离</w:t>
                  </w:r>
                </w:p>
              </w:tc>
              <w:tc>
                <w:tcPr>
                  <w:tcW w:w="3822" w:type="pct"/>
                  <w:tcBorders>
                    <w:tl2br w:val="nil"/>
                    <w:tr2bl w:val="nil"/>
                  </w:tcBorders>
                  <w:vAlign w:val="center"/>
                </w:tcPr>
                <w:p w14:paraId="16D453E1">
                  <w:pPr>
                    <w:pStyle w:val="2"/>
                    <w:spacing w:before="0" w:after="0" w:line="240" w:lineRule="atLeast"/>
                    <w:rPr>
                      <w:color w:val="auto"/>
                      <w:sz w:val="21"/>
                      <w:szCs w:val="21"/>
                    </w:rPr>
                  </w:pPr>
                  <w:r>
                    <w:rPr>
                      <w:color w:val="auto"/>
                      <w:sz w:val="21"/>
                      <w:szCs w:val="21"/>
                    </w:rPr>
                    <w:t>事故现场人员清点与撤离、非事故现场人员紧急疏散、周边区域单位和社会人员疏散的方式方法。抢救人员在撤离前、撤离后的报告。</w:t>
                  </w:r>
                </w:p>
              </w:tc>
            </w:tr>
            <w:tr w14:paraId="79284A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86" w:type="pct"/>
                  <w:tcBorders>
                    <w:tl2br w:val="nil"/>
                    <w:tr2bl w:val="nil"/>
                  </w:tcBorders>
                  <w:vAlign w:val="center"/>
                </w:tcPr>
                <w:p w14:paraId="5DE773D4">
                  <w:pPr>
                    <w:pStyle w:val="2"/>
                    <w:spacing w:before="0" w:after="0" w:line="240" w:lineRule="atLeast"/>
                    <w:rPr>
                      <w:color w:val="auto"/>
                      <w:sz w:val="21"/>
                      <w:szCs w:val="21"/>
                    </w:rPr>
                  </w:pPr>
                  <w:r>
                    <w:rPr>
                      <w:color w:val="auto"/>
                      <w:sz w:val="21"/>
                      <w:szCs w:val="21"/>
                    </w:rPr>
                    <w:t>8</w:t>
                  </w:r>
                </w:p>
              </w:tc>
              <w:tc>
                <w:tcPr>
                  <w:tcW w:w="791" w:type="pct"/>
                  <w:tcBorders>
                    <w:tl2br w:val="nil"/>
                    <w:tr2bl w:val="nil"/>
                  </w:tcBorders>
                  <w:vAlign w:val="center"/>
                </w:tcPr>
                <w:p w14:paraId="36E12154">
                  <w:pPr>
                    <w:pStyle w:val="2"/>
                    <w:spacing w:before="0" w:after="0" w:line="240" w:lineRule="atLeast"/>
                    <w:rPr>
                      <w:color w:val="auto"/>
                      <w:sz w:val="21"/>
                      <w:szCs w:val="21"/>
                    </w:rPr>
                  </w:pPr>
                  <w:r>
                    <w:rPr>
                      <w:color w:val="auto"/>
                      <w:sz w:val="21"/>
                      <w:szCs w:val="21"/>
                    </w:rPr>
                    <w:t>危险区的隔离</w:t>
                  </w:r>
                </w:p>
              </w:tc>
              <w:tc>
                <w:tcPr>
                  <w:tcW w:w="3822" w:type="pct"/>
                  <w:tcBorders>
                    <w:tl2br w:val="nil"/>
                    <w:tr2bl w:val="nil"/>
                  </w:tcBorders>
                  <w:vAlign w:val="center"/>
                </w:tcPr>
                <w:p w14:paraId="756FE3F6">
                  <w:pPr>
                    <w:pStyle w:val="2"/>
                    <w:spacing w:before="0" w:after="0" w:line="240" w:lineRule="atLeast"/>
                    <w:rPr>
                      <w:color w:val="auto"/>
                      <w:sz w:val="21"/>
                      <w:szCs w:val="21"/>
                    </w:rPr>
                  </w:pPr>
                  <w:r>
                    <w:rPr>
                      <w:color w:val="auto"/>
                      <w:sz w:val="21"/>
                      <w:szCs w:val="21"/>
                    </w:rPr>
                    <w:t>设定危险区、事故现场隔离区的划定方式方法和事故现场隔离方法，事故现场周边区域的道路隔离或交通疏导办法。</w:t>
                  </w:r>
                </w:p>
              </w:tc>
            </w:tr>
            <w:tr w14:paraId="0F795A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86" w:type="pct"/>
                  <w:tcBorders>
                    <w:tl2br w:val="nil"/>
                    <w:tr2bl w:val="nil"/>
                  </w:tcBorders>
                  <w:vAlign w:val="center"/>
                </w:tcPr>
                <w:p w14:paraId="70621B70">
                  <w:pPr>
                    <w:pStyle w:val="2"/>
                    <w:spacing w:before="0" w:after="0" w:line="240" w:lineRule="atLeast"/>
                    <w:rPr>
                      <w:color w:val="auto"/>
                      <w:sz w:val="21"/>
                      <w:szCs w:val="21"/>
                    </w:rPr>
                  </w:pPr>
                  <w:r>
                    <w:rPr>
                      <w:color w:val="auto"/>
                      <w:sz w:val="21"/>
                      <w:szCs w:val="21"/>
                    </w:rPr>
                    <w:t>9</w:t>
                  </w:r>
                </w:p>
              </w:tc>
              <w:tc>
                <w:tcPr>
                  <w:tcW w:w="791" w:type="pct"/>
                  <w:tcBorders>
                    <w:tl2br w:val="nil"/>
                    <w:tr2bl w:val="nil"/>
                  </w:tcBorders>
                  <w:vAlign w:val="center"/>
                </w:tcPr>
                <w:p w14:paraId="650F8F7A">
                  <w:pPr>
                    <w:pStyle w:val="2"/>
                    <w:spacing w:before="0" w:after="0" w:line="240" w:lineRule="atLeast"/>
                    <w:rPr>
                      <w:color w:val="auto"/>
                      <w:sz w:val="21"/>
                      <w:szCs w:val="21"/>
                    </w:rPr>
                  </w:pPr>
                  <w:r>
                    <w:rPr>
                      <w:color w:val="auto"/>
                      <w:sz w:val="21"/>
                      <w:szCs w:val="21"/>
                    </w:rPr>
                    <w:t>监测、抢修、救援及控制措施</w:t>
                  </w:r>
                </w:p>
              </w:tc>
              <w:tc>
                <w:tcPr>
                  <w:tcW w:w="3822" w:type="pct"/>
                  <w:tcBorders>
                    <w:tl2br w:val="nil"/>
                    <w:tr2bl w:val="nil"/>
                  </w:tcBorders>
                  <w:vAlign w:val="center"/>
                </w:tcPr>
                <w:p w14:paraId="7AC4E6DA">
                  <w:pPr>
                    <w:pStyle w:val="2"/>
                    <w:spacing w:before="0" w:after="0" w:line="240" w:lineRule="atLeast"/>
                    <w:rPr>
                      <w:color w:val="auto"/>
                      <w:sz w:val="21"/>
                      <w:szCs w:val="21"/>
                    </w:rPr>
                  </w:pPr>
                  <w:r>
                    <w:rPr>
                      <w:color w:val="auto"/>
                      <w:sz w:val="21"/>
                      <w:szCs w:val="21"/>
                    </w:rPr>
                    <w:t>制定事故快速环境监测方法及监测人员防护监护措施。</w:t>
                  </w:r>
                </w:p>
                <w:p w14:paraId="238F31B6">
                  <w:pPr>
                    <w:pStyle w:val="2"/>
                    <w:spacing w:before="0" w:after="0" w:line="240" w:lineRule="atLeast"/>
                    <w:rPr>
                      <w:color w:val="auto"/>
                      <w:sz w:val="21"/>
                      <w:szCs w:val="21"/>
                    </w:rPr>
                  </w:pPr>
                  <w:r>
                    <w:rPr>
                      <w:color w:val="auto"/>
                      <w:sz w:val="21"/>
                      <w:szCs w:val="21"/>
                    </w:rPr>
                    <w:t>抢险救援方式方法及人员的防护监护措施。</w:t>
                  </w:r>
                </w:p>
                <w:p w14:paraId="0E1A5E95">
                  <w:pPr>
                    <w:pStyle w:val="2"/>
                    <w:spacing w:before="0" w:after="0" w:line="240" w:lineRule="atLeast"/>
                    <w:rPr>
                      <w:color w:val="auto"/>
                      <w:sz w:val="21"/>
                      <w:szCs w:val="21"/>
                    </w:rPr>
                  </w:pPr>
                  <w:r>
                    <w:rPr>
                      <w:color w:val="auto"/>
                      <w:sz w:val="21"/>
                      <w:szCs w:val="21"/>
                    </w:rPr>
                    <w:t>现场实时监测及异常情况下抢险人员的撤离条件和方法。</w:t>
                  </w:r>
                </w:p>
                <w:p w14:paraId="41E00E12">
                  <w:pPr>
                    <w:pStyle w:val="2"/>
                    <w:spacing w:before="0" w:after="0" w:line="240" w:lineRule="atLeast"/>
                    <w:rPr>
                      <w:color w:val="auto"/>
                      <w:sz w:val="21"/>
                      <w:szCs w:val="21"/>
                    </w:rPr>
                  </w:pPr>
                  <w:r>
                    <w:rPr>
                      <w:color w:val="auto"/>
                      <w:sz w:val="21"/>
                      <w:szCs w:val="21"/>
                    </w:rPr>
                    <w:t>控制事故扩大的措施和事故可能扩大后的应急措施。</w:t>
                  </w:r>
                </w:p>
              </w:tc>
            </w:tr>
            <w:tr w14:paraId="3AEB53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386" w:type="pct"/>
                  <w:tcBorders>
                    <w:tl2br w:val="nil"/>
                    <w:tr2bl w:val="nil"/>
                  </w:tcBorders>
                  <w:vAlign w:val="center"/>
                </w:tcPr>
                <w:p w14:paraId="43E7ED5C">
                  <w:pPr>
                    <w:pStyle w:val="2"/>
                    <w:spacing w:before="0" w:after="0" w:line="240" w:lineRule="atLeast"/>
                    <w:rPr>
                      <w:color w:val="auto"/>
                      <w:sz w:val="21"/>
                      <w:szCs w:val="21"/>
                    </w:rPr>
                  </w:pPr>
                  <w:r>
                    <w:rPr>
                      <w:color w:val="auto"/>
                      <w:sz w:val="21"/>
                      <w:szCs w:val="21"/>
                    </w:rPr>
                    <w:t>10</w:t>
                  </w:r>
                </w:p>
              </w:tc>
              <w:tc>
                <w:tcPr>
                  <w:tcW w:w="791" w:type="pct"/>
                  <w:tcBorders>
                    <w:tl2br w:val="nil"/>
                    <w:tr2bl w:val="nil"/>
                  </w:tcBorders>
                  <w:vAlign w:val="center"/>
                </w:tcPr>
                <w:p w14:paraId="67DBAA23">
                  <w:pPr>
                    <w:pStyle w:val="2"/>
                    <w:spacing w:before="0" w:after="0" w:line="240" w:lineRule="atLeast"/>
                    <w:rPr>
                      <w:color w:val="auto"/>
                      <w:sz w:val="21"/>
                      <w:szCs w:val="21"/>
                    </w:rPr>
                  </w:pPr>
                  <w:r>
                    <w:rPr>
                      <w:color w:val="auto"/>
                      <w:sz w:val="21"/>
                      <w:szCs w:val="21"/>
                    </w:rPr>
                    <w:t>受伤人员现场救护、救治及医院救治</w:t>
                  </w:r>
                </w:p>
              </w:tc>
              <w:tc>
                <w:tcPr>
                  <w:tcW w:w="3822" w:type="pct"/>
                  <w:tcBorders>
                    <w:tl2br w:val="nil"/>
                    <w:tr2bl w:val="nil"/>
                  </w:tcBorders>
                  <w:vAlign w:val="center"/>
                </w:tcPr>
                <w:p w14:paraId="5B8EBE15">
                  <w:pPr>
                    <w:pStyle w:val="2"/>
                    <w:spacing w:before="0" w:after="0" w:line="240" w:lineRule="atLeast"/>
                    <w:rPr>
                      <w:color w:val="auto"/>
                      <w:sz w:val="21"/>
                      <w:szCs w:val="21"/>
                    </w:rPr>
                  </w:pPr>
                  <w:r>
                    <w:rPr>
                      <w:color w:val="auto"/>
                      <w:sz w:val="21"/>
                      <w:szCs w:val="21"/>
                    </w:rPr>
                    <w:t>接触人群检伤分类方案及执行人员；进行分类现场紧急抢救方案。</w:t>
                  </w:r>
                </w:p>
                <w:p w14:paraId="745DDDE1">
                  <w:pPr>
                    <w:pStyle w:val="2"/>
                    <w:spacing w:before="0" w:after="0" w:line="240" w:lineRule="atLeast"/>
                    <w:rPr>
                      <w:color w:val="auto"/>
                      <w:sz w:val="21"/>
                      <w:szCs w:val="21"/>
                    </w:rPr>
                  </w:pPr>
                  <w:r>
                    <w:rPr>
                      <w:color w:val="auto"/>
                      <w:sz w:val="21"/>
                      <w:szCs w:val="21"/>
                    </w:rPr>
                    <w:t>接触者医学观察方案；转运及转运中的救治方案；患者治疗方案。</w:t>
                  </w:r>
                </w:p>
                <w:p w14:paraId="002A2A4F">
                  <w:pPr>
                    <w:pStyle w:val="2"/>
                    <w:spacing w:before="0" w:after="0" w:line="240" w:lineRule="atLeast"/>
                    <w:rPr>
                      <w:color w:val="auto"/>
                      <w:sz w:val="21"/>
                      <w:szCs w:val="21"/>
                    </w:rPr>
                  </w:pPr>
                  <w:r>
                    <w:rPr>
                      <w:color w:val="auto"/>
                      <w:sz w:val="21"/>
                      <w:szCs w:val="21"/>
                    </w:rPr>
                    <w:t>入院前和医疗救治机构确定及处置方案。</w:t>
                  </w:r>
                </w:p>
                <w:p w14:paraId="2C114B79">
                  <w:pPr>
                    <w:pStyle w:val="2"/>
                    <w:spacing w:before="0" w:after="0" w:line="240" w:lineRule="atLeast"/>
                    <w:rPr>
                      <w:color w:val="auto"/>
                      <w:sz w:val="21"/>
                      <w:szCs w:val="21"/>
                    </w:rPr>
                  </w:pPr>
                  <w:r>
                    <w:rPr>
                      <w:color w:val="auto"/>
                      <w:sz w:val="21"/>
                      <w:szCs w:val="21"/>
                    </w:rPr>
                    <w:t>信息、药物、器材的储备。</w:t>
                  </w:r>
                </w:p>
              </w:tc>
            </w:tr>
            <w:tr w14:paraId="1E7B9C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86" w:type="pct"/>
                  <w:tcBorders>
                    <w:tl2br w:val="nil"/>
                    <w:tr2bl w:val="nil"/>
                  </w:tcBorders>
                  <w:vAlign w:val="center"/>
                </w:tcPr>
                <w:p w14:paraId="0CEC1624">
                  <w:pPr>
                    <w:pStyle w:val="2"/>
                    <w:spacing w:before="0" w:after="0" w:line="240" w:lineRule="atLeast"/>
                    <w:rPr>
                      <w:color w:val="auto"/>
                      <w:sz w:val="21"/>
                      <w:szCs w:val="21"/>
                    </w:rPr>
                  </w:pPr>
                  <w:r>
                    <w:rPr>
                      <w:color w:val="auto"/>
                      <w:sz w:val="21"/>
                      <w:szCs w:val="21"/>
                    </w:rPr>
                    <w:t>11</w:t>
                  </w:r>
                </w:p>
              </w:tc>
              <w:tc>
                <w:tcPr>
                  <w:tcW w:w="791" w:type="pct"/>
                  <w:tcBorders>
                    <w:tl2br w:val="nil"/>
                    <w:tr2bl w:val="nil"/>
                  </w:tcBorders>
                  <w:vAlign w:val="center"/>
                </w:tcPr>
                <w:p w14:paraId="4658BF0B">
                  <w:pPr>
                    <w:pStyle w:val="2"/>
                    <w:spacing w:before="0" w:after="0" w:line="240" w:lineRule="atLeast"/>
                    <w:rPr>
                      <w:color w:val="auto"/>
                      <w:sz w:val="21"/>
                      <w:szCs w:val="21"/>
                    </w:rPr>
                  </w:pPr>
                  <w:r>
                    <w:rPr>
                      <w:color w:val="auto"/>
                      <w:sz w:val="21"/>
                      <w:szCs w:val="21"/>
                    </w:rPr>
                    <w:t>现场保护与现场洗消</w:t>
                  </w:r>
                </w:p>
              </w:tc>
              <w:tc>
                <w:tcPr>
                  <w:tcW w:w="3822" w:type="pct"/>
                  <w:tcBorders>
                    <w:tl2br w:val="nil"/>
                    <w:tr2bl w:val="nil"/>
                  </w:tcBorders>
                  <w:vAlign w:val="center"/>
                </w:tcPr>
                <w:p w14:paraId="3322DAFE">
                  <w:pPr>
                    <w:pStyle w:val="2"/>
                    <w:spacing w:before="0" w:after="0" w:line="240" w:lineRule="atLeast"/>
                    <w:rPr>
                      <w:color w:val="auto"/>
                      <w:sz w:val="21"/>
                      <w:szCs w:val="21"/>
                    </w:rPr>
                  </w:pPr>
                  <w:r>
                    <w:rPr>
                      <w:color w:val="auto"/>
                      <w:sz w:val="21"/>
                      <w:szCs w:val="21"/>
                    </w:rPr>
                    <w:t>事故现场的保护措施。</w:t>
                  </w:r>
                </w:p>
                <w:p w14:paraId="0CC59E6D">
                  <w:pPr>
                    <w:pStyle w:val="2"/>
                    <w:spacing w:before="0" w:after="0" w:line="240" w:lineRule="atLeast"/>
                    <w:rPr>
                      <w:color w:val="auto"/>
                      <w:sz w:val="21"/>
                      <w:szCs w:val="21"/>
                    </w:rPr>
                  </w:pPr>
                  <w:r>
                    <w:rPr>
                      <w:color w:val="auto"/>
                      <w:sz w:val="21"/>
                      <w:szCs w:val="21"/>
                    </w:rPr>
                    <w:t>明确事故现场洗消工作的负责人和专业队伍。</w:t>
                  </w:r>
                </w:p>
              </w:tc>
            </w:tr>
            <w:tr w14:paraId="5E5761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86" w:type="pct"/>
                  <w:tcBorders>
                    <w:tl2br w:val="nil"/>
                    <w:tr2bl w:val="nil"/>
                  </w:tcBorders>
                  <w:vAlign w:val="center"/>
                </w:tcPr>
                <w:p w14:paraId="2A9AD987">
                  <w:pPr>
                    <w:pStyle w:val="2"/>
                    <w:spacing w:before="0" w:after="0" w:line="240" w:lineRule="atLeast"/>
                    <w:rPr>
                      <w:color w:val="auto"/>
                      <w:sz w:val="21"/>
                      <w:szCs w:val="21"/>
                    </w:rPr>
                  </w:pPr>
                  <w:r>
                    <w:rPr>
                      <w:color w:val="auto"/>
                      <w:sz w:val="21"/>
                      <w:szCs w:val="21"/>
                    </w:rPr>
                    <w:t>12</w:t>
                  </w:r>
                </w:p>
              </w:tc>
              <w:tc>
                <w:tcPr>
                  <w:tcW w:w="791" w:type="pct"/>
                  <w:tcBorders>
                    <w:tl2br w:val="nil"/>
                    <w:tr2bl w:val="nil"/>
                  </w:tcBorders>
                  <w:vAlign w:val="center"/>
                </w:tcPr>
                <w:p w14:paraId="7A81E904">
                  <w:pPr>
                    <w:pStyle w:val="2"/>
                    <w:spacing w:before="0" w:after="0" w:line="240" w:lineRule="atLeast"/>
                    <w:rPr>
                      <w:color w:val="auto"/>
                      <w:sz w:val="21"/>
                      <w:szCs w:val="21"/>
                    </w:rPr>
                  </w:pPr>
                  <w:r>
                    <w:rPr>
                      <w:color w:val="auto"/>
                      <w:sz w:val="21"/>
                      <w:szCs w:val="21"/>
                    </w:rPr>
                    <w:t>应急救援保障</w:t>
                  </w:r>
                </w:p>
              </w:tc>
              <w:tc>
                <w:tcPr>
                  <w:tcW w:w="3822" w:type="pct"/>
                  <w:tcBorders>
                    <w:tl2br w:val="nil"/>
                    <w:tr2bl w:val="nil"/>
                  </w:tcBorders>
                  <w:vAlign w:val="center"/>
                </w:tcPr>
                <w:p w14:paraId="033E30E3">
                  <w:pPr>
                    <w:pStyle w:val="2"/>
                    <w:spacing w:before="0" w:after="0" w:line="240" w:lineRule="atLeast"/>
                    <w:rPr>
                      <w:color w:val="auto"/>
                      <w:sz w:val="21"/>
                      <w:szCs w:val="21"/>
                    </w:rPr>
                  </w:pPr>
                  <w:r>
                    <w:rPr>
                      <w:color w:val="auto"/>
                      <w:sz w:val="21"/>
                      <w:szCs w:val="21"/>
                    </w:rPr>
                    <w:t>内部保障包括：a、确定应急队伍；b、消防设施配置图、工艺流程图、现场平面布置图和周围地区图、气象资料、危险品安全技术说明书、互救信息等存放地点、保管人；c、应急通信系统；d、应急电源、照明；e、应急救援装备、物资、药品等；f、危险化学品运输车辆的安全、消防设备、器材及人员防护装备；g、保障制度目录</w:t>
                  </w:r>
                </w:p>
                <w:p w14:paraId="0A5BED11">
                  <w:pPr>
                    <w:pStyle w:val="2"/>
                    <w:spacing w:before="0" w:after="0" w:line="240" w:lineRule="atLeast"/>
                    <w:rPr>
                      <w:color w:val="auto"/>
                      <w:sz w:val="21"/>
                      <w:szCs w:val="21"/>
                    </w:rPr>
                  </w:pPr>
                  <w:r>
                    <w:rPr>
                      <w:color w:val="auto"/>
                      <w:sz w:val="21"/>
                      <w:szCs w:val="21"/>
                    </w:rPr>
                    <w:t>外部救援 包括：a、单位互助的方式；b、请求政府协调应急救援力量；c、应急救援信息咨询；d、专家信息</w:t>
                  </w:r>
                </w:p>
              </w:tc>
            </w:tr>
            <w:tr w14:paraId="674923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86" w:type="pct"/>
                  <w:tcBorders>
                    <w:tl2br w:val="nil"/>
                    <w:tr2bl w:val="nil"/>
                  </w:tcBorders>
                  <w:vAlign w:val="center"/>
                </w:tcPr>
                <w:p w14:paraId="07F426F5">
                  <w:pPr>
                    <w:pStyle w:val="2"/>
                    <w:spacing w:before="0" w:after="0" w:line="240" w:lineRule="atLeast"/>
                    <w:rPr>
                      <w:color w:val="auto"/>
                      <w:sz w:val="21"/>
                      <w:szCs w:val="21"/>
                    </w:rPr>
                  </w:pPr>
                  <w:r>
                    <w:rPr>
                      <w:color w:val="auto"/>
                      <w:sz w:val="21"/>
                      <w:szCs w:val="21"/>
                    </w:rPr>
                    <w:t>13</w:t>
                  </w:r>
                </w:p>
              </w:tc>
              <w:tc>
                <w:tcPr>
                  <w:tcW w:w="791" w:type="pct"/>
                  <w:tcBorders>
                    <w:tl2br w:val="nil"/>
                    <w:tr2bl w:val="nil"/>
                  </w:tcBorders>
                  <w:vAlign w:val="center"/>
                </w:tcPr>
                <w:p w14:paraId="1E8BF369">
                  <w:pPr>
                    <w:pStyle w:val="2"/>
                    <w:spacing w:before="0" w:after="0" w:line="240" w:lineRule="atLeast"/>
                    <w:rPr>
                      <w:color w:val="auto"/>
                      <w:sz w:val="21"/>
                      <w:szCs w:val="21"/>
                    </w:rPr>
                  </w:pPr>
                  <w:r>
                    <w:rPr>
                      <w:color w:val="auto"/>
                      <w:sz w:val="21"/>
                      <w:szCs w:val="21"/>
                    </w:rPr>
                    <w:t>预案分级响应条件</w:t>
                  </w:r>
                </w:p>
              </w:tc>
              <w:tc>
                <w:tcPr>
                  <w:tcW w:w="3822" w:type="pct"/>
                  <w:tcBorders>
                    <w:tl2br w:val="nil"/>
                    <w:tr2bl w:val="nil"/>
                  </w:tcBorders>
                  <w:vAlign w:val="center"/>
                </w:tcPr>
                <w:p w14:paraId="3A96BAD7">
                  <w:pPr>
                    <w:pStyle w:val="2"/>
                    <w:spacing w:before="0" w:after="0" w:line="240" w:lineRule="atLeast"/>
                    <w:rPr>
                      <w:color w:val="auto"/>
                      <w:sz w:val="21"/>
                      <w:szCs w:val="21"/>
                    </w:rPr>
                  </w:pPr>
                  <w:r>
                    <w:rPr>
                      <w:color w:val="auto"/>
                      <w:sz w:val="21"/>
                      <w:szCs w:val="21"/>
                    </w:rPr>
                    <w:t>依据危险品事故类别、危害程度和现场评估结果，设定预案启动条件。</w:t>
                  </w:r>
                </w:p>
              </w:tc>
            </w:tr>
            <w:tr w14:paraId="52C0C9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86" w:type="pct"/>
                  <w:tcBorders>
                    <w:tl2br w:val="nil"/>
                    <w:tr2bl w:val="nil"/>
                  </w:tcBorders>
                  <w:vAlign w:val="center"/>
                </w:tcPr>
                <w:p w14:paraId="6C55B19A">
                  <w:pPr>
                    <w:pStyle w:val="2"/>
                    <w:spacing w:before="0" w:after="0" w:line="240" w:lineRule="atLeast"/>
                    <w:rPr>
                      <w:color w:val="auto"/>
                      <w:sz w:val="21"/>
                      <w:szCs w:val="21"/>
                    </w:rPr>
                  </w:pPr>
                  <w:r>
                    <w:rPr>
                      <w:color w:val="auto"/>
                      <w:sz w:val="21"/>
                      <w:szCs w:val="21"/>
                    </w:rPr>
                    <w:t>14</w:t>
                  </w:r>
                </w:p>
              </w:tc>
              <w:tc>
                <w:tcPr>
                  <w:tcW w:w="791" w:type="pct"/>
                  <w:tcBorders>
                    <w:tl2br w:val="nil"/>
                    <w:tr2bl w:val="nil"/>
                  </w:tcBorders>
                  <w:vAlign w:val="center"/>
                </w:tcPr>
                <w:p w14:paraId="71D0F606">
                  <w:pPr>
                    <w:pStyle w:val="2"/>
                    <w:spacing w:before="0" w:after="0" w:line="240" w:lineRule="atLeast"/>
                    <w:rPr>
                      <w:color w:val="auto"/>
                      <w:sz w:val="21"/>
                      <w:szCs w:val="21"/>
                    </w:rPr>
                  </w:pPr>
                  <w:r>
                    <w:rPr>
                      <w:color w:val="auto"/>
                      <w:sz w:val="21"/>
                      <w:szCs w:val="21"/>
                    </w:rPr>
                    <w:t>事故应急救援终止程序</w:t>
                  </w:r>
                </w:p>
              </w:tc>
              <w:tc>
                <w:tcPr>
                  <w:tcW w:w="3822" w:type="pct"/>
                  <w:tcBorders>
                    <w:tl2br w:val="nil"/>
                    <w:tr2bl w:val="nil"/>
                  </w:tcBorders>
                  <w:vAlign w:val="center"/>
                </w:tcPr>
                <w:p w14:paraId="4F691AB8">
                  <w:pPr>
                    <w:pStyle w:val="2"/>
                    <w:spacing w:before="0" w:after="0" w:line="240" w:lineRule="atLeast"/>
                    <w:rPr>
                      <w:color w:val="auto"/>
                      <w:sz w:val="21"/>
                      <w:szCs w:val="21"/>
                    </w:rPr>
                  </w:pPr>
                  <w:r>
                    <w:rPr>
                      <w:color w:val="auto"/>
                      <w:sz w:val="21"/>
                      <w:szCs w:val="21"/>
                    </w:rPr>
                    <w:t>确定事故应急救援工作结束。</w:t>
                  </w:r>
                </w:p>
                <w:p w14:paraId="715716E7">
                  <w:pPr>
                    <w:pStyle w:val="2"/>
                    <w:spacing w:before="0" w:after="0" w:line="240" w:lineRule="atLeast"/>
                    <w:rPr>
                      <w:color w:val="auto"/>
                      <w:sz w:val="21"/>
                      <w:szCs w:val="21"/>
                    </w:rPr>
                  </w:pPr>
                  <w:r>
                    <w:rPr>
                      <w:color w:val="auto"/>
                      <w:sz w:val="21"/>
                      <w:szCs w:val="21"/>
                    </w:rPr>
                    <w:t>通知本单位相关部门、周边社区及人员事故危险解除。</w:t>
                  </w:r>
                </w:p>
              </w:tc>
            </w:tr>
            <w:tr w14:paraId="735F06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86" w:type="pct"/>
                  <w:tcBorders>
                    <w:tl2br w:val="nil"/>
                    <w:tr2bl w:val="nil"/>
                  </w:tcBorders>
                  <w:vAlign w:val="center"/>
                </w:tcPr>
                <w:p w14:paraId="74BD9FF1">
                  <w:pPr>
                    <w:pStyle w:val="2"/>
                    <w:spacing w:before="0" w:after="0" w:line="240" w:lineRule="atLeast"/>
                    <w:rPr>
                      <w:color w:val="auto"/>
                      <w:sz w:val="21"/>
                      <w:szCs w:val="21"/>
                    </w:rPr>
                  </w:pPr>
                  <w:r>
                    <w:rPr>
                      <w:color w:val="auto"/>
                      <w:sz w:val="21"/>
                      <w:szCs w:val="21"/>
                    </w:rPr>
                    <w:t>15</w:t>
                  </w:r>
                </w:p>
              </w:tc>
              <w:tc>
                <w:tcPr>
                  <w:tcW w:w="791" w:type="pct"/>
                  <w:tcBorders>
                    <w:tl2br w:val="nil"/>
                    <w:tr2bl w:val="nil"/>
                  </w:tcBorders>
                  <w:vAlign w:val="center"/>
                </w:tcPr>
                <w:p w14:paraId="72BCFD96">
                  <w:pPr>
                    <w:pStyle w:val="2"/>
                    <w:spacing w:before="0" w:after="0" w:line="240" w:lineRule="atLeast"/>
                    <w:rPr>
                      <w:color w:val="auto"/>
                      <w:sz w:val="21"/>
                      <w:szCs w:val="21"/>
                    </w:rPr>
                  </w:pPr>
                  <w:r>
                    <w:rPr>
                      <w:color w:val="auto"/>
                      <w:sz w:val="21"/>
                      <w:szCs w:val="21"/>
                    </w:rPr>
                    <w:t>应急培训计划</w:t>
                  </w:r>
                </w:p>
              </w:tc>
              <w:tc>
                <w:tcPr>
                  <w:tcW w:w="3822" w:type="pct"/>
                  <w:tcBorders>
                    <w:tl2br w:val="nil"/>
                    <w:tr2bl w:val="nil"/>
                  </w:tcBorders>
                  <w:vAlign w:val="center"/>
                </w:tcPr>
                <w:p w14:paraId="38E692F6">
                  <w:pPr>
                    <w:pStyle w:val="2"/>
                    <w:spacing w:before="0" w:after="0" w:line="240" w:lineRule="atLeast"/>
                    <w:rPr>
                      <w:color w:val="auto"/>
                      <w:sz w:val="21"/>
                      <w:szCs w:val="21"/>
                    </w:rPr>
                  </w:pPr>
                  <w:r>
                    <w:rPr>
                      <w:color w:val="auto"/>
                      <w:sz w:val="21"/>
                      <w:szCs w:val="21"/>
                    </w:rPr>
                    <w:t>依据对从业人员能力评估和周边社区人员素质分析结果，确定培训内容。</w:t>
                  </w:r>
                </w:p>
              </w:tc>
            </w:tr>
            <w:tr w14:paraId="20B904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86" w:type="pct"/>
                  <w:tcBorders>
                    <w:tl2br w:val="nil"/>
                    <w:tr2bl w:val="nil"/>
                  </w:tcBorders>
                  <w:vAlign w:val="center"/>
                </w:tcPr>
                <w:p w14:paraId="0E6F49E9">
                  <w:pPr>
                    <w:pStyle w:val="2"/>
                    <w:spacing w:before="0" w:after="0" w:line="240" w:lineRule="atLeast"/>
                    <w:rPr>
                      <w:color w:val="auto"/>
                      <w:sz w:val="21"/>
                      <w:szCs w:val="21"/>
                    </w:rPr>
                  </w:pPr>
                  <w:r>
                    <w:rPr>
                      <w:color w:val="auto"/>
                      <w:sz w:val="21"/>
                      <w:szCs w:val="21"/>
                    </w:rPr>
                    <w:t>16</w:t>
                  </w:r>
                </w:p>
              </w:tc>
              <w:tc>
                <w:tcPr>
                  <w:tcW w:w="791" w:type="pct"/>
                  <w:tcBorders>
                    <w:tl2br w:val="nil"/>
                    <w:tr2bl w:val="nil"/>
                  </w:tcBorders>
                  <w:vAlign w:val="center"/>
                </w:tcPr>
                <w:p w14:paraId="71FB0F59">
                  <w:pPr>
                    <w:pStyle w:val="2"/>
                    <w:spacing w:before="0" w:after="0" w:line="240" w:lineRule="atLeast"/>
                    <w:rPr>
                      <w:color w:val="auto"/>
                      <w:sz w:val="21"/>
                      <w:szCs w:val="21"/>
                    </w:rPr>
                  </w:pPr>
                  <w:r>
                    <w:rPr>
                      <w:color w:val="auto"/>
                      <w:sz w:val="21"/>
                      <w:szCs w:val="21"/>
                    </w:rPr>
                    <w:t>演练计划</w:t>
                  </w:r>
                </w:p>
              </w:tc>
              <w:tc>
                <w:tcPr>
                  <w:tcW w:w="3822" w:type="pct"/>
                  <w:tcBorders>
                    <w:tl2br w:val="nil"/>
                    <w:tr2bl w:val="nil"/>
                  </w:tcBorders>
                  <w:vAlign w:val="center"/>
                </w:tcPr>
                <w:p w14:paraId="6759507D">
                  <w:pPr>
                    <w:pStyle w:val="2"/>
                    <w:spacing w:before="0" w:after="0" w:line="240" w:lineRule="atLeast"/>
                    <w:rPr>
                      <w:color w:val="auto"/>
                      <w:sz w:val="21"/>
                      <w:szCs w:val="21"/>
                    </w:rPr>
                  </w:pPr>
                  <w:r>
                    <w:rPr>
                      <w:color w:val="auto"/>
                      <w:sz w:val="21"/>
                      <w:szCs w:val="21"/>
                    </w:rPr>
                    <w:t>依据对从业人员能力评估和周边社区人员素质分析结果，确定培训内容。</w:t>
                  </w:r>
                </w:p>
              </w:tc>
            </w:tr>
            <w:tr w14:paraId="7BC211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386" w:type="pct"/>
                  <w:tcBorders>
                    <w:tl2br w:val="nil"/>
                    <w:tr2bl w:val="nil"/>
                  </w:tcBorders>
                  <w:vAlign w:val="center"/>
                </w:tcPr>
                <w:p w14:paraId="5FD565A8">
                  <w:pPr>
                    <w:pStyle w:val="2"/>
                    <w:spacing w:before="0" w:after="0" w:line="240" w:lineRule="atLeast"/>
                    <w:rPr>
                      <w:color w:val="auto"/>
                      <w:sz w:val="21"/>
                      <w:szCs w:val="21"/>
                    </w:rPr>
                  </w:pPr>
                  <w:r>
                    <w:rPr>
                      <w:color w:val="auto"/>
                      <w:sz w:val="21"/>
                      <w:szCs w:val="21"/>
                    </w:rPr>
                    <w:t>17</w:t>
                  </w:r>
                </w:p>
              </w:tc>
              <w:tc>
                <w:tcPr>
                  <w:tcW w:w="791" w:type="pct"/>
                  <w:tcBorders>
                    <w:tl2br w:val="nil"/>
                    <w:tr2bl w:val="nil"/>
                  </w:tcBorders>
                  <w:vAlign w:val="center"/>
                </w:tcPr>
                <w:p w14:paraId="3EFB35D0">
                  <w:pPr>
                    <w:pStyle w:val="2"/>
                    <w:spacing w:before="0" w:after="0" w:line="240" w:lineRule="atLeast"/>
                    <w:rPr>
                      <w:color w:val="auto"/>
                      <w:sz w:val="21"/>
                      <w:szCs w:val="21"/>
                    </w:rPr>
                  </w:pPr>
                  <w:r>
                    <w:rPr>
                      <w:color w:val="auto"/>
                      <w:sz w:val="21"/>
                      <w:szCs w:val="21"/>
                    </w:rPr>
                    <w:t>附件</w:t>
                  </w:r>
                </w:p>
              </w:tc>
              <w:tc>
                <w:tcPr>
                  <w:tcW w:w="3822" w:type="pct"/>
                  <w:tcBorders>
                    <w:tl2br w:val="nil"/>
                    <w:tr2bl w:val="nil"/>
                  </w:tcBorders>
                  <w:vAlign w:val="center"/>
                </w:tcPr>
                <w:p w14:paraId="2BABA0EC">
                  <w:pPr>
                    <w:pStyle w:val="2"/>
                    <w:spacing w:before="0" w:after="0" w:line="240" w:lineRule="atLeast"/>
                    <w:rPr>
                      <w:color w:val="auto"/>
                      <w:sz w:val="21"/>
                      <w:szCs w:val="21"/>
                    </w:rPr>
                  </w:pPr>
                  <w:r>
                    <w:rPr>
                      <w:color w:val="auto"/>
                      <w:sz w:val="21"/>
                      <w:szCs w:val="21"/>
                    </w:rPr>
                    <w:t>组织机构名单。</w:t>
                  </w:r>
                </w:p>
                <w:p w14:paraId="4E3DD465">
                  <w:pPr>
                    <w:pStyle w:val="2"/>
                    <w:spacing w:before="0" w:after="0" w:line="240" w:lineRule="atLeast"/>
                    <w:rPr>
                      <w:color w:val="auto"/>
                      <w:sz w:val="21"/>
                      <w:szCs w:val="21"/>
                    </w:rPr>
                  </w:pPr>
                  <w:r>
                    <w:rPr>
                      <w:color w:val="auto"/>
                      <w:sz w:val="21"/>
                      <w:szCs w:val="21"/>
                    </w:rPr>
                    <w:t>值班联系、组织应急救援有关人员、危险品生产单位应急咨询服务、外部救援单位、供水和供电单位、周边区域单位和社区、政府有关部门联系电话。</w:t>
                  </w:r>
                </w:p>
                <w:p w14:paraId="1D5D993D">
                  <w:pPr>
                    <w:pStyle w:val="2"/>
                    <w:spacing w:before="0" w:after="0" w:line="240" w:lineRule="atLeast"/>
                    <w:rPr>
                      <w:color w:val="auto"/>
                      <w:sz w:val="21"/>
                      <w:szCs w:val="21"/>
                    </w:rPr>
                  </w:pPr>
                  <w:r>
                    <w:rPr>
                      <w:color w:val="auto"/>
                      <w:sz w:val="21"/>
                      <w:szCs w:val="21"/>
                    </w:rPr>
                    <w:t>单位平面布置图、消防设施配置图、周边区域道路交通示意图和疏散路线、交通管制示意图、周边区域的单位、社区、重要基础设施分布图。</w:t>
                  </w:r>
                </w:p>
                <w:p w14:paraId="08A4532D">
                  <w:pPr>
                    <w:pStyle w:val="2"/>
                    <w:spacing w:before="0" w:after="0" w:line="240" w:lineRule="atLeast"/>
                    <w:rPr>
                      <w:color w:val="auto"/>
                      <w:sz w:val="21"/>
                      <w:szCs w:val="21"/>
                    </w:rPr>
                  </w:pPr>
                  <w:r>
                    <w:rPr>
                      <w:color w:val="auto"/>
                      <w:sz w:val="21"/>
                      <w:szCs w:val="21"/>
                    </w:rPr>
                    <w:t>保障制度。</w:t>
                  </w:r>
                </w:p>
              </w:tc>
            </w:tr>
          </w:tbl>
          <w:p w14:paraId="42A21451">
            <w:pPr>
              <w:spacing w:line="360" w:lineRule="auto"/>
              <w:ind w:firstLine="480" w:firstLineChars="200"/>
              <w:rPr>
                <w:color w:val="auto"/>
                <w:sz w:val="24"/>
              </w:rPr>
            </w:pPr>
            <w:r>
              <w:rPr>
                <w:color w:val="auto"/>
                <w:sz w:val="24"/>
              </w:rPr>
              <w:t>综上，在采取以上措施后，风险可控，不会造成较大影响。</w:t>
            </w:r>
          </w:p>
          <w:p w14:paraId="1DC059DC">
            <w:pPr>
              <w:adjustRightInd w:val="0"/>
              <w:snapToGrid w:val="0"/>
              <w:spacing w:line="360" w:lineRule="auto"/>
              <w:ind w:firstLine="482" w:firstLineChars="200"/>
              <w:rPr>
                <w:b/>
                <w:color w:val="auto"/>
                <w:kern w:val="0"/>
                <w:sz w:val="24"/>
              </w:rPr>
            </w:pPr>
            <w:r>
              <w:rPr>
                <w:b/>
                <w:bCs/>
                <w:color w:val="auto"/>
                <w:kern w:val="0"/>
                <w:sz w:val="24"/>
              </w:rPr>
              <w:t>7、</w:t>
            </w:r>
            <w:r>
              <w:rPr>
                <w:b/>
                <w:color w:val="auto"/>
                <w:kern w:val="0"/>
                <w:sz w:val="24"/>
              </w:rPr>
              <w:t>环境管理及环境监测</w:t>
            </w:r>
          </w:p>
          <w:p w14:paraId="0E6C2260">
            <w:pPr>
              <w:adjustRightInd w:val="0"/>
              <w:snapToGrid w:val="0"/>
              <w:spacing w:line="360" w:lineRule="auto"/>
              <w:ind w:firstLine="482" w:firstLineChars="200"/>
              <w:rPr>
                <w:b/>
                <w:color w:val="auto"/>
                <w:kern w:val="0"/>
                <w:sz w:val="24"/>
              </w:rPr>
            </w:pPr>
            <w:r>
              <w:rPr>
                <w:b/>
                <w:bCs/>
                <w:color w:val="auto"/>
                <w:kern w:val="0"/>
                <w:sz w:val="24"/>
              </w:rPr>
              <w:t>7.1</w:t>
            </w:r>
            <w:r>
              <w:rPr>
                <w:b/>
                <w:color w:val="auto"/>
                <w:kern w:val="0"/>
                <w:sz w:val="24"/>
              </w:rPr>
              <w:t>环境管理</w:t>
            </w:r>
          </w:p>
          <w:p w14:paraId="45EF737C">
            <w:pPr>
              <w:adjustRightInd w:val="0"/>
              <w:snapToGrid w:val="0"/>
              <w:spacing w:line="360" w:lineRule="auto"/>
              <w:ind w:firstLine="480" w:firstLineChars="200"/>
              <w:rPr>
                <w:color w:val="auto"/>
                <w:kern w:val="0"/>
                <w:sz w:val="24"/>
              </w:rPr>
            </w:pPr>
            <w:r>
              <w:rPr>
                <w:color w:val="auto"/>
                <w:kern w:val="0"/>
                <w:sz w:val="24"/>
              </w:rPr>
              <w:t>根据本项目的生产特点，对环境管理机构的设置建议如下：</w:t>
            </w:r>
          </w:p>
          <w:p w14:paraId="34864E91">
            <w:pPr>
              <w:adjustRightInd w:val="0"/>
              <w:snapToGrid w:val="0"/>
              <w:spacing w:line="360" w:lineRule="auto"/>
              <w:ind w:firstLine="480" w:firstLineChars="200"/>
              <w:rPr>
                <w:color w:val="auto"/>
                <w:kern w:val="0"/>
                <w:sz w:val="24"/>
              </w:rPr>
            </w:pPr>
            <w:r>
              <w:rPr>
                <w:color w:val="auto"/>
                <w:kern w:val="0"/>
                <w:sz w:val="24"/>
              </w:rPr>
              <w:t>环境管理应由副总经理主管负责，下设环境保护兼职或专职部门，并与各职能部门保持密切的联系，由兼职或专职环境保护管理人员和其他工作人员实施公司的环境管理工作，其主要职责是：</w:t>
            </w:r>
          </w:p>
          <w:p w14:paraId="1AF35102">
            <w:pPr>
              <w:adjustRightInd w:val="0"/>
              <w:snapToGrid w:val="0"/>
              <w:spacing w:line="360" w:lineRule="auto"/>
              <w:ind w:firstLine="480" w:firstLineChars="200"/>
              <w:rPr>
                <w:color w:val="auto"/>
                <w:kern w:val="0"/>
                <w:sz w:val="24"/>
              </w:rPr>
            </w:pPr>
            <w:r>
              <w:rPr>
                <w:color w:val="auto"/>
                <w:sz w:val="24"/>
              </w:rPr>
              <w:fldChar w:fldCharType="begin"/>
            </w:r>
            <w:r>
              <w:rPr>
                <w:color w:val="auto"/>
                <w:sz w:val="24"/>
              </w:rPr>
              <w:instrText xml:space="preserve"> = 1 \* GB3 </w:instrText>
            </w:r>
            <w:r>
              <w:rPr>
                <w:color w:val="auto"/>
                <w:sz w:val="24"/>
              </w:rPr>
              <w:fldChar w:fldCharType="separate"/>
            </w:r>
            <w:r>
              <w:rPr>
                <w:color w:val="auto"/>
                <w:sz w:val="24"/>
              </w:rPr>
              <w:t>①</w:t>
            </w:r>
            <w:r>
              <w:rPr>
                <w:color w:val="auto"/>
                <w:sz w:val="24"/>
              </w:rPr>
              <w:fldChar w:fldCharType="end"/>
            </w:r>
            <w:r>
              <w:rPr>
                <w:color w:val="auto"/>
                <w:kern w:val="0"/>
                <w:sz w:val="24"/>
              </w:rPr>
              <w:t>贯彻执行国家和地方的环境保护法规和标准；</w:t>
            </w:r>
          </w:p>
          <w:p w14:paraId="2C250611">
            <w:pPr>
              <w:adjustRightInd w:val="0"/>
              <w:snapToGrid w:val="0"/>
              <w:spacing w:line="360" w:lineRule="auto"/>
              <w:ind w:firstLine="480" w:firstLineChars="200"/>
              <w:rPr>
                <w:color w:val="auto"/>
                <w:spacing w:val="-6"/>
                <w:kern w:val="0"/>
                <w:sz w:val="24"/>
              </w:rPr>
            </w:pPr>
            <w:r>
              <w:rPr>
                <w:color w:val="auto"/>
                <w:sz w:val="24"/>
              </w:rPr>
              <w:fldChar w:fldCharType="begin"/>
            </w:r>
            <w:r>
              <w:rPr>
                <w:color w:val="auto"/>
                <w:sz w:val="24"/>
              </w:rPr>
              <w:instrText xml:space="preserve"> = 2 \* GB3 \* MERGEFORMAT </w:instrText>
            </w:r>
            <w:r>
              <w:rPr>
                <w:color w:val="auto"/>
                <w:sz w:val="24"/>
              </w:rPr>
              <w:fldChar w:fldCharType="separate"/>
            </w:r>
            <w:r>
              <w:rPr>
                <w:color w:val="auto"/>
                <w:sz w:val="24"/>
              </w:rPr>
              <w:t>②</w:t>
            </w:r>
            <w:r>
              <w:rPr>
                <w:color w:val="auto"/>
                <w:sz w:val="24"/>
              </w:rPr>
              <w:fldChar w:fldCharType="end"/>
            </w:r>
            <w:r>
              <w:rPr>
                <w:color w:val="auto"/>
                <w:spacing w:val="-6"/>
                <w:kern w:val="0"/>
                <w:sz w:val="24"/>
              </w:rPr>
              <w:t>接受环保主管部门的检查监督，定期上报各项环境管理工作的执行情况；</w:t>
            </w:r>
          </w:p>
          <w:p w14:paraId="4F7A4C16">
            <w:pPr>
              <w:adjustRightInd w:val="0"/>
              <w:snapToGrid w:val="0"/>
              <w:spacing w:line="360" w:lineRule="auto"/>
              <w:ind w:firstLine="480" w:firstLineChars="200"/>
              <w:rPr>
                <w:color w:val="auto"/>
                <w:kern w:val="0"/>
                <w:sz w:val="24"/>
              </w:rPr>
            </w:pPr>
            <w:r>
              <w:rPr>
                <w:color w:val="auto"/>
                <w:kern w:val="0"/>
                <w:sz w:val="24"/>
              </w:rPr>
              <w:fldChar w:fldCharType="begin"/>
            </w:r>
            <w:r>
              <w:rPr>
                <w:color w:val="auto"/>
                <w:kern w:val="0"/>
                <w:sz w:val="24"/>
              </w:rPr>
              <w:instrText xml:space="preserve"> = 3 \* GB3 \* MERGEFORMAT </w:instrText>
            </w:r>
            <w:r>
              <w:rPr>
                <w:color w:val="auto"/>
                <w:kern w:val="0"/>
                <w:sz w:val="24"/>
              </w:rPr>
              <w:fldChar w:fldCharType="separate"/>
            </w:r>
            <w:r>
              <w:rPr>
                <w:color w:val="auto"/>
                <w:sz w:val="24"/>
              </w:rPr>
              <w:t>③</w:t>
            </w:r>
            <w:r>
              <w:rPr>
                <w:color w:val="auto"/>
                <w:kern w:val="0"/>
                <w:sz w:val="24"/>
              </w:rPr>
              <w:fldChar w:fldCharType="end"/>
            </w:r>
            <w:r>
              <w:rPr>
                <w:color w:val="auto"/>
                <w:kern w:val="0"/>
                <w:sz w:val="24"/>
              </w:rPr>
              <w:t>组织制定各部门的环境管理规章制度；</w:t>
            </w:r>
          </w:p>
          <w:p w14:paraId="6DCAB25C">
            <w:pPr>
              <w:adjustRightInd w:val="0"/>
              <w:snapToGrid w:val="0"/>
              <w:spacing w:line="360" w:lineRule="auto"/>
              <w:ind w:firstLine="480" w:firstLineChars="200"/>
              <w:rPr>
                <w:color w:val="auto"/>
                <w:kern w:val="0"/>
                <w:sz w:val="24"/>
              </w:rPr>
            </w:pPr>
            <w:r>
              <w:rPr>
                <w:color w:val="auto"/>
                <w:kern w:val="0"/>
                <w:sz w:val="24"/>
              </w:rPr>
              <w:fldChar w:fldCharType="begin"/>
            </w:r>
            <w:r>
              <w:rPr>
                <w:color w:val="auto"/>
                <w:kern w:val="0"/>
                <w:sz w:val="24"/>
              </w:rPr>
              <w:instrText xml:space="preserve"> = 4 \* GB3 \* MERGEFORMAT </w:instrText>
            </w:r>
            <w:r>
              <w:rPr>
                <w:color w:val="auto"/>
                <w:kern w:val="0"/>
                <w:sz w:val="24"/>
              </w:rPr>
              <w:fldChar w:fldCharType="separate"/>
            </w:r>
            <w:r>
              <w:rPr>
                <w:color w:val="auto"/>
                <w:sz w:val="24"/>
              </w:rPr>
              <w:t>④</w:t>
            </w:r>
            <w:r>
              <w:rPr>
                <w:color w:val="auto"/>
                <w:kern w:val="0"/>
                <w:sz w:val="24"/>
              </w:rPr>
              <w:fldChar w:fldCharType="end"/>
            </w:r>
            <w:r>
              <w:rPr>
                <w:color w:val="auto"/>
                <w:kern w:val="0"/>
                <w:sz w:val="24"/>
              </w:rPr>
              <w:t>负责环保设施的正常运转，以及环境监测计划的实施；</w:t>
            </w:r>
          </w:p>
          <w:p w14:paraId="72C17102">
            <w:pPr>
              <w:adjustRightInd w:val="0"/>
              <w:snapToGrid w:val="0"/>
              <w:spacing w:line="360" w:lineRule="auto"/>
              <w:ind w:firstLine="480" w:firstLineChars="200"/>
              <w:rPr>
                <w:color w:val="auto"/>
                <w:kern w:val="0"/>
                <w:sz w:val="24"/>
              </w:rPr>
            </w:pPr>
            <w:r>
              <w:rPr>
                <w:color w:val="auto"/>
                <w:kern w:val="0"/>
                <w:sz w:val="24"/>
              </w:rPr>
              <w:fldChar w:fldCharType="begin"/>
            </w:r>
            <w:r>
              <w:rPr>
                <w:color w:val="auto"/>
                <w:kern w:val="0"/>
                <w:sz w:val="24"/>
              </w:rPr>
              <w:instrText xml:space="preserve"> = 5 \* GB3 \* MERGEFORMAT </w:instrText>
            </w:r>
            <w:r>
              <w:rPr>
                <w:color w:val="auto"/>
                <w:kern w:val="0"/>
                <w:sz w:val="24"/>
              </w:rPr>
              <w:fldChar w:fldCharType="separate"/>
            </w:r>
            <w:r>
              <w:rPr>
                <w:color w:val="auto"/>
                <w:sz w:val="24"/>
              </w:rPr>
              <w:t>⑤</w:t>
            </w:r>
            <w:r>
              <w:rPr>
                <w:color w:val="auto"/>
                <w:kern w:val="0"/>
                <w:sz w:val="24"/>
              </w:rPr>
              <w:fldChar w:fldCharType="end"/>
            </w:r>
            <w:r>
              <w:rPr>
                <w:color w:val="auto"/>
                <w:kern w:val="0"/>
                <w:sz w:val="24"/>
              </w:rPr>
              <w:t>办理排污许可证，及时按照</w:t>
            </w:r>
            <w:r>
              <w:rPr>
                <w:rStyle w:val="57"/>
                <w:rFonts w:hint="default" w:ascii="Times New Roman" w:hAnsi="Times New Roman"/>
                <w:color w:val="auto"/>
              </w:rPr>
              <w:t>《排污许可证申请与核发技术规范》</w:t>
            </w:r>
            <w:r>
              <w:rPr>
                <w:color w:val="auto"/>
                <w:sz w:val="24"/>
              </w:rPr>
              <w:t>要求落实</w:t>
            </w:r>
            <w:r>
              <w:rPr>
                <w:color w:val="auto"/>
                <w:kern w:val="0"/>
                <w:sz w:val="24"/>
              </w:rPr>
              <w:t>相关环境管理工作。</w:t>
            </w:r>
          </w:p>
          <w:p w14:paraId="2755B902">
            <w:pPr>
              <w:adjustRightInd w:val="0"/>
              <w:snapToGrid w:val="0"/>
              <w:spacing w:line="360" w:lineRule="auto"/>
              <w:ind w:firstLine="482" w:firstLineChars="200"/>
              <w:rPr>
                <w:b/>
                <w:bCs/>
                <w:color w:val="auto"/>
                <w:sz w:val="24"/>
              </w:rPr>
            </w:pPr>
            <w:r>
              <w:rPr>
                <w:b/>
                <w:color w:val="auto"/>
                <w:sz w:val="24"/>
              </w:rPr>
              <w:t>7.2</w:t>
            </w:r>
            <w:r>
              <w:rPr>
                <w:b/>
                <w:bCs/>
                <w:color w:val="auto"/>
                <w:sz w:val="24"/>
              </w:rPr>
              <w:t>排污许可管理要求</w:t>
            </w:r>
          </w:p>
          <w:p w14:paraId="09CF9DE7">
            <w:pPr>
              <w:adjustRightInd w:val="0"/>
              <w:snapToGrid w:val="0"/>
              <w:spacing w:line="360" w:lineRule="auto"/>
              <w:ind w:firstLine="480" w:firstLineChars="200"/>
              <w:rPr>
                <w:color w:val="auto"/>
                <w:sz w:val="24"/>
              </w:rPr>
            </w:pPr>
            <w:r>
              <w:rPr>
                <w:color w:val="auto"/>
                <w:sz w:val="24"/>
              </w:rPr>
              <w:t>根据《环境保护部办公厅关于做好环境影响评价制度和排污许可制衔接相关工作的通知》（环办环评〔2017〕84号），建设单位应该做好环境影响评价和排污许可制度衔接。</w:t>
            </w:r>
          </w:p>
          <w:p w14:paraId="238D90B9">
            <w:pPr>
              <w:adjustRightInd w:val="0"/>
              <w:snapToGrid w:val="0"/>
              <w:spacing w:line="360" w:lineRule="auto"/>
              <w:ind w:firstLine="480" w:firstLineChars="200"/>
              <w:rPr>
                <w:color w:val="auto"/>
                <w:sz w:val="24"/>
              </w:rPr>
            </w:pPr>
            <w:r>
              <w:rPr>
                <w:color w:val="auto"/>
                <w:sz w:val="24"/>
              </w:rPr>
              <w:t xml:space="preserve">依据《固定污染源排污许可分类管理名录》（2019年版）， “二十八、金属制品业33” </w:t>
            </w:r>
            <w:r>
              <w:rPr>
                <w:color w:val="auto"/>
                <w:spacing w:val="-4"/>
                <w:sz w:val="24"/>
              </w:rPr>
              <w:t>“</w:t>
            </w:r>
            <w:r>
              <w:rPr>
                <w:rFonts w:hint="eastAsia"/>
                <w:color w:val="auto"/>
                <w:spacing w:val="-4"/>
                <w:sz w:val="24"/>
              </w:rPr>
              <w:t>82</w:t>
            </w:r>
            <w:r>
              <w:rPr>
                <w:color w:val="auto"/>
                <w:spacing w:val="-4"/>
                <w:sz w:val="24"/>
              </w:rPr>
              <w:t>、铸造及其他金属制品制造339”</w:t>
            </w:r>
            <w:r>
              <w:rPr>
                <w:color w:val="auto"/>
                <w:spacing w:val="-29"/>
                <w:sz w:val="24"/>
              </w:rPr>
              <w:t xml:space="preserve"> </w:t>
            </w:r>
            <w:r>
              <w:rPr>
                <w:color w:val="auto"/>
                <w:spacing w:val="-4"/>
                <w:sz w:val="24"/>
              </w:rPr>
              <w:t>，“黑色金属铸造3391（使用冲天炉的），除重点管理以外的黑色金属铸造</w:t>
            </w:r>
            <w:r>
              <w:rPr>
                <w:rFonts w:hint="eastAsia"/>
                <w:color w:val="auto"/>
                <w:spacing w:val="-4"/>
                <w:sz w:val="24"/>
              </w:rPr>
              <w:t>3391、有色金属铸造3392”</w:t>
            </w:r>
            <w:r>
              <w:rPr>
                <w:color w:val="auto"/>
                <w:spacing w:val="-4"/>
                <w:sz w:val="24"/>
              </w:rPr>
              <w:t>，属于登记管理类别，本环评提出要求，建设</w:t>
            </w:r>
            <w:r>
              <w:rPr>
                <w:color w:val="auto"/>
                <w:spacing w:val="-1"/>
                <w:sz w:val="24"/>
              </w:rPr>
              <w:t>单位应尽快办理排污许可手续，进行排污许可证申领。</w:t>
            </w:r>
          </w:p>
          <w:p w14:paraId="50E12786">
            <w:pPr>
              <w:adjustRightInd w:val="0"/>
              <w:snapToGrid w:val="0"/>
              <w:spacing w:line="360" w:lineRule="auto"/>
              <w:ind w:firstLine="480" w:firstLineChars="200"/>
              <w:rPr>
                <w:color w:val="auto"/>
                <w:sz w:val="24"/>
              </w:rPr>
            </w:pPr>
            <w:r>
              <w:rPr>
                <w:color w:val="auto"/>
                <w:sz w:val="24"/>
              </w:rPr>
              <w:t>建设单位应严格执行上述要求，按照环境影响评价文件及批复中与污染物排放相关的内容在申报项目投入运行前，根据《排污许可证申请与核发技术规范 总则》（HJ942-2018）要求完成排污许可的填报和排污许可证申领，以及后期的变更、延期等办理。</w:t>
            </w:r>
          </w:p>
          <w:p w14:paraId="56F21B17">
            <w:pPr>
              <w:spacing w:line="360" w:lineRule="auto"/>
              <w:ind w:firstLine="482" w:firstLineChars="200"/>
              <w:rPr>
                <w:color w:val="auto"/>
                <w:sz w:val="24"/>
              </w:rPr>
            </w:pPr>
            <w:r>
              <w:rPr>
                <w:b/>
                <w:bCs/>
                <w:color w:val="auto"/>
                <w:sz w:val="24"/>
                <w:lang w:bidi="ar"/>
              </w:rPr>
              <w:t>7.3排污口规范化设置</w:t>
            </w:r>
          </w:p>
          <w:p w14:paraId="6CB83626">
            <w:pPr>
              <w:spacing w:line="360" w:lineRule="auto"/>
              <w:ind w:firstLine="480" w:firstLineChars="200"/>
              <w:rPr>
                <w:color w:val="auto"/>
                <w:sz w:val="24"/>
              </w:rPr>
            </w:pPr>
            <w:r>
              <w:rPr>
                <w:color w:val="auto"/>
                <w:sz w:val="24"/>
                <w:lang w:bidi="ar"/>
              </w:rPr>
              <w:t>根据国家标准《环境保护图形标志--排放口（源）》和《排污口规范化整治技术要求（试行）》的技术要求，企业所有排放口，包括水、气、声、固体废物，必须按照“便于计量监测、便于日常现场监督检查”的原则和规范化要求，设置与之相适应的环境保护图形标志牌，绘制企业排污口分布图，对治理设施安装运行监控装置。排污口的规范化要符合环境监测部门的有关要求。</w:t>
            </w:r>
          </w:p>
          <w:p w14:paraId="5587B17B">
            <w:pPr>
              <w:spacing w:line="360" w:lineRule="auto"/>
              <w:ind w:firstLine="480" w:firstLineChars="200"/>
              <w:rPr>
                <w:color w:val="auto"/>
                <w:sz w:val="24"/>
              </w:rPr>
            </w:pPr>
            <w:r>
              <w:rPr>
                <w:color w:val="auto"/>
                <w:sz w:val="24"/>
                <w:lang w:bidi="ar"/>
              </w:rPr>
              <w:t>A、废水排放口</w:t>
            </w:r>
          </w:p>
          <w:p w14:paraId="298B4FFA">
            <w:pPr>
              <w:spacing w:line="360" w:lineRule="auto"/>
              <w:ind w:firstLine="480" w:firstLineChars="200"/>
              <w:rPr>
                <w:color w:val="auto"/>
                <w:sz w:val="24"/>
              </w:rPr>
            </w:pPr>
            <w:r>
              <w:rPr>
                <w:color w:val="auto"/>
                <w:sz w:val="24"/>
                <w:lang w:bidi="ar"/>
              </w:rPr>
              <w:t>排放口必须具备方便采样和流量测定条件：一般排放口视排污水流量的大小参照《排污口规范化整治技术要求（试行）》（环监[1996]470号）的有关规格要求设置，污水面低于地面或高于地面超过1m的应加建采样台阶或梯架（宽度不小于800mm），污水直接从暗渠排入市政管道的，应在企业边界内、进入市政管道前设置采样口（半径大于150mm）；有压力的排污管道应安装采样阀。</w:t>
            </w:r>
          </w:p>
          <w:p w14:paraId="46A09244">
            <w:pPr>
              <w:spacing w:line="360" w:lineRule="auto"/>
              <w:ind w:firstLine="480" w:firstLineChars="200"/>
              <w:rPr>
                <w:color w:val="auto"/>
                <w:sz w:val="24"/>
              </w:rPr>
            </w:pPr>
            <w:r>
              <w:rPr>
                <w:color w:val="auto"/>
                <w:sz w:val="24"/>
                <w:lang w:bidi="ar"/>
              </w:rPr>
              <w:t>B、固定噪声源</w:t>
            </w:r>
          </w:p>
          <w:p w14:paraId="21179DD6">
            <w:pPr>
              <w:spacing w:line="360" w:lineRule="auto"/>
              <w:ind w:firstLine="480" w:firstLineChars="200"/>
              <w:rPr>
                <w:color w:val="auto"/>
                <w:sz w:val="24"/>
              </w:rPr>
            </w:pPr>
            <w:r>
              <w:rPr>
                <w:color w:val="auto"/>
                <w:sz w:val="24"/>
                <w:lang w:bidi="ar"/>
              </w:rPr>
              <w:t>按规定对固定噪声源进行治理，并在边界噪声敏感点，且对外界影响最大处设置标志牌。</w:t>
            </w:r>
          </w:p>
          <w:p w14:paraId="0BE25FE4">
            <w:pPr>
              <w:spacing w:line="360" w:lineRule="auto"/>
              <w:ind w:firstLine="480" w:firstLineChars="200"/>
              <w:rPr>
                <w:color w:val="auto"/>
                <w:sz w:val="24"/>
              </w:rPr>
            </w:pPr>
            <w:r>
              <w:rPr>
                <w:color w:val="auto"/>
                <w:sz w:val="24"/>
                <w:lang w:bidi="ar"/>
              </w:rPr>
              <w:t>C、固体废物储存库</w:t>
            </w:r>
          </w:p>
          <w:p w14:paraId="67A69DD3">
            <w:pPr>
              <w:spacing w:line="360" w:lineRule="auto"/>
              <w:ind w:firstLine="480" w:firstLineChars="200"/>
              <w:rPr>
                <w:color w:val="auto"/>
                <w:sz w:val="24"/>
              </w:rPr>
            </w:pPr>
            <w:r>
              <w:rPr>
                <w:color w:val="auto"/>
                <w:sz w:val="24"/>
                <w:lang w:bidi="ar"/>
              </w:rPr>
              <w:t>固体废物应设置专用室内暂存库，采取防渗措施，并及时转运处置，保证一定量的库容。</w:t>
            </w:r>
          </w:p>
          <w:p w14:paraId="235BC5D1">
            <w:pPr>
              <w:spacing w:line="360" w:lineRule="auto"/>
              <w:ind w:firstLine="480" w:firstLineChars="200"/>
              <w:rPr>
                <w:color w:val="auto"/>
                <w:sz w:val="24"/>
                <w:lang w:bidi="ar"/>
              </w:rPr>
            </w:pPr>
            <w:r>
              <w:rPr>
                <w:color w:val="auto"/>
                <w:sz w:val="24"/>
                <w:lang w:bidi="ar"/>
              </w:rPr>
              <w:t>D、设置标志牌及环境保护图形标志</w:t>
            </w:r>
          </w:p>
          <w:p w14:paraId="323668CD">
            <w:pPr>
              <w:spacing w:line="360" w:lineRule="auto"/>
              <w:ind w:firstLine="480" w:firstLineChars="200"/>
              <w:rPr>
                <w:color w:val="auto"/>
                <w:sz w:val="24"/>
                <w:lang w:bidi="ar"/>
              </w:rPr>
            </w:pPr>
            <w:r>
              <w:rPr>
                <w:color w:val="auto"/>
                <w:sz w:val="24"/>
                <w:lang w:bidi="ar"/>
              </w:rPr>
              <w:t>环境保护图形标志牌按规范要求定点制作，各建设单位排污口分布图统一绘制。排放一般污染物排污口（源），设置提示式标志牌，排放有毒有害等污染物的排污口设置警告式标志牌。</w:t>
            </w:r>
          </w:p>
          <w:p w14:paraId="4B31D896">
            <w:pPr>
              <w:spacing w:line="360" w:lineRule="auto"/>
              <w:ind w:firstLine="480" w:firstLineChars="200"/>
              <w:rPr>
                <w:color w:val="auto"/>
                <w:sz w:val="24"/>
              </w:rPr>
            </w:pPr>
            <w:r>
              <w:rPr>
                <w:color w:val="auto"/>
                <w:sz w:val="24"/>
                <w:lang w:bidi="ar"/>
              </w:rPr>
              <w:t>标志牌设置位置在排污口（采样点）附近且醒目处，高度为标志牌上缘离地面2米。排污口附近1米范围内有建筑物的，设平面式标志牌，无建筑物的设立式标志牌。</w:t>
            </w:r>
          </w:p>
          <w:p w14:paraId="679F40D9">
            <w:pPr>
              <w:spacing w:line="360" w:lineRule="auto"/>
              <w:ind w:firstLine="480" w:firstLineChars="200"/>
              <w:rPr>
                <w:color w:val="auto"/>
                <w:sz w:val="24"/>
              </w:rPr>
            </w:pPr>
            <w:r>
              <w:rPr>
                <w:color w:val="auto"/>
                <w:sz w:val="24"/>
                <w:lang w:bidi="ar"/>
              </w:rPr>
              <w:t>规范化排污口的有关设置（如图形标志牌、计量装置等）属环保设施，排污单位必须负责日常的维护保养，任何单位和个人不得擅自拆除，如需变更的需报环境监测部门同意并办理变更手续。</w:t>
            </w:r>
          </w:p>
          <w:p w14:paraId="3E14C7CF">
            <w:pPr>
              <w:spacing w:line="360" w:lineRule="auto"/>
              <w:ind w:firstLine="480" w:firstLineChars="200"/>
              <w:rPr>
                <w:color w:val="auto"/>
                <w:sz w:val="24"/>
              </w:rPr>
            </w:pPr>
            <w:r>
              <w:rPr>
                <w:color w:val="auto"/>
                <w:sz w:val="24"/>
                <w:lang w:bidi="ar"/>
              </w:rPr>
              <w:t>在厂区的废水排放口、废气排放源、固体废物贮存处置场应设置环境保护图形标志，图形符号分为提示图形和警告图形符号两种，分别按GB15562.1及修改单、GB15562.2执行。环境保护图形符号见表4-</w:t>
            </w:r>
            <w:r>
              <w:rPr>
                <w:rFonts w:hint="eastAsia"/>
                <w:color w:val="auto"/>
                <w:sz w:val="24"/>
                <w:lang w:bidi="ar"/>
              </w:rPr>
              <w:t>2</w:t>
            </w:r>
            <w:r>
              <w:rPr>
                <w:rFonts w:hint="eastAsia"/>
                <w:color w:val="auto"/>
                <w:sz w:val="24"/>
                <w:lang w:val="en-US" w:eastAsia="zh-CN" w:bidi="ar"/>
              </w:rPr>
              <w:t>1</w:t>
            </w:r>
            <w:r>
              <w:rPr>
                <w:color w:val="auto"/>
                <w:sz w:val="24"/>
                <w:lang w:bidi="ar"/>
              </w:rPr>
              <w:t>，环境保护图形标志的形状及颜色见表4-</w:t>
            </w:r>
            <w:r>
              <w:rPr>
                <w:rFonts w:hint="eastAsia"/>
                <w:color w:val="auto"/>
                <w:sz w:val="24"/>
                <w:lang w:bidi="ar"/>
              </w:rPr>
              <w:t>2</w:t>
            </w:r>
            <w:r>
              <w:rPr>
                <w:rFonts w:hint="eastAsia"/>
                <w:color w:val="auto"/>
                <w:sz w:val="24"/>
                <w:lang w:val="en-US" w:eastAsia="zh-CN" w:bidi="ar"/>
              </w:rPr>
              <w:t>2</w:t>
            </w:r>
            <w:r>
              <w:rPr>
                <w:color w:val="auto"/>
                <w:sz w:val="24"/>
                <w:lang w:bidi="ar"/>
              </w:rPr>
              <w:t>。</w:t>
            </w:r>
          </w:p>
          <w:p w14:paraId="311FFCB6">
            <w:pPr>
              <w:pStyle w:val="92"/>
              <w:widowControl/>
              <w:adjustRightInd/>
              <w:snapToGrid/>
              <w:spacing w:before="0" w:line="360" w:lineRule="auto"/>
              <w:rPr>
                <w:color w:val="auto"/>
              </w:rPr>
            </w:pPr>
            <w:r>
              <w:rPr>
                <w:color w:val="auto"/>
              </w:rPr>
              <w:t>表4-</w:t>
            </w:r>
            <w:r>
              <w:rPr>
                <w:rFonts w:hint="eastAsia"/>
                <w:color w:val="auto"/>
              </w:rPr>
              <w:t>2</w:t>
            </w:r>
            <w:r>
              <w:rPr>
                <w:rFonts w:hint="eastAsia"/>
                <w:color w:val="auto"/>
                <w:lang w:val="en-US" w:eastAsia="zh-CN"/>
              </w:rPr>
              <w:t>1</w:t>
            </w:r>
            <w:r>
              <w:rPr>
                <w:color w:val="auto"/>
              </w:rPr>
              <w:t xml:space="preserve">   环境保护图形符号一览表</w:t>
            </w:r>
          </w:p>
          <w:tbl>
            <w:tblPr>
              <w:tblStyle w:val="24"/>
              <w:tblW w:w="4998"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821"/>
              <w:gridCol w:w="1879"/>
              <w:gridCol w:w="1823"/>
              <w:gridCol w:w="1869"/>
            </w:tblGrid>
            <w:tr w14:paraId="388F97A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tcBorders>
                    <w:tl2br w:val="nil"/>
                    <w:tr2bl w:val="nil"/>
                  </w:tcBorders>
                  <w:shd w:val="clear" w:color="auto" w:fill="auto"/>
                  <w:vAlign w:val="center"/>
                </w:tcPr>
                <w:p w14:paraId="3E9A2177">
                  <w:pPr>
                    <w:spacing w:line="360" w:lineRule="exact"/>
                    <w:ind w:left="-105" w:leftChars="-50" w:right="-105" w:rightChars="-50"/>
                    <w:jc w:val="center"/>
                    <w:rPr>
                      <w:rFonts w:ascii="宋体" w:hAnsi="宋体" w:cs="宋体"/>
                      <w:b/>
                      <w:color w:val="auto"/>
                      <w:spacing w:val="-2"/>
                      <w:szCs w:val="21"/>
                    </w:rPr>
                  </w:pPr>
                  <w:r>
                    <w:rPr>
                      <w:rFonts w:hint="eastAsia" w:ascii="宋体" w:hAnsi="宋体" w:cs="宋体"/>
                      <w:b/>
                      <w:color w:val="auto"/>
                      <w:szCs w:val="21"/>
                      <w:lang w:bidi="ar"/>
                    </w:rPr>
                    <w:t>序号</w:t>
                  </w:r>
                </w:p>
              </w:tc>
              <w:tc>
                <w:tcPr>
                  <w:tcW w:w="1135" w:type="pct"/>
                  <w:tcBorders>
                    <w:tl2br w:val="nil"/>
                    <w:tr2bl w:val="nil"/>
                  </w:tcBorders>
                  <w:shd w:val="clear" w:color="auto" w:fill="auto"/>
                  <w:vAlign w:val="center"/>
                </w:tcPr>
                <w:p w14:paraId="7E2E4880">
                  <w:pPr>
                    <w:spacing w:line="360" w:lineRule="exact"/>
                    <w:jc w:val="center"/>
                    <w:rPr>
                      <w:rFonts w:ascii="宋体" w:hAnsi="宋体" w:cs="宋体"/>
                      <w:b/>
                      <w:color w:val="auto"/>
                      <w:spacing w:val="-2"/>
                      <w:szCs w:val="21"/>
                    </w:rPr>
                  </w:pPr>
                  <w:r>
                    <w:rPr>
                      <w:rFonts w:hint="eastAsia" w:ascii="宋体" w:hAnsi="宋体" w:cs="宋体"/>
                      <w:b/>
                      <w:color w:val="auto"/>
                      <w:szCs w:val="21"/>
                      <w:lang w:bidi="ar"/>
                    </w:rPr>
                    <w:t>提示图形符号</w:t>
                  </w:r>
                </w:p>
              </w:tc>
              <w:tc>
                <w:tcPr>
                  <w:tcW w:w="1171" w:type="pct"/>
                  <w:tcBorders>
                    <w:tl2br w:val="nil"/>
                    <w:tr2bl w:val="nil"/>
                  </w:tcBorders>
                  <w:shd w:val="clear" w:color="auto" w:fill="auto"/>
                  <w:vAlign w:val="center"/>
                </w:tcPr>
                <w:p w14:paraId="16348623">
                  <w:pPr>
                    <w:spacing w:line="360" w:lineRule="exact"/>
                    <w:jc w:val="center"/>
                    <w:rPr>
                      <w:rFonts w:ascii="宋体" w:hAnsi="宋体" w:cs="宋体"/>
                      <w:b/>
                      <w:color w:val="auto"/>
                      <w:spacing w:val="-2"/>
                      <w:szCs w:val="21"/>
                    </w:rPr>
                  </w:pPr>
                  <w:r>
                    <w:rPr>
                      <w:rFonts w:hint="eastAsia" w:ascii="宋体" w:hAnsi="宋体" w:cs="宋体"/>
                      <w:b/>
                      <w:color w:val="auto"/>
                      <w:szCs w:val="21"/>
                      <w:lang w:bidi="ar"/>
                    </w:rPr>
                    <w:t>警告图形符号</w:t>
                  </w:r>
                </w:p>
              </w:tc>
              <w:tc>
                <w:tcPr>
                  <w:tcW w:w="1136" w:type="pct"/>
                  <w:tcBorders>
                    <w:tl2br w:val="nil"/>
                    <w:tr2bl w:val="nil"/>
                  </w:tcBorders>
                  <w:shd w:val="clear" w:color="auto" w:fill="auto"/>
                  <w:vAlign w:val="center"/>
                </w:tcPr>
                <w:p w14:paraId="49F24470">
                  <w:pPr>
                    <w:spacing w:line="360" w:lineRule="exact"/>
                    <w:jc w:val="center"/>
                    <w:rPr>
                      <w:rFonts w:ascii="宋体" w:hAnsi="宋体" w:cs="宋体"/>
                      <w:b/>
                      <w:color w:val="auto"/>
                      <w:spacing w:val="-2"/>
                      <w:szCs w:val="21"/>
                    </w:rPr>
                  </w:pPr>
                  <w:r>
                    <w:rPr>
                      <w:rFonts w:hint="eastAsia" w:ascii="宋体" w:hAnsi="宋体" w:cs="宋体"/>
                      <w:b/>
                      <w:color w:val="auto"/>
                      <w:szCs w:val="21"/>
                      <w:lang w:bidi="ar"/>
                    </w:rPr>
                    <w:t>名称</w:t>
                  </w:r>
                </w:p>
              </w:tc>
              <w:tc>
                <w:tcPr>
                  <w:tcW w:w="1164" w:type="pct"/>
                  <w:tcBorders>
                    <w:tl2br w:val="nil"/>
                    <w:tr2bl w:val="nil"/>
                  </w:tcBorders>
                  <w:shd w:val="clear" w:color="auto" w:fill="auto"/>
                  <w:vAlign w:val="center"/>
                </w:tcPr>
                <w:p w14:paraId="05A26536">
                  <w:pPr>
                    <w:spacing w:line="360" w:lineRule="exact"/>
                    <w:jc w:val="center"/>
                    <w:rPr>
                      <w:rFonts w:ascii="宋体" w:hAnsi="宋体" w:cs="宋体"/>
                      <w:b/>
                      <w:color w:val="auto"/>
                      <w:spacing w:val="-2"/>
                      <w:szCs w:val="21"/>
                    </w:rPr>
                  </w:pPr>
                  <w:r>
                    <w:rPr>
                      <w:rFonts w:hint="eastAsia" w:ascii="宋体" w:hAnsi="宋体" w:cs="宋体"/>
                      <w:b/>
                      <w:color w:val="auto"/>
                      <w:szCs w:val="21"/>
                      <w:lang w:bidi="ar"/>
                    </w:rPr>
                    <w:t>功能</w:t>
                  </w:r>
                </w:p>
              </w:tc>
            </w:tr>
            <w:tr w14:paraId="4E0FCB1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92" w:type="pct"/>
                  <w:tcBorders>
                    <w:tl2br w:val="nil"/>
                    <w:tr2bl w:val="nil"/>
                  </w:tcBorders>
                  <w:shd w:val="clear" w:color="auto" w:fill="auto"/>
                  <w:vAlign w:val="center"/>
                </w:tcPr>
                <w:p w14:paraId="66BA831F">
                  <w:pPr>
                    <w:spacing w:line="360" w:lineRule="exact"/>
                    <w:jc w:val="center"/>
                    <w:rPr>
                      <w:rFonts w:ascii="宋体" w:hAnsi="宋体" w:cs="宋体"/>
                      <w:color w:val="auto"/>
                      <w:spacing w:val="-2"/>
                      <w:szCs w:val="21"/>
                    </w:rPr>
                  </w:pPr>
                  <w:r>
                    <w:rPr>
                      <w:rFonts w:hint="eastAsia" w:ascii="宋体" w:hAnsi="宋体" w:cs="宋体"/>
                      <w:color w:val="auto"/>
                      <w:szCs w:val="21"/>
                      <w:lang w:bidi="ar"/>
                    </w:rPr>
                    <w:t>1</w:t>
                  </w:r>
                </w:p>
              </w:tc>
              <w:tc>
                <w:tcPr>
                  <w:tcW w:w="1135" w:type="pct"/>
                  <w:tcBorders>
                    <w:tl2br w:val="nil"/>
                    <w:tr2bl w:val="nil"/>
                  </w:tcBorders>
                  <w:shd w:val="clear" w:color="auto" w:fill="auto"/>
                  <w:vAlign w:val="center"/>
                </w:tcPr>
                <w:p w14:paraId="754BFAB7">
                  <w:pPr>
                    <w:jc w:val="center"/>
                    <w:rPr>
                      <w:rFonts w:ascii="宋体" w:hAnsi="宋体" w:cs="宋体"/>
                      <w:color w:val="auto"/>
                      <w:spacing w:val="-2"/>
                      <w:szCs w:val="21"/>
                    </w:rPr>
                  </w:pPr>
                  <w:r>
                    <w:rPr>
                      <w:rFonts w:hint="eastAsia" w:ascii="宋体" w:hAnsi="宋体" w:cs="宋体"/>
                      <w:smallCaps/>
                      <w:color w:val="auto"/>
                      <w:szCs w:val="21"/>
                    </w:rPr>
                    <w:drawing>
                      <wp:inline distT="0" distB="0" distL="114300" distR="114300">
                        <wp:extent cx="723900" cy="723900"/>
                        <wp:effectExtent l="0" t="0" r="0" b="0"/>
                        <wp:docPr id="7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8"/>
                                <pic:cNvPicPr>
                                  <a:picLocks noChangeAspect="1"/>
                                </pic:cNvPicPr>
                              </pic:nvPicPr>
                              <pic:blipFill>
                                <a:blip r:embed="rId11"/>
                                <a:stretch>
                                  <a:fillRect/>
                                </a:stretch>
                              </pic:blipFill>
                              <pic:spPr>
                                <a:xfrm>
                                  <a:off x="0" y="0"/>
                                  <a:ext cx="723900" cy="723900"/>
                                </a:xfrm>
                                <a:prstGeom prst="rect">
                                  <a:avLst/>
                                </a:prstGeom>
                                <a:noFill/>
                                <a:ln>
                                  <a:noFill/>
                                </a:ln>
                              </pic:spPr>
                            </pic:pic>
                          </a:graphicData>
                        </a:graphic>
                      </wp:inline>
                    </w:drawing>
                  </w:r>
                </w:p>
              </w:tc>
              <w:tc>
                <w:tcPr>
                  <w:tcW w:w="1171" w:type="pct"/>
                  <w:tcBorders>
                    <w:tl2br w:val="nil"/>
                    <w:tr2bl w:val="nil"/>
                  </w:tcBorders>
                  <w:shd w:val="clear" w:color="auto" w:fill="auto"/>
                  <w:vAlign w:val="center"/>
                </w:tcPr>
                <w:p w14:paraId="2DB212CA">
                  <w:pPr>
                    <w:jc w:val="center"/>
                    <w:rPr>
                      <w:rFonts w:ascii="宋体" w:hAnsi="宋体" w:cs="宋体"/>
                      <w:color w:val="auto"/>
                      <w:spacing w:val="-2"/>
                      <w:szCs w:val="21"/>
                    </w:rPr>
                  </w:pPr>
                  <w:r>
                    <w:rPr>
                      <w:rFonts w:hint="eastAsia" w:ascii="宋体" w:hAnsi="宋体" w:cs="宋体"/>
                      <w:smallCaps/>
                      <w:color w:val="auto"/>
                      <w:szCs w:val="21"/>
                    </w:rPr>
                    <w:drawing>
                      <wp:inline distT="0" distB="0" distL="114300" distR="114300">
                        <wp:extent cx="828675" cy="733425"/>
                        <wp:effectExtent l="0" t="0" r="9525" b="9525"/>
                        <wp:docPr id="7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9"/>
                                <pic:cNvPicPr>
                                  <a:picLocks noChangeAspect="1"/>
                                </pic:cNvPicPr>
                              </pic:nvPicPr>
                              <pic:blipFill>
                                <a:blip r:embed="rId12"/>
                                <a:stretch>
                                  <a:fillRect/>
                                </a:stretch>
                              </pic:blipFill>
                              <pic:spPr>
                                <a:xfrm>
                                  <a:off x="0" y="0"/>
                                  <a:ext cx="828675" cy="733425"/>
                                </a:xfrm>
                                <a:prstGeom prst="rect">
                                  <a:avLst/>
                                </a:prstGeom>
                                <a:noFill/>
                                <a:ln>
                                  <a:noFill/>
                                </a:ln>
                              </pic:spPr>
                            </pic:pic>
                          </a:graphicData>
                        </a:graphic>
                      </wp:inline>
                    </w:drawing>
                  </w:r>
                </w:p>
              </w:tc>
              <w:tc>
                <w:tcPr>
                  <w:tcW w:w="1136" w:type="pct"/>
                  <w:tcBorders>
                    <w:tl2br w:val="nil"/>
                    <w:tr2bl w:val="nil"/>
                  </w:tcBorders>
                  <w:shd w:val="clear" w:color="auto" w:fill="auto"/>
                  <w:vAlign w:val="center"/>
                </w:tcPr>
                <w:p w14:paraId="15EC1BBB">
                  <w:pPr>
                    <w:spacing w:line="360" w:lineRule="exact"/>
                    <w:jc w:val="center"/>
                    <w:rPr>
                      <w:rFonts w:ascii="宋体" w:hAnsi="宋体" w:cs="宋体"/>
                      <w:color w:val="auto"/>
                      <w:spacing w:val="-2"/>
                      <w:szCs w:val="21"/>
                    </w:rPr>
                  </w:pPr>
                  <w:r>
                    <w:rPr>
                      <w:rFonts w:hint="eastAsia" w:ascii="宋体" w:hAnsi="宋体" w:cs="宋体"/>
                      <w:color w:val="auto"/>
                      <w:szCs w:val="21"/>
                      <w:lang w:bidi="ar"/>
                    </w:rPr>
                    <w:t>污水排放口</w:t>
                  </w:r>
                </w:p>
              </w:tc>
              <w:tc>
                <w:tcPr>
                  <w:tcW w:w="1164" w:type="pct"/>
                  <w:tcBorders>
                    <w:tl2br w:val="nil"/>
                    <w:tr2bl w:val="nil"/>
                  </w:tcBorders>
                  <w:shd w:val="clear" w:color="auto" w:fill="auto"/>
                  <w:vAlign w:val="center"/>
                </w:tcPr>
                <w:p w14:paraId="5928037B">
                  <w:pPr>
                    <w:spacing w:line="360" w:lineRule="exact"/>
                    <w:jc w:val="center"/>
                    <w:rPr>
                      <w:rFonts w:ascii="宋体" w:hAnsi="宋体" w:cs="宋体"/>
                      <w:color w:val="auto"/>
                      <w:spacing w:val="-2"/>
                      <w:szCs w:val="21"/>
                    </w:rPr>
                  </w:pPr>
                  <w:r>
                    <w:rPr>
                      <w:rFonts w:hint="eastAsia" w:ascii="宋体" w:hAnsi="宋体" w:cs="宋体"/>
                      <w:color w:val="auto"/>
                      <w:szCs w:val="21"/>
                      <w:lang w:bidi="ar"/>
                    </w:rPr>
                    <w:t>表示污水向水体排放</w:t>
                  </w:r>
                </w:p>
              </w:tc>
            </w:tr>
            <w:tr w14:paraId="374689F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392" w:type="pct"/>
                  <w:tcBorders>
                    <w:tl2br w:val="nil"/>
                    <w:tr2bl w:val="nil"/>
                  </w:tcBorders>
                  <w:shd w:val="clear" w:color="auto" w:fill="auto"/>
                  <w:vAlign w:val="center"/>
                </w:tcPr>
                <w:p w14:paraId="034DAA8B">
                  <w:pPr>
                    <w:spacing w:line="360" w:lineRule="exact"/>
                    <w:jc w:val="center"/>
                    <w:rPr>
                      <w:rFonts w:ascii="宋体" w:hAnsi="宋体" w:cs="宋体"/>
                      <w:color w:val="auto"/>
                      <w:spacing w:val="-2"/>
                      <w:szCs w:val="21"/>
                    </w:rPr>
                  </w:pPr>
                  <w:r>
                    <w:rPr>
                      <w:rFonts w:hint="eastAsia" w:ascii="宋体" w:hAnsi="宋体" w:cs="宋体"/>
                      <w:color w:val="auto"/>
                      <w:szCs w:val="21"/>
                      <w:lang w:bidi="ar"/>
                    </w:rPr>
                    <w:t>2</w:t>
                  </w:r>
                </w:p>
              </w:tc>
              <w:tc>
                <w:tcPr>
                  <w:tcW w:w="1135" w:type="pct"/>
                  <w:tcBorders>
                    <w:tl2br w:val="nil"/>
                    <w:tr2bl w:val="nil"/>
                  </w:tcBorders>
                  <w:shd w:val="clear" w:color="auto" w:fill="auto"/>
                  <w:vAlign w:val="center"/>
                </w:tcPr>
                <w:p w14:paraId="48F2EC60">
                  <w:pPr>
                    <w:jc w:val="center"/>
                    <w:rPr>
                      <w:rFonts w:ascii="宋体" w:hAnsi="宋体" w:cs="宋体"/>
                      <w:color w:val="auto"/>
                      <w:spacing w:val="-2"/>
                      <w:szCs w:val="21"/>
                    </w:rPr>
                  </w:pPr>
                  <w:r>
                    <w:rPr>
                      <w:rFonts w:hint="eastAsia" w:ascii="宋体" w:hAnsi="宋体" w:cs="宋体"/>
                      <w:smallCaps/>
                      <w:color w:val="auto"/>
                      <w:szCs w:val="21"/>
                    </w:rPr>
                    <w:drawing>
                      <wp:inline distT="0" distB="0" distL="114300" distR="114300">
                        <wp:extent cx="733425" cy="733425"/>
                        <wp:effectExtent l="0" t="0" r="9525" b="9525"/>
                        <wp:docPr id="7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0"/>
                                <pic:cNvPicPr>
                                  <a:picLocks noChangeAspect="1"/>
                                </pic:cNvPicPr>
                              </pic:nvPicPr>
                              <pic:blipFill>
                                <a:blip r:embed="rId13"/>
                                <a:stretch>
                                  <a:fillRect/>
                                </a:stretch>
                              </pic:blipFill>
                              <pic:spPr>
                                <a:xfrm>
                                  <a:off x="0" y="0"/>
                                  <a:ext cx="733425" cy="733425"/>
                                </a:xfrm>
                                <a:prstGeom prst="rect">
                                  <a:avLst/>
                                </a:prstGeom>
                                <a:noFill/>
                                <a:ln>
                                  <a:noFill/>
                                </a:ln>
                              </pic:spPr>
                            </pic:pic>
                          </a:graphicData>
                        </a:graphic>
                      </wp:inline>
                    </w:drawing>
                  </w:r>
                </w:p>
              </w:tc>
              <w:tc>
                <w:tcPr>
                  <w:tcW w:w="1171" w:type="pct"/>
                  <w:tcBorders>
                    <w:tl2br w:val="nil"/>
                    <w:tr2bl w:val="nil"/>
                  </w:tcBorders>
                  <w:shd w:val="clear" w:color="auto" w:fill="auto"/>
                  <w:vAlign w:val="center"/>
                </w:tcPr>
                <w:p w14:paraId="25633B6A">
                  <w:pPr>
                    <w:jc w:val="center"/>
                    <w:rPr>
                      <w:rFonts w:ascii="宋体" w:hAnsi="宋体" w:cs="宋体"/>
                      <w:color w:val="auto"/>
                      <w:spacing w:val="-2"/>
                      <w:szCs w:val="21"/>
                    </w:rPr>
                  </w:pPr>
                  <w:r>
                    <w:rPr>
                      <w:rFonts w:hint="eastAsia" w:ascii="宋体" w:hAnsi="宋体" w:cs="宋体"/>
                      <w:smallCaps/>
                      <w:color w:val="auto"/>
                      <w:szCs w:val="21"/>
                    </w:rPr>
                    <w:drawing>
                      <wp:inline distT="0" distB="0" distL="114300" distR="114300">
                        <wp:extent cx="847725" cy="752475"/>
                        <wp:effectExtent l="0" t="0" r="9525" b="9525"/>
                        <wp:docPr id="7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1"/>
                                <pic:cNvPicPr>
                                  <a:picLocks noChangeAspect="1"/>
                                </pic:cNvPicPr>
                              </pic:nvPicPr>
                              <pic:blipFill>
                                <a:blip r:embed="rId14"/>
                                <a:stretch>
                                  <a:fillRect/>
                                </a:stretch>
                              </pic:blipFill>
                              <pic:spPr>
                                <a:xfrm>
                                  <a:off x="0" y="0"/>
                                  <a:ext cx="847725" cy="752475"/>
                                </a:xfrm>
                                <a:prstGeom prst="rect">
                                  <a:avLst/>
                                </a:prstGeom>
                                <a:noFill/>
                                <a:ln>
                                  <a:noFill/>
                                </a:ln>
                              </pic:spPr>
                            </pic:pic>
                          </a:graphicData>
                        </a:graphic>
                      </wp:inline>
                    </w:drawing>
                  </w:r>
                </w:p>
              </w:tc>
              <w:tc>
                <w:tcPr>
                  <w:tcW w:w="1136" w:type="pct"/>
                  <w:tcBorders>
                    <w:tl2br w:val="nil"/>
                    <w:tr2bl w:val="nil"/>
                  </w:tcBorders>
                  <w:shd w:val="clear" w:color="auto" w:fill="auto"/>
                  <w:vAlign w:val="center"/>
                </w:tcPr>
                <w:p w14:paraId="78DE7619">
                  <w:pPr>
                    <w:spacing w:line="360" w:lineRule="exact"/>
                    <w:jc w:val="center"/>
                    <w:rPr>
                      <w:rFonts w:ascii="宋体" w:hAnsi="宋体" w:cs="宋体"/>
                      <w:color w:val="auto"/>
                      <w:spacing w:val="-2"/>
                      <w:szCs w:val="21"/>
                    </w:rPr>
                  </w:pPr>
                  <w:r>
                    <w:rPr>
                      <w:rFonts w:hint="eastAsia" w:ascii="宋体" w:hAnsi="宋体" w:cs="宋体"/>
                      <w:color w:val="auto"/>
                      <w:szCs w:val="21"/>
                      <w:lang w:bidi="ar"/>
                    </w:rPr>
                    <w:t>废气排放口</w:t>
                  </w:r>
                </w:p>
              </w:tc>
              <w:tc>
                <w:tcPr>
                  <w:tcW w:w="1164" w:type="pct"/>
                  <w:tcBorders>
                    <w:tl2br w:val="nil"/>
                    <w:tr2bl w:val="nil"/>
                  </w:tcBorders>
                  <w:shd w:val="clear" w:color="auto" w:fill="auto"/>
                  <w:vAlign w:val="center"/>
                </w:tcPr>
                <w:p w14:paraId="212B95C4">
                  <w:pPr>
                    <w:spacing w:line="360" w:lineRule="exact"/>
                    <w:jc w:val="center"/>
                    <w:rPr>
                      <w:rFonts w:ascii="宋体" w:hAnsi="宋体" w:cs="宋体"/>
                      <w:color w:val="auto"/>
                      <w:spacing w:val="-2"/>
                      <w:szCs w:val="21"/>
                    </w:rPr>
                  </w:pPr>
                  <w:r>
                    <w:rPr>
                      <w:rFonts w:hint="eastAsia" w:ascii="宋体" w:hAnsi="宋体" w:cs="宋体"/>
                      <w:color w:val="auto"/>
                      <w:szCs w:val="21"/>
                      <w:lang w:bidi="ar"/>
                    </w:rPr>
                    <w:t>表示废气向大气环境排放</w:t>
                  </w:r>
                </w:p>
              </w:tc>
            </w:tr>
            <w:tr w14:paraId="79A407A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392" w:type="pct"/>
                  <w:tcBorders>
                    <w:tl2br w:val="nil"/>
                    <w:tr2bl w:val="nil"/>
                  </w:tcBorders>
                  <w:shd w:val="clear" w:color="auto" w:fill="auto"/>
                  <w:vAlign w:val="center"/>
                </w:tcPr>
                <w:p w14:paraId="784CAA89">
                  <w:pPr>
                    <w:spacing w:line="360" w:lineRule="exact"/>
                    <w:jc w:val="center"/>
                    <w:rPr>
                      <w:rFonts w:ascii="宋体" w:hAnsi="宋体" w:cs="宋体"/>
                      <w:color w:val="auto"/>
                      <w:spacing w:val="-2"/>
                      <w:szCs w:val="21"/>
                    </w:rPr>
                  </w:pPr>
                  <w:r>
                    <w:rPr>
                      <w:rFonts w:hint="eastAsia" w:ascii="宋体" w:hAnsi="宋体" w:cs="宋体"/>
                      <w:color w:val="auto"/>
                      <w:szCs w:val="21"/>
                      <w:lang w:bidi="ar"/>
                    </w:rPr>
                    <w:t>3</w:t>
                  </w:r>
                </w:p>
              </w:tc>
              <w:tc>
                <w:tcPr>
                  <w:tcW w:w="1135" w:type="pct"/>
                  <w:tcBorders>
                    <w:tl2br w:val="nil"/>
                    <w:tr2bl w:val="nil"/>
                  </w:tcBorders>
                  <w:shd w:val="clear" w:color="auto" w:fill="auto"/>
                  <w:vAlign w:val="center"/>
                </w:tcPr>
                <w:p w14:paraId="4537DAEC">
                  <w:pPr>
                    <w:jc w:val="center"/>
                    <w:rPr>
                      <w:rFonts w:ascii="宋体" w:hAnsi="宋体" w:cs="宋体"/>
                      <w:color w:val="auto"/>
                      <w:spacing w:val="-2"/>
                      <w:szCs w:val="21"/>
                    </w:rPr>
                  </w:pPr>
                  <w:r>
                    <w:rPr>
                      <w:rFonts w:hint="eastAsia" w:ascii="宋体" w:hAnsi="宋体" w:cs="宋体"/>
                      <w:smallCaps/>
                      <w:color w:val="auto"/>
                      <w:szCs w:val="21"/>
                    </w:rPr>
                    <w:drawing>
                      <wp:inline distT="0" distB="0" distL="114300" distR="114300">
                        <wp:extent cx="771525" cy="771525"/>
                        <wp:effectExtent l="0" t="0" r="9525" b="9525"/>
                        <wp:docPr id="7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2"/>
                                <pic:cNvPicPr>
                                  <a:picLocks noChangeAspect="1"/>
                                </pic:cNvPicPr>
                              </pic:nvPicPr>
                              <pic:blipFill>
                                <a:blip r:embed="rId15"/>
                                <a:stretch>
                                  <a:fillRect/>
                                </a:stretch>
                              </pic:blipFill>
                              <pic:spPr>
                                <a:xfrm>
                                  <a:off x="0" y="0"/>
                                  <a:ext cx="771525" cy="771525"/>
                                </a:xfrm>
                                <a:prstGeom prst="rect">
                                  <a:avLst/>
                                </a:prstGeom>
                                <a:noFill/>
                                <a:ln>
                                  <a:noFill/>
                                </a:ln>
                              </pic:spPr>
                            </pic:pic>
                          </a:graphicData>
                        </a:graphic>
                      </wp:inline>
                    </w:drawing>
                  </w:r>
                </w:p>
              </w:tc>
              <w:tc>
                <w:tcPr>
                  <w:tcW w:w="1171" w:type="pct"/>
                  <w:tcBorders>
                    <w:tl2br w:val="nil"/>
                    <w:tr2bl w:val="nil"/>
                  </w:tcBorders>
                  <w:shd w:val="clear" w:color="auto" w:fill="auto"/>
                  <w:vAlign w:val="center"/>
                </w:tcPr>
                <w:p w14:paraId="2CF61A2E">
                  <w:pPr>
                    <w:jc w:val="center"/>
                    <w:rPr>
                      <w:rFonts w:ascii="宋体" w:hAnsi="宋体" w:cs="宋体"/>
                      <w:color w:val="auto"/>
                      <w:spacing w:val="-2"/>
                      <w:szCs w:val="21"/>
                    </w:rPr>
                  </w:pPr>
                  <w:r>
                    <w:rPr>
                      <w:rFonts w:hint="eastAsia" w:ascii="宋体" w:hAnsi="宋体" w:cs="宋体"/>
                      <w:smallCaps/>
                      <w:color w:val="auto"/>
                      <w:szCs w:val="21"/>
                    </w:rPr>
                    <w:drawing>
                      <wp:inline distT="0" distB="0" distL="114300" distR="114300">
                        <wp:extent cx="800100" cy="714375"/>
                        <wp:effectExtent l="0" t="0" r="0" b="9525"/>
                        <wp:docPr id="8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3"/>
                                <pic:cNvPicPr>
                                  <a:picLocks noChangeAspect="1"/>
                                </pic:cNvPicPr>
                              </pic:nvPicPr>
                              <pic:blipFill>
                                <a:blip r:embed="rId16"/>
                                <a:stretch>
                                  <a:fillRect/>
                                </a:stretch>
                              </pic:blipFill>
                              <pic:spPr>
                                <a:xfrm>
                                  <a:off x="0" y="0"/>
                                  <a:ext cx="800100" cy="714375"/>
                                </a:xfrm>
                                <a:prstGeom prst="rect">
                                  <a:avLst/>
                                </a:prstGeom>
                                <a:noFill/>
                                <a:ln>
                                  <a:noFill/>
                                </a:ln>
                              </pic:spPr>
                            </pic:pic>
                          </a:graphicData>
                        </a:graphic>
                      </wp:inline>
                    </w:drawing>
                  </w:r>
                </w:p>
              </w:tc>
              <w:tc>
                <w:tcPr>
                  <w:tcW w:w="1136" w:type="pct"/>
                  <w:tcBorders>
                    <w:tl2br w:val="nil"/>
                    <w:tr2bl w:val="nil"/>
                  </w:tcBorders>
                  <w:shd w:val="clear" w:color="auto" w:fill="auto"/>
                  <w:vAlign w:val="center"/>
                </w:tcPr>
                <w:p w14:paraId="192ECBF3">
                  <w:pPr>
                    <w:spacing w:line="360" w:lineRule="exact"/>
                    <w:jc w:val="center"/>
                    <w:rPr>
                      <w:rFonts w:ascii="宋体" w:hAnsi="宋体" w:cs="宋体"/>
                      <w:color w:val="auto"/>
                      <w:spacing w:val="-2"/>
                      <w:szCs w:val="21"/>
                    </w:rPr>
                  </w:pPr>
                  <w:r>
                    <w:rPr>
                      <w:rFonts w:hint="eastAsia" w:ascii="宋体" w:hAnsi="宋体" w:cs="宋体"/>
                      <w:color w:val="auto"/>
                      <w:szCs w:val="21"/>
                      <w:lang w:bidi="ar"/>
                    </w:rPr>
                    <w:t>一般固体废物</w:t>
                  </w:r>
                </w:p>
              </w:tc>
              <w:tc>
                <w:tcPr>
                  <w:tcW w:w="1164" w:type="pct"/>
                  <w:tcBorders>
                    <w:tl2br w:val="nil"/>
                    <w:tr2bl w:val="nil"/>
                  </w:tcBorders>
                  <w:shd w:val="clear" w:color="auto" w:fill="auto"/>
                  <w:vAlign w:val="center"/>
                </w:tcPr>
                <w:p w14:paraId="241307AA">
                  <w:pPr>
                    <w:spacing w:line="360" w:lineRule="exact"/>
                    <w:jc w:val="center"/>
                    <w:rPr>
                      <w:rFonts w:ascii="宋体" w:hAnsi="宋体" w:cs="宋体"/>
                      <w:color w:val="auto"/>
                      <w:spacing w:val="-2"/>
                      <w:szCs w:val="21"/>
                    </w:rPr>
                  </w:pPr>
                  <w:r>
                    <w:rPr>
                      <w:rFonts w:hint="eastAsia" w:ascii="宋体" w:hAnsi="宋体" w:cs="宋体"/>
                      <w:color w:val="auto"/>
                      <w:szCs w:val="21"/>
                      <w:lang w:bidi="ar"/>
                    </w:rPr>
                    <w:t>表示一般固体废物贮存、处置场</w:t>
                  </w:r>
                </w:p>
              </w:tc>
            </w:tr>
            <w:tr w14:paraId="41229A4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92" w:type="pct"/>
                  <w:tcBorders>
                    <w:tl2br w:val="nil"/>
                    <w:tr2bl w:val="nil"/>
                  </w:tcBorders>
                  <w:shd w:val="clear" w:color="auto" w:fill="auto"/>
                  <w:vAlign w:val="center"/>
                </w:tcPr>
                <w:p w14:paraId="603F1FD2">
                  <w:pPr>
                    <w:spacing w:line="360" w:lineRule="exact"/>
                    <w:jc w:val="center"/>
                    <w:rPr>
                      <w:rFonts w:ascii="宋体" w:hAnsi="宋体" w:cs="宋体"/>
                      <w:color w:val="auto"/>
                      <w:spacing w:val="-2"/>
                      <w:szCs w:val="21"/>
                    </w:rPr>
                  </w:pPr>
                  <w:r>
                    <w:rPr>
                      <w:rFonts w:hint="eastAsia" w:ascii="宋体" w:hAnsi="宋体" w:cs="宋体"/>
                      <w:color w:val="auto"/>
                      <w:spacing w:val="-2"/>
                      <w:szCs w:val="21"/>
                    </w:rPr>
                    <w:t>4</w:t>
                  </w:r>
                </w:p>
              </w:tc>
              <w:tc>
                <w:tcPr>
                  <w:tcW w:w="1135" w:type="pct"/>
                  <w:tcBorders>
                    <w:tl2br w:val="nil"/>
                    <w:tr2bl w:val="nil"/>
                  </w:tcBorders>
                  <w:shd w:val="clear" w:color="auto" w:fill="auto"/>
                  <w:vAlign w:val="center"/>
                </w:tcPr>
                <w:p w14:paraId="765C9B7D">
                  <w:pPr>
                    <w:jc w:val="center"/>
                    <w:rPr>
                      <w:rFonts w:ascii="宋体" w:hAnsi="宋体" w:cs="宋体"/>
                      <w:color w:val="auto"/>
                      <w:spacing w:val="-2"/>
                      <w:szCs w:val="21"/>
                    </w:rPr>
                  </w:pPr>
                  <w:r>
                    <w:rPr>
                      <w:rFonts w:hint="eastAsia" w:ascii="宋体" w:hAnsi="宋体" w:cs="宋体"/>
                      <w:color w:val="auto"/>
                      <w:szCs w:val="21"/>
                    </w:rPr>
                    <w:drawing>
                      <wp:inline distT="0" distB="0" distL="114300" distR="114300">
                        <wp:extent cx="685800" cy="685800"/>
                        <wp:effectExtent l="0" t="0" r="0" b="0"/>
                        <wp:docPr id="78" name="图片 45" descr="说明: mark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5" descr="说明: mark_3"/>
                                <pic:cNvPicPr>
                                  <a:picLocks noChangeAspect="1"/>
                                </pic:cNvPicPr>
                              </pic:nvPicPr>
                              <pic:blipFill>
                                <a:blip r:embed="rId17"/>
                                <a:stretch>
                                  <a:fillRect/>
                                </a:stretch>
                              </pic:blipFill>
                              <pic:spPr>
                                <a:xfrm>
                                  <a:off x="0" y="0"/>
                                  <a:ext cx="685800" cy="685800"/>
                                </a:xfrm>
                                <a:prstGeom prst="rect">
                                  <a:avLst/>
                                </a:prstGeom>
                                <a:noFill/>
                                <a:ln>
                                  <a:noFill/>
                                </a:ln>
                              </pic:spPr>
                            </pic:pic>
                          </a:graphicData>
                        </a:graphic>
                      </wp:inline>
                    </w:drawing>
                  </w:r>
                </w:p>
              </w:tc>
              <w:tc>
                <w:tcPr>
                  <w:tcW w:w="1171" w:type="pct"/>
                  <w:tcBorders>
                    <w:tl2br w:val="nil"/>
                    <w:tr2bl w:val="nil"/>
                  </w:tcBorders>
                  <w:shd w:val="clear" w:color="auto" w:fill="auto"/>
                  <w:vAlign w:val="center"/>
                </w:tcPr>
                <w:p w14:paraId="3E3F2180">
                  <w:pPr>
                    <w:jc w:val="center"/>
                    <w:rPr>
                      <w:rFonts w:ascii="宋体" w:hAnsi="宋体" w:cs="宋体"/>
                      <w:color w:val="auto"/>
                      <w:spacing w:val="-2"/>
                      <w:szCs w:val="21"/>
                    </w:rPr>
                  </w:pPr>
                  <w:r>
                    <w:rPr>
                      <w:rFonts w:hint="eastAsia" w:ascii="宋体" w:hAnsi="宋体" w:cs="宋体"/>
                      <w:color w:val="auto"/>
                      <w:szCs w:val="21"/>
                    </w:rPr>
                    <w:drawing>
                      <wp:inline distT="0" distB="0" distL="114300" distR="114300">
                        <wp:extent cx="838200" cy="742950"/>
                        <wp:effectExtent l="0" t="0" r="0" b="0"/>
                        <wp:docPr id="80" name="图片 46" descr="说明: mark_j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6" descr="说明: mark_j3"/>
                                <pic:cNvPicPr>
                                  <a:picLocks noChangeAspect="1"/>
                                </pic:cNvPicPr>
                              </pic:nvPicPr>
                              <pic:blipFill>
                                <a:blip r:embed="rId18"/>
                                <a:stretch>
                                  <a:fillRect/>
                                </a:stretch>
                              </pic:blipFill>
                              <pic:spPr>
                                <a:xfrm>
                                  <a:off x="0" y="0"/>
                                  <a:ext cx="838200" cy="742950"/>
                                </a:xfrm>
                                <a:prstGeom prst="rect">
                                  <a:avLst/>
                                </a:prstGeom>
                                <a:noFill/>
                                <a:ln>
                                  <a:noFill/>
                                </a:ln>
                              </pic:spPr>
                            </pic:pic>
                          </a:graphicData>
                        </a:graphic>
                      </wp:inline>
                    </w:drawing>
                  </w:r>
                </w:p>
              </w:tc>
              <w:tc>
                <w:tcPr>
                  <w:tcW w:w="1136" w:type="pct"/>
                  <w:tcBorders>
                    <w:tl2br w:val="nil"/>
                    <w:tr2bl w:val="nil"/>
                  </w:tcBorders>
                  <w:shd w:val="clear" w:color="auto" w:fill="auto"/>
                  <w:vAlign w:val="center"/>
                </w:tcPr>
                <w:p w14:paraId="712F0E18">
                  <w:pPr>
                    <w:spacing w:line="360" w:lineRule="exact"/>
                    <w:jc w:val="center"/>
                    <w:rPr>
                      <w:rFonts w:ascii="宋体" w:hAnsi="宋体" w:cs="宋体"/>
                      <w:color w:val="auto"/>
                      <w:spacing w:val="-2"/>
                      <w:szCs w:val="21"/>
                    </w:rPr>
                  </w:pPr>
                  <w:r>
                    <w:rPr>
                      <w:rFonts w:hint="eastAsia" w:ascii="宋体" w:hAnsi="宋体" w:cs="宋体"/>
                      <w:color w:val="auto"/>
                      <w:szCs w:val="21"/>
                      <w:lang w:bidi="ar"/>
                    </w:rPr>
                    <w:t>噪声排放源</w:t>
                  </w:r>
                </w:p>
              </w:tc>
              <w:tc>
                <w:tcPr>
                  <w:tcW w:w="1164" w:type="pct"/>
                  <w:tcBorders>
                    <w:tl2br w:val="nil"/>
                    <w:tr2bl w:val="nil"/>
                  </w:tcBorders>
                  <w:shd w:val="clear" w:color="auto" w:fill="auto"/>
                  <w:vAlign w:val="center"/>
                </w:tcPr>
                <w:p w14:paraId="360719FA">
                  <w:pPr>
                    <w:spacing w:line="360" w:lineRule="exact"/>
                    <w:jc w:val="center"/>
                    <w:rPr>
                      <w:rFonts w:ascii="宋体" w:hAnsi="宋体" w:cs="宋体"/>
                      <w:color w:val="auto"/>
                      <w:spacing w:val="-2"/>
                      <w:szCs w:val="21"/>
                    </w:rPr>
                  </w:pPr>
                  <w:r>
                    <w:rPr>
                      <w:rFonts w:hint="eastAsia" w:ascii="宋体" w:hAnsi="宋体" w:cs="宋体"/>
                      <w:color w:val="auto"/>
                      <w:szCs w:val="21"/>
                      <w:lang w:bidi="ar"/>
                    </w:rPr>
                    <w:t>表示噪声向</w:t>
                  </w:r>
                </w:p>
                <w:p w14:paraId="0970FFA4">
                  <w:pPr>
                    <w:spacing w:line="360" w:lineRule="exact"/>
                    <w:jc w:val="center"/>
                    <w:rPr>
                      <w:rFonts w:ascii="宋体" w:hAnsi="宋体" w:cs="宋体"/>
                      <w:color w:val="auto"/>
                      <w:spacing w:val="-2"/>
                      <w:szCs w:val="21"/>
                    </w:rPr>
                  </w:pPr>
                  <w:r>
                    <w:rPr>
                      <w:rFonts w:hint="eastAsia" w:ascii="宋体" w:hAnsi="宋体" w:cs="宋体"/>
                      <w:color w:val="auto"/>
                      <w:szCs w:val="21"/>
                      <w:lang w:bidi="ar"/>
                    </w:rPr>
                    <w:t>外环境排放</w:t>
                  </w:r>
                </w:p>
              </w:tc>
            </w:tr>
          </w:tbl>
          <w:p w14:paraId="22222BEF">
            <w:pPr>
              <w:pStyle w:val="92"/>
              <w:widowControl/>
              <w:adjustRightInd/>
              <w:snapToGrid/>
              <w:spacing w:before="0" w:line="360" w:lineRule="exact"/>
              <w:rPr>
                <w:rFonts w:ascii="宋体" w:hAnsi="宋体" w:cs="宋体"/>
                <w:color w:val="auto"/>
              </w:rPr>
            </w:pPr>
            <w:r>
              <w:rPr>
                <w:rFonts w:hint="eastAsia" w:ascii="宋体" w:hAnsi="宋体" w:cs="宋体"/>
                <w:color w:val="auto"/>
              </w:rPr>
              <w:t>表4-2</w:t>
            </w:r>
            <w:r>
              <w:rPr>
                <w:rFonts w:hint="eastAsia" w:ascii="宋体" w:hAnsi="宋体" w:cs="宋体"/>
                <w:color w:val="auto"/>
                <w:lang w:val="en-US" w:eastAsia="zh-CN"/>
              </w:rPr>
              <w:t>2</w:t>
            </w:r>
            <w:r>
              <w:rPr>
                <w:rFonts w:hint="eastAsia" w:ascii="宋体" w:hAnsi="宋体" w:cs="宋体"/>
                <w:color w:val="auto"/>
              </w:rPr>
              <w:t xml:space="preserve"> 环境保护图形标志的形状及颜色表</w:t>
            </w:r>
          </w:p>
          <w:tbl>
            <w:tblPr>
              <w:tblStyle w:val="24"/>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2004"/>
              <w:gridCol w:w="2006"/>
              <w:gridCol w:w="2007"/>
            </w:tblGrid>
            <w:tr w14:paraId="55B6A8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49" w:type="pct"/>
                  <w:tcBorders>
                    <w:tl2br w:val="nil"/>
                    <w:tr2bl w:val="nil"/>
                  </w:tcBorders>
                  <w:shd w:val="clear" w:color="auto" w:fill="auto"/>
                  <w:vAlign w:val="center"/>
                </w:tcPr>
                <w:p w14:paraId="6B247800">
                  <w:pPr>
                    <w:spacing w:line="360" w:lineRule="exact"/>
                    <w:jc w:val="center"/>
                    <w:rPr>
                      <w:rFonts w:ascii="宋体" w:hAnsi="宋体" w:cs="宋体"/>
                      <w:color w:val="auto"/>
                      <w:szCs w:val="21"/>
                    </w:rPr>
                  </w:pPr>
                  <w:r>
                    <w:rPr>
                      <w:rFonts w:hint="eastAsia" w:ascii="宋体" w:hAnsi="宋体" w:cs="宋体"/>
                      <w:b/>
                      <w:color w:val="auto"/>
                      <w:szCs w:val="21"/>
                      <w:lang w:bidi="ar"/>
                    </w:rPr>
                    <w:t>标志名称</w:t>
                  </w:r>
                </w:p>
              </w:tc>
              <w:tc>
                <w:tcPr>
                  <w:tcW w:w="1249" w:type="pct"/>
                  <w:tcBorders>
                    <w:tl2br w:val="nil"/>
                    <w:tr2bl w:val="nil"/>
                  </w:tcBorders>
                  <w:shd w:val="clear" w:color="auto" w:fill="auto"/>
                  <w:vAlign w:val="center"/>
                </w:tcPr>
                <w:p w14:paraId="71F169EF">
                  <w:pPr>
                    <w:spacing w:line="360" w:lineRule="exact"/>
                    <w:jc w:val="center"/>
                    <w:rPr>
                      <w:rFonts w:ascii="宋体" w:hAnsi="宋体" w:cs="宋体"/>
                      <w:b/>
                      <w:color w:val="auto"/>
                      <w:szCs w:val="21"/>
                    </w:rPr>
                  </w:pPr>
                  <w:r>
                    <w:rPr>
                      <w:rFonts w:hint="eastAsia" w:ascii="宋体" w:hAnsi="宋体" w:cs="宋体"/>
                      <w:b/>
                      <w:color w:val="auto"/>
                      <w:szCs w:val="21"/>
                      <w:lang w:bidi="ar"/>
                    </w:rPr>
                    <w:t>形 状</w:t>
                  </w:r>
                </w:p>
              </w:tc>
              <w:tc>
                <w:tcPr>
                  <w:tcW w:w="1250" w:type="pct"/>
                  <w:tcBorders>
                    <w:tl2br w:val="nil"/>
                    <w:tr2bl w:val="nil"/>
                  </w:tcBorders>
                  <w:shd w:val="clear" w:color="auto" w:fill="auto"/>
                  <w:vAlign w:val="center"/>
                </w:tcPr>
                <w:p w14:paraId="6F20FFE3">
                  <w:pPr>
                    <w:spacing w:line="360" w:lineRule="exact"/>
                    <w:jc w:val="center"/>
                    <w:rPr>
                      <w:rFonts w:ascii="宋体" w:hAnsi="宋体" w:cs="宋体"/>
                      <w:b/>
                      <w:color w:val="auto"/>
                      <w:szCs w:val="21"/>
                    </w:rPr>
                  </w:pPr>
                  <w:r>
                    <w:rPr>
                      <w:rFonts w:hint="eastAsia" w:ascii="宋体" w:hAnsi="宋体" w:cs="宋体"/>
                      <w:b/>
                      <w:color w:val="auto"/>
                      <w:szCs w:val="21"/>
                      <w:lang w:bidi="ar"/>
                    </w:rPr>
                    <w:t>背景颜色</w:t>
                  </w:r>
                </w:p>
              </w:tc>
              <w:tc>
                <w:tcPr>
                  <w:tcW w:w="1250" w:type="pct"/>
                  <w:tcBorders>
                    <w:tl2br w:val="nil"/>
                    <w:tr2bl w:val="nil"/>
                  </w:tcBorders>
                  <w:shd w:val="clear" w:color="auto" w:fill="auto"/>
                  <w:vAlign w:val="center"/>
                </w:tcPr>
                <w:p w14:paraId="430AF94C">
                  <w:pPr>
                    <w:spacing w:line="360" w:lineRule="exact"/>
                    <w:jc w:val="center"/>
                    <w:rPr>
                      <w:rFonts w:ascii="宋体" w:hAnsi="宋体" w:cs="宋体"/>
                      <w:b/>
                      <w:color w:val="auto"/>
                      <w:szCs w:val="21"/>
                    </w:rPr>
                  </w:pPr>
                  <w:r>
                    <w:rPr>
                      <w:rFonts w:hint="eastAsia" w:ascii="宋体" w:hAnsi="宋体" w:cs="宋体"/>
                      <w:b/>
                      <w:color w:val="auto"/>
                      <w:szCs w:val="21"/>
                      <w:lang w:bidi="ar"/>
                    </w:rPr>
                    <w:t>图形颜色</w:t>
                  </w:r>
                </w:p>
              </w:tc>
            </w:tr>
            <w:tr w14:paraId="093514B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49" w:type="pct"/>
                  <w:tcBorders>
                    <w:tl2br w:val="nil"/>
                    <w:tr2bl w:val="nil"/>
                  </w:tcBorders>
                  <w:shd w:val="clear" w:color="auto" w:fill="auto"/>
                  <w:vAlign w:val="center"/>
                </w:tcPr>
                <w:p w14:paraId="408C4C36">
                  <w:pPr>
                    <w:spacing w:line="360" w:lineRule="exact"/>
                    <w:jc w:val="center"/>
                    <w:rPr>
                      <w:rFonts w:ascii="宋体" w:hAnsi="宋体" w:cs="宋体"/>
                      <w:color w:val="auto"/>
                      <w:szCs w:val="21"/>
                    </w:rPr>
                  </w:pPr>
                  <w:r>
                    <w:rPr>
                      <w:rFonts w:hint="eastAsia" w:ascii="宋体" w:hAnsi="宋体" w:cs="宋体"/>
                      <w:color w:val="auto"/>
                      <w:szCs w:val="21"/>
                      <w:lang w:bidi="ar"/>
                    </w:rPr>
                    <w:t>警告标志</w:t>
                  </w:r>
                </w:p>
              </w:tc>
              <w:tc>
                <w:tcPr>
                  <w:tcW w:w="1249" w:type="pct"/>
                  <w:tcBorders>
                    <w:tl2br w:val="nil"/>
                    <w:tr2bl w:val="nil"/>
                  </w:tcBorders>
                  <w:shd w:val="clear" w:color="auto" w:fill="auto"/>
                  <w:vAlign w:val="center"/>
                </w:tcPr>
                <w:p w14:paraId="0BB7BE53">
                  <w:pPr>
                    <w:spacing w:line="360" w:lineRule="exact"/>
                    <w:jc w:val="center"/>
                    <w:rPr>
                      <w:rFonts w:ascii="宋体" w:hAnsi="宋体" w:cs="宋体"/>
                      <w:color w:val="auto"/>
                      <w:szCs w:val="21"/>
                    </w:rPr>
                  </w:pPr>
                  <w:r>
                    <w:rPr>
                      <w:rFonts w:hint="eastAsia" w:ascii="宋体" w:hAnsi="宋体" w:cs="宋体"/>
                      <w:color w:val="auto"/>
                      <w:szCs w:val="21"/>
                      <w:lang w:bidi="ar"/>
                    </w:rPr>
                    <w:t>三角形边框</w:t>
                  </w:r>
                </w:p>
              </w:tc>
              <w:tc>
                <w:tcPr>
                  <w:tcW w:w="1250" w:type="pct"/>
                  <w:tcBorders>
                    <w:tl2br w:val="nil"/>
                    <w:tr2bl w:val="nil"/>
                  </w:tcBorders>
                  <w:shd w:val="clear" w:color="auto" w:fill="auto"/>
                  <w:vAlign w:val="center"/>
                </w:tcPr>
                <w:p w14:paraId="1B91DC7F">
                  <w:pPr>
                    <w:spacing w:line="360" w:lineRule="exact"/>
                    <w:jc w:val="center"/>
                    <w:rPr>
                      <w:rFonts w:ascii="宋体" w:hAnsi="宋体" w:cs="宋体"/>
                      <w:color w:val="auto"/>
                      <w:szCs w:val="21"/>
                    </w:rPr>
                  </w:pPr>
                  <w:r>
                    <w:rPr>
                      <w:rFonts w:hint="eastAsia" w:ascii="宋体" w:hAnsi="宋体" w:cs="宋体"/>
                      <w:color w:val="auto"/>
                      <w:szCs w:val="21"/>
                      <w:lang w:bidi="ar"/>
                    </w:rPr>
                    <w:t>黄色</w:t>
                  </w:r>
                </w:p>
              </w:tc>
              <w:tc>
                <w:tcPr>
                  <w:tcW w:w="1250" w:type="pct"/>
                  <w:tcBorders>
                    <w:tl2br w:val="nil"/>
                    <w:tr2bl w:val="nil"/>
                  </w:tcBorders>
                  <w:shd w:val="clear" w:color="auto" w:fill="auto"/>
                  <w:vAlign w:val="center"/>
                </w:tcPr>
                <w:p w14:paraId="4CA3AAF1">
                  <w:pPr>
                    <w:spacing w:line="360" w:lineRule="exact"/>
                    <w:jc w:val="center"/>
                    <w:rPr>
                      <w:rFonts w:ascii="宋体" w:hAnsi="宋体" w:cs="宋体"/>
                      <w:color w:val="auto"/>
                      <w:szCs w:val="21"/>
                    </w:rPr>
                  </w:pPr>
                  <w:r>
                    <w:rPr>
                      <w:rFonts w:hint="eastAsia" w:ascii="宋体" w:hAnsi="宋体" w:cs="宋体"/>
                      <w:color w:val="auto"/>
                      <w:szCs w:val="21"/>
                      <w:lang w:bidi="ar"/>
                    </w:rPr>
                    <w:t>黑色</w:t>
                  </w:r>
                </w:p>
              </w:tc>
            </w:tr>
            <w:tr w14:paraId="4CFABC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249" w:type="pct"/>
                  <w:tcBorders>
                    <w:tl2br w:val="nil"/>
                    <w:tr2bl w:val="nil"/>
                  </w:tcBorders>
                  <w:shd w:val="clear" w:color="auto" w:fill="auto"/>
                  <w:vAlign w:val="center"/>
                </w:tcPr>
                <w:p w14:paraId="108C4E01">
                  <w:pPr>
                    <w:spacing w:line="360" w:lineRule="exact"/>
                    <w:jc w:val="center"/>
                    <w:rPr>
                      <w:rFonts w:ascii="宋体" w:hAnsi="宋体" w:cs="宋体"/>
                      <w:color w:val="auto"/>
                      <w:szCs w:val="21"/>
                    </w:rPr>
                  </w:pPr>
                  <w:r>
                    <w:rPr>
                      <w:rFonts w:hint="eastAsia" w:ascii="宋体" w:hAnsi="宋体" w:cs="宋体"/>
                      <w:color w:val="auto"/>
                      <w:szCs w:val="21"/>
                      <w:lang w:bidi="ar"/>
                    </w:rPr>
                    <w:t>提示标志</w:t>
                  </w:r>
                </w:p>
              </w:tc>
              <w:tc>
                <w:tcPr>
                  <w:tcW w:w="1249" w:type="pct"/>
                  <w:tcBorders>
                    <w:tl2br w:val="nil"/>
                    <w:tr2bl w:val="nil"/>
                  </w:tcBorders>
                  <w:shd w:val="clear" w:color="auto" w:fill="auto"/>
                  <w:vAlign w:val="center"/>
                </w:tcPr>
                <w:p w14:paraId="3E7D33B5">
                  <w:pPr>
                    <w:spacing w:line="360" w:lineRule="exact"/>
                    <w:jc w:val="center"/>
                    <w:rPr>
                      <w:rFonts w:ascii="宋体" w:hAnsi="宋体" w:cs="宋体"/>
                      <w:color w:val="auto"/>
                      <w:szCs w:val="21"/>
                    </w:rPr>
                  </w:pPr>
                  <w:r>
                    <w:rPr>
                      <w:rFonts w:hint="eastAsia" w:ascii="宋体" w:hAnsi="宋体" w:cs="宋体"/>
                      <w:color w:val="auto"/>
                      <w:szCs w:val="21"/>
                      <w:lang w:bidi="ar"/>
                    </w:rPr>
                    <w:t>正方形边框</w:t>
                  </w:r>
                </w:p>
              </w:tc>
              <w:tc>
                <w:tcPr>
                  <w:tcW w:w="1250" w:type="pct"/>
                  <w:tcBorders>
                    <w:tl2br w:val="nil"/>
                    <w:tr2bl w:val="nil"/>
                  </w:tcBorders>
                  <w:shd w:val="clear" w:color="auto" w:fill="auto"/>
                  <w:vAlign w:val="center"/>
                </w:tcPr>
                <w:p w14:paraId="1B0BEE39">
                  <w:pPr>
                    <w:spacing w:line="360" w:lineRule="exact"/>
                    <w:jc w:val="center"/>
                    <w:rPr>
                      <w:rFonts w:ascii="宋体" w:hAnsi="宋体" w:cs="宋体"/>
                      <w:color w:val="auto"/>
                      <w:szCs w:val="21"/>
                    </w:rPr>
                  </w:pPr>
                  <w:r>
                    <w:rPr>
                      <w:rFonts w:hint="eastAsia" w:ascii="宋体" w:hAnsi="宋体" w:cs="宋体"/>
                      <w:color w:val="auto"/>
                      <w:szCs w:val="21"/>
                      <w:lang w:bidi="ar"/>
                    </w:rPr>
                    <w:t>绿色</w:t>
                  </w:r>
                </w:p>
              </w:tc>
              <w:tc>
                <w:tcPr>
                  <w:tcW w:w="1250" w:type="pct"/>
                  <w:tcBorders>
                    <w:tl2br w:val="nil"/>
                    <w:tr2bl w:val="nil"/>
                  </w:tcBorders>
                  <w:shd w:val="clear" w:color="auto" w:fill="auto"/>
                  <w:vAlign w:val="center"/>
                </w:tcPr>
                <w:p w14:paraId="602AF0E3">
                  <w:pPr>
                    <w:spacing w:line="360" w:lineRule="exact"/>
                    <w:jc w:val="center"/>
                    <w:rPr>
                      <w:rFonts w:ascii="宋体" w:hAnsi="宋体" w:cs="宋体"/>
                      <w:color w:val="auto"/>
                      <w:szCs w:val="21"/>
                    </w:rPr>
                  </w:pPr>
                  <w:r>
                    <w:rPr>
                      <w:rFonts w:hint="eastAsia" w:ascii="宋体" w:hAnsi="宋体" w:cs="宋体"/>
                      <w:color w:val="auto"/>
                      <w:szCs w:val="21"/>
                      <w:lang w:bidi="ar"/>
                    </w:rPr>
                    <w:t>白色</w:t>
                  </w:r>
                </w:p>
              </w:tc>
            </w:tr>
          </w:tbl>
          <w:p w14:paraId="3AA56A96">
            <w:pPr>
              <w:pStyle w:val="19"/>
              <w:widowControl w:val="0"/>
              <w:adjustRightInd w:val="0"/>
              <w:snapToGrid w:val="0"/>
              <w:spacing w:before="0" w:beforeAutospacing="0" w:after="0" w:afterAutospacing="0" w:line="360" w:lineRule="auto"/>
              <w:ind w:firstLine="480"/>
              <w:jc w:val="both"/>
              <w:rPr>
                <w:rFonts w:ascii="Times New Roman" w:hAnsi="Times New Roman"/>
                <w:b/>
                <w:bCs/>
                <w:color w:val="auto"/>
                <w:szCs w:val="24"/>
              </w:rPr>
            </w:pPr>
            <w:r>
              <w:rPr>
                <w:rFonts w:ascii="Times New Roman" w:hAnsi="Times New Roman"/>
                <w:b/>
                <w:bCs/>
                <w:color w:val="auto"/>
                <w:kern w:val="2"/>
                <w:szCs w:val="24"/>
                <w:lang w:bidi="ar"/>
              </w:rPr>
              <w:t>7.4监测管理</w:t>
            </w:r>
          </w:p>
          <w:p w14:paraId="57473EE8">
            <w:pPr>
              <w:adjustRightInd w:val="0"/>
              <w:snapToGrid w:val="0"/>
              <w:spacing w:line="360" w:lineRule="auto"/>
              <w:ind w:firstLine="480" w:firstLineChars="200"/>
              <w:rPr>
                <w:color w:val="auto"/>
                <w:sz w:val="24"/>
              </w:rPr>
            </w:pPr>
            <w:r>
              <w:rPr>
                <w:color w:val="auto"/>
                <w:sz w:val="24"/>
                <w:lang w:bidi="ar"/>
              </w:rPr>
              <w:t>排污单位对其自行监测结果及信息公开内容的真实性、准确性、完整性负责。排污单位应积极配合并接受生态环境局的日常监督管理。</w:t>
            </w:r>
          </w:p>
          <w:p w14:paraId="554C557C">
            <w:pPr>
              <w:adjustRightInd w:val="0"/>
              <w:snapToGrid w:val="0"/>
              <w:spacing w:line="360" w:lineRule="auto"/>
              <w:ind w:firstLine="482" w:firstLineChars="200"/>
              <w:rPr>
                <w:b/>
                <w:bCs/>
                <w:color w:val="auto"/>
                <w:sz w:val="24"/>
              </w:rPr>
            </w:pPr>
            <w:r>
              <w:rPr>
                <w:b/>
                <w:color w:val="auto"/>
                <w:sz w:val="24"/>
              </w:rPr>
              <w:t>8</w:t>
            </w:r>
            <w:r>
              <w:rPr>
                <w:b/>
                <w:bCs/>
                <w:color w:val="auto"/>
                <w:sz w:val="24"/>
              </w:rPr>
              <w:t>、环保投资</w:t>
            </w:r>
          </w:p>
          <w:p w14:paraId="7708AB53">
            <w:pPr>
              <w:adjustRightInd w:val="0"/>
              <w:snapToGrid w:val="0"/>
              <w:spacing w:line="360" w:lineRule="auto"/>
              <w:ind w:firstLine="480" w:firstLineChars="200"/>
              <w:rPr>
                <w:color w:val="auto"/>
                <w:sz w:val="24"/>
              </w:rPr>
            </w:pPr>
            <w:r>
              <w:rPr>
                <w:color w:val="auto"/>
                <w:sz w:val="24"/>
              </w:rPr>
              <w:t>本项目总投资约</w:t>
            </w:r>
            <w:r>
              <w:rPr>
                <w:rFonts w:hint="eastAsia"/>
                <w:color w:val="auto"/>
                <w:sz w:val="24"/>
              </w:rPr>
              <w:t>3500</w:t>
            </w:r>
            <w:r>
              <w:rPr>
                <w:color w:val="auto"/>
                <w:sz w:val="24"/>
              </w:rPr>
              <w:t>万元，环保投资</w:t>
            </w:r>
            <w:r>
              <w:rPr>
                <w:rFonts w:hint="eastAsia"/>
                <w:color w:val="auto"/>
                <w:sz w:val="24"/>
              </w:rPr>
              <w:t>133</w:t>
            </w:r>
            <w:r>
              <w:rPr>
                <w:color w:val="auto"/>
                <w:sz w:val="24"/>
              </w:rPr>
              <w:t>万元，占总投资费用的</w:t>
            </w:r>
            <w:r>
              <w:rPr>
                <w:rFonts w:hint="eastAsia"/>
                <w:color w:val="auto"/>
                <w:sz w:val="24"/>
              </w:rPr>
              <w:t>3.8</w:t>
            </w:r>
            <w:r>
              <w:rPr>
                <w:color w:val="auto"/>
                <w:sz w:val="24"/>
              </w:rPr>
              <w:t>%。项目环保投资情况见表</w:t>
            </w:r>
            <w:r>
              <w:rPr>
                <w:rFonts w:hint="eastAsia"/>
                <w:color w:val="auto"/>
                <w:sz w:val="24"/>
              </w:rPr>
              <w:t>4-2</w:t>
            </w:r>
            <w:r>
              <w:rPr>
                <w:rFonts w:hint="eastAsia"/>
                <w:color w:val="auto"/>
                <w:sz w:val="24"/>
                <w:lang w:val="en-US" w:eastAsia="zh-CN"/>
              </w:rPr>
              <w:t>3</w:t>
            </w:r>
            <w:r>
              <w:rPr>
                <w:color w:val="auto"/>
                <w:sz w:val="24"/>
              </w:rPr>
              <w:t>。</w:t>
            </w:r>
          </w:p>
          <w:p w14:paraId="10BFED5F">
            <w:pPr>
              <w:adjustRightInd w:val="0"/>
              <w:snapToGrid w:val="0"/>
              <w:spacing w:line="360" w:lineRule="auto"/>
              <w:jc w:val="center"/>
              <w:rPr>
                <w:b/>
                <w:color w:val="auto"/>
              </w:rPr>
            </w:pPr>
            <w:r>
              <w:rPr>
                <w:b/>
                <w:color w:val="auto"/>
              </w:rPr>
              <w:t>表4-</w:t>
            </w:r>
            <w:r>
              <w:rPr>
                <w:rFonts w:hint="eastAsia"/>
                <w:b/>
                <w:color w:val="auto"/>
              </w:rPr>
              <w:t>2</w:t>
            </w:r>
            <w:r>
              <w:rPr>
                <w:rFonts w:hint="eastAsia"/>
                <w:b/>
                <w:color w:val="auto"/>
                <w:lang w:val="en-US" w:eastAsia="zh-CN"/>
              </w:rPr>
              <w:t>3</w:t>
            </w:r>
            <w:r>
              <w:rPr>
                <w:b/>
                <w:color w:val="auto"/>
              </w:rPr>
              <w:t xml:space="preserve">   项目环保投资估算一览表</w:t>
            </w:r>
          </w:p>
          <w:tbl>
            <w:tblPr>
              <w:tblStyle w:val="24"/>
              <w:tblW w:w="4998" w:type="pct"/>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57"/>
              <w:gridCol w:w="738"/>
              <w:gridCol w:w="948"/>
              <w:gridCol w:w="4093"/>
              <w:gridCol w:w="1485"/>
            </w:tblGrid>
            <w:tr w14:paraId="7B511B2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60" w:hRule="atLeast"/>
                <w:jc w:val="center"/>
              </w:trPr>
              <w:tc>
                <w:tcPr>
                  <w:tcW w:w="472" w:type="pct"/>
                  <w:tcBorders>
                    <w:tl2br w:val="nil"/>
                    <w:tr2bl w:val="nil"/>
                  </w:tcBorders>
                  <w:vAlign w:val="center"/>
                </w:tcPr>
                <w:p w14:paraId="1DBC9488">
                  <w:pPr>
                    <w:adjustRightInd w:val="0"/>
                    <w:snapToGrid w:val="0"/>
                    <w:spacing w:line="320" w:lineRule="exact"/>
                    <w:jc w:val="center"/>
                    <w:textAlignment w:val="baseline"/>
                    <w:rPr>
                      <w:color w:val="auto"/>
                      <w:szCs w:val="21"/>
                    </w:rPr>
                  </w:pPr>
                  <w:r>
                    <w:rPr>
                      <w:color w:val="auto"/>
                      <w:szCs w:val="21"/>
                    </w:rPr>
                    <w:t>阶段</w:t>
                  </w:r>
                </w:p>
              </w:tc>
              <w:tc>
                <w:tcPr>
                  <w:tcW w:w="1051" w:type="pct"/>
                  <w:gridSpan w:val="2"/>
                  <w:tcBorders>
                    <w:tl2br w:val="nil"/>
                    <w:tr2bl w:val="nil"/>
                  </w:tcBorders>
                  <w:shd w:val="clear" w:color="auto" w:fill="auto"/>
                  <w:vAlign w:val="center"/>
                </w:tcPr>
                <w:p w14:paraId="04F63F09">
                  <w:pPr>
                    <w:adjustRightInd w:val="0"/>
                    <w:snapToGrid w:val="0"/>
                    <w:spacing w:line="320" w:lineRule="exact"/>
                    <w:jc w:val="center"/>
                    <w:textAlignment w:val="baseline"/>
                    <w:rPr>
                      <w:color w:val="auto"/>
                      <w:szCs w:val="21"/>
                    </w:rPr>
                  </w:pPr>
                  <w:r>
                    <w:rPr>
                      <w:color w:val="auto"/>
                      <w:szCs w:val="21"/>
                    </w:rPr>
                    <w:t>项目名称</w:t>
                  </w:r>
                </w:p>
              </w:tc>
              <w:tc>
                <w:tcPr>
                  <w:tcW w:w="2549" w:type="pct"/>
                  <w:tcBorders>
                    <w:tl2br w:val="nil"/>
                    <w:tr2bl w:val="nil"/>
                  </w:tcBorders>
                  <w:shd w:val="clear" w:color="auto" w:fill="auto"/>
                  <w:vAlign w:val="center"/>
                </w:tcPr>
                <w:p w14:paraId="2393E6EE">
                  <w:pPr>
                    <w:adjustRightInd w:val="0"/>
                    <w:snapToGrid w:val="0"/>
                    <w:spacing w:line="320" w:lineRule="exact"/>
                    <w:jc w:val="center"/>
                    <w:textAlignment w:val="baseline"/>
                    <w:rPr>
                      <w:color w:val="auto"/>
                      <w:szCs w:val="21"/>
                    </w:rPr>
                  </w:pPr>
                  <w:r>
                    <w:rPr>
                      <w:color w:val="auto"/>
                      <w:szCs w:val="21"/>
                    </w:rPr>
                    <w:t>环保措施</w:t>
                  </w:r>
                </w:p>
              </w:tc>
              <w:tc>
                <w:tcPr>
                  <w:tcW w:w="925" w:type="pct"/>
                  <w:tcBorders>
                    <w:tl2br w:val="nil"/>
                    <w:tr2bl w:val="nil"/>
                  </w:tcBorders>
                  <w:shd w:val="clear" w:color="auto" w:fill="auto"/>
                  <w:vAlign w:val="center"/>
                </w:tcPr>
                <w:p w14:paraId="4891C02D">
                  <w:pPr>
                    <w:adjustRightInd w:val="0"/>
                    <w:snapToGrid w:val="0"/>
                    <w:spacing w:line="320" w:lineRule="exact"/>
                    <w:jc w:val="center"/>
                    <w:textAlignment w:val="baseline"/>
                    <w:rPr>
                      <w:color w:val="auto"/>
                      <w:szCs w:val="21"/>
                    </w:rPr>
                  </w:pPr>
                  <w:r>
                    <w:rPr>
                      <w:color w:val="auto"/>
                      <w:szCs w:val="21"/>
                    </w:rPr>
                    <w:t>环保投资</w:t>
                  </w:r>
                </w:p>
                <w:p w14:paraId="4F7A0ABE">
                  <w:pPr>
                    <w:adjustRightInd w:val="0"/>
                    <w:snapToGrid w:val="0"/>
                    <w:spacing w:line="320" w:lineRule="exact"/>
                    <w:jc w:val="center"/>
                    <w:textAlignment w:val="baseline"/>
                    <w:rPr>
                      <w:color w:val="auto"/>
                      <w:szCs w:val="21"/>
                    </w:rPr>
                  </w:pPr>
                  <w:r>
                    <w:rPr>
                      <w:color w:val="auto"/>
                      <w:szCs w:val="21"/>
                    </w:rPr>
                    <w:t>（万元）</w:t>
                  </w:r>
                </w:p>
              </w:tc>
            </w:tr>
            <w:tr w14:paraId="73458B73">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472" w:type="pct"/>
                  <w:vMerge w:val="restart"/>
                  <w:tcBorders>
                    <w:tl2br w:val="nil"/>
                    <w:tr2bl w:val="nil"/>
                  </w:tcBorders>
                  <w:vAlign w:val="center"/>
                </w:tcPr>
                <w:p w14:paraId="7B07DCE8">
                  <w:pPr>
                    <w:adjustRightInd w:val="0"/>
                    <w:snapToGrid w:val="0"/>
                    <w:spacing w:line="320" w:lineRule="exact"/>
                    <w:jc w:val="center"/>
                    <w:textAlignment w:val="baseline"/>
                    <w:rPr>
                      <w:color w:val="auto"/>
                      <w:szCs w:val="21"/>
                    </w:rPr>
                  </w:pPr>
                  <w:r>
                    <w:rPr>
                      <w:color w:val="auto"/>
                      <w:szCs w:val="21"/>
                    </w:rPr>
                    <w:t>施工期</w:t>
                  </w:r>
                </w:p>
              </w:tc>
              <w:tc>
                <w:tcPr>
                  <w:tcW w:w="460" w:type="pct"/>
                  <w:tcBorders>
                    <w:tl2br w:val="nil"/>
                    <w:tr2bl w:val="nil"/>
                  </w:tcBorders>
                  <w:shd w:val="clear" w:color="auto" w:fill="auto"/>
                  <w:vAlign w:val="center"/>
                </w:tcPr>
                <w:p w14:paraId="1488F991">
                  <w:pPr>
                    <w:snapToGrid w:val="0"/>
                    <w:spacing w:line="240" w:lineRule="atLeast"/>
                    <w:jc w:val="center"/>
                    <w:rPr>
                      <w:color w:val="auto"/>
                      <w:szCs w:val="21"/>
                    </w:rPr>
                  </w:pPr>
                  <w:r>
                    <w:rPr>
                      <w:color w:val="auto"/>
                      <w:szCs w:val="21"/>
                    </w:rPr>
                    <w:t>废气</w:t>
                  </w:r>
                </w:p>
              </w:tc>
              <w:tc>
                <w:tcPr>
                  <w:tcW w:w="591" w:type="pct"/>
                  <w:tcBorders>
                    <w:tl2br w:val="nil"/>
                    <w:tr2bl w:val="nil"/>
                  </w:tcBorders>
                  <w:shd w:val="clear" w:color="auto" w:fill="auto"/>
                  <w:vAlign w:val="center"/>
                </w:tcPr>
                <w:p w14:paraId="7447EA63">
                  <w:pPr>
                    <w:snapToGrid w:val="0"/>
                    <w:spacing w:line="240" w:lineRule="atLeast"/>
                    <w:jc w:val="center"/>
                    <w:rPr>
                      <w:color w:val="auto"/>
                      <w:szCs w:val="21"/>
                    </w:rPr>
                  </w:pPr>
                  <w:r>
                    <w:rPr>
                      <w:color w:val="auto"/>
                      <w:szCs w:val="21"/>
                    </w:rPr>
                    <w:t>施工过程</w:t>
                  </w:r>
                </w:p>
              </w:tc>
              <w:tc>
                <w:tcPr>
                  <w:tcW w:w="2549" w:type="pct"/>
                  <w:tcBorders>
                    <w:tl2br w:val="nil"/>
                    <w:tr2bl w:val="nil"/>
                  </w:tcBorders>
                  <w:vAlign w:val="center"/>
                </w:tcPr>
                <w:p w14:paraId="56A5527C">
                  <w:pPr>
                    <w:snapToGrid w:val="0"/>
                    <w:spacing w:line="240" w:lineRule="atLeast"/>
                    <w:jc w:val="center"/>
                    <w:rPr>
                      <w:color w:val="auto"/>
                      <w:szCs w:val="21"/>
                    </w:rPr>
                  </w:pPr>
                  <w:r>
                    <w:rPr>
                      <w:color w:val="auto"/>
                      <w:szCs w:val="21"/>
                    </w:rPr>
                    <w:t>场地围栏、洒水降尘、堆场遮盖等</w:t>
                  </w:r>
                </w:p>
              </w:tc>
              <w:tc>
                <w:tcPr>
                  <w:tcW w:w="925" w:type="pct"/>
                  <w:tcBorders>
                    <w:tl2br w:val="nil"/>
                    <w:tr2bl w:val="nil"/>
                  </w:tcBorders>
                  <w:vAlign w:val="center"/>
                </w:tcPr>
                <w:p w14:paraId="6831B328">
                  <w:pPr>
                    <w:snapToGrid w:val="0"/>
                    <w:spacing w:line="240" w:lineRule="atLeast"/>
                    <w:jc w:val="center"/>
                    <w:rPr>
                      <w:color w:val="auto"/>
                      <w:szCs w:val="21"/>
                    </w:rPr>
                  </w:pPr>
                  <w:r>
                    <w:rPr>
                      <w:rFonts w:hint="eastAsia"/>
                      <w:color w:val="auto"/>
                      <w:szCs w:val="21"/>
                    </w:rPr>
                    <w:t>5</w:t>
                  </w:r>
                </w:p>
              </w:tc>
            </w:tr>
            <w:tr w14:paraId="79523E19">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472" w:type="pct"/>
                  <w:vMerge w:val="continue"/>
                  <w:tcBorders>
                    <w:tl2br w:val="nil"/>
                    <w:tr2bl w:val="nil"/>
                  </w:tcBorders>
                  <w:vAlign w:val="center"/>
                </w:tcPr>
                <w:p w14:paraId="6A0D04B8">
                  <w:pPr>
                    <w:adjustRightInd w:val="0"/>
                    <w:snapToGrid w:val="0"/>
                    <w:spacing w:line="320" w:lineRule="exact"/>
                    <w:jc w:val="center"/>
                    <w:textAlignment w:val="baseline"/>
                    <w:rPr>
                      <w:color w:val="auto"/>
                      <w:szCs w:val="21"/>
                    </w:rPr>
                  </w:pPr>
                </w:p>
              </w:tc>
              <w:tc>
                <w:tcPr>
                  <w:tcW w:w="460" w:type="pct"/>
                  <w:tcBorders>
                    <w:tl2br w:val="nil"/>
                    <w:tr2bl w:val="nil"/>
                  </w:tcBorders>
                  <w:shd w:val="clear" w:color="auto" w:fill="auto"/>
                  <w:vAlign w:val="center"/>
                </w:tcPr>
                <w:p w14:paraId="4F109F93">
                  <w:pPr>
                    <w:snapToGrid w:val="0"/>
                    <w:spacing w:line="240" w:lineRule="atLeast"/>
                    <w:jc w:val="center"/>
                    <w:rPr>
                      <w:color w:val="auto"/>
                      <w:szCs w:val="21"/>
                    </w:rPr>
                  </w:pPr>
                  <w:r>
                    <w:rPr>
                      <w:color w:val="auto"/>
                      <w:szCs w:val="21"/>
                    </w:rPr>
                    <w:t>废水</w:t>
                  </w:r>
                </w:p>
              </w:tc>
              <w:tc>
                <w:tcPr>
                  <w:tcW w:w="591" w:type="pct"/>
                  <w:tcBorders>
                    <w:tl2br w:val="nil"/>
                    <w:tr2bl w:val="nil"/>
                  </w:tcBorders>
                  <w:shd w:val="clear" w:color="auto" w:fill="auto"/>
                  <w:vAlign w:val="center"/>
                </w:tcPr>
                <w:p w14:paraId="536A09A5">
                  <w:pPr>
                    <w:snapToGrid w:val="0"/>
                    <w:spacing w:line="240" w:lineRule="atLeast"/>
                    <w:jc w:val="center"/>
                    <w:rPr>
                      <w:color w:val="auto"/>
                      <w:szCs w:val="21"/>
                    </w:rPr>
                  </w:pPr>
                  <w:r>
                    <w:rPr>
                      <w:color w:val="auto"/>
                      <w:szCs w:val="21"/>
                    </w:rPr>
                    <w:t>施工过程</w:t>
                  </w:r>
                </w:p>
              </w:tc>
              <w:tc>
                <w:tcPr>
                  <w:tcW w:w="2549" w:type="pct"/>
                  <w:tcBorders>
                    <w:tl2br w:val="nil"/>
                    <w:tr2bl w:val="nil"/>
                  </w:tcBorders>
                  <w:vAlign w:val="center"/>
                </w:tcPr>
                <w:p w14:paraId="173100D7">
                  <w:pPr>
                    <w:snapToGrid w:val="0"/>
                    <w:spacing w:line="240" w:lineRule="atLeast"/>
                    <w:jc w:val="center"/>
                    <w:rPr>
                      <w:color w:val="auto"/>
                      <w:szCs w:val="21"/>
                    </w:rPr>
                  </w:pPr>
                  <w:r>
                    <w:rPr>
                      <w:color w:val="auto"/>
                      <w:szCs w:val="21"/>
                    </w:rPr>
                    <w:t>生活污水</w:t>
                  </w:r>
                  <w:r>
                    <w:rPr>
                      <w:color w:val="auto"/>
                      <w:kern w:val="0"/>
                      <w:szCs w:val="21"/>
                    </w:rPr>
                    <w:t>经</w:t>
                  </w:r>
                  <w:r>
                    <w:rPr>
                      <w:rFonts w:hint="eastAsia"/>
                      <w:color w:val="auto"/>
                      <w:kern w:val="0"/>
                      <w:szCs w:val="21"/>
                    </w:rPr>
                    <w:t>管道排至园区污水处理厂</w:t>
                  </w:r>
                </w:p>
              </w:tc>
              <w:tc>
                <w:tcPr>
                  <w:tcW w:w="925" w:type="pct"/>
                  <w:tcBorders>
                    <w:tl2br w:val="nil"/>
                    <w:tr2bl w:val="nil"/>
                  </w:tcBorders>
                  <w:vAlign w:val="center"/>
                </w:tcPr>
                <w:p w14:paraId="64C99E09">
                  <w:pPr>
                    <w:snapToGrid w:val="0"/>
                    <w:spacing w:line="240" w:lineRule="atLeast"/>
                    <w:jc w:val="center"/>
                    <w:rPr>
                      <w:color w:val="auto"/>
                      <w:szCs w:val="21"/>
                    </w:rPr>
                  </w:pPr>
                  <w:r>
                    <w:rPr>
                      <w:rFonts w:hint="eastAsia"/>
                      <w:color w:val="auto"/>
                      <w:szCs w:val="21"/>
                    </w:rPr>
                    <w:t>2</w:t>
                  </w:r>
                </w:p>
              </w:tc>
            </w:tr>
            <w:tr w14:paraId="36F7D26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472" w:type="pct"/>
                  <w:vMerge w:val="continue"/>
                  <w:tcBorders>
                    <w:tl2br w:val="nil"/>
                    <w:tr2bl w:val="nil"/>
                  </w:tcBorders>
                  <w:vAlign w:val="center"/>
                </w:tcPr>
                <w:p w14:paraId="5B56C0A0">
                  <w:pPr>
                    <w:adjustRightInd w:val="0"/>
                    <w:snapToGrid w:val="0"/>
                    <w:spacing w:line="320" w:lineRule="exact"/>
                    <w:jc w:val="center"/>
                    <w:textAlignment w:val="baseline"/>
                    <w:rPr>
                      <w:color w:val="auto"/>
                      <w:szCs w:val="21"/>
                    </w:rPr>
                  </w:pPr>
                </w:p>
              </w:tc>
              <w:tc>
                <w:tcPr>
                  <w:tcW w:w="460" w:type="pct"/>
                  <w:tcBorders>
                    <w:tl2br w:val="nil"/>
                    <w:tr2bl w:val="nil"/>
                  </w:tcBorders>
                  <w:shd w:val="clear" w:color="auto" w:fill="auto"/>
                  <w:vAlign w:val="center"/>
                </w:tcPr>
                <w:p w14:paraId="0095BDC2">
                  <w:pPr>
                    <w:snapToGrid w:val="0"/>
                    <w:spacing w:line="240" w:lineRule="atLeast"/>
                    <w:jc w:val="center"/>
                    <w:rPr>
                      <w:color w:val="auto"/>
                      <w:szCs w:val="21"/>
                    </w:rPr>
                  </w:pPr>
                  <w:r>
                    <w:rPr>
                      <w:color w:val="auto"/>
                      <w:szCs w:val="21"/>
                    </w:rPr>
                    <w:t>固废</w:t>
                  </w:r>
                </w:p>
              </w:tc>
              <w:tc>
                <w:tcPr>
                  <w:tcW w:w="591" w:type="pct"/>
                  <w:tcBorders>
                    <w:tl2br w:val="nil"/>
                    <w:tr2bl w:val="nil"/>
                  </w:tcBorders>
                  <w:shd w:val="clear" w:color="auto" w:fill="auto"/>
                  <w:vAlign w:val="center"/>
                </w:tcPr>
                <w:p w14:paraId="1DD2719B">
                  <w:pPr>
                    <w:snapToGrid w:val="0"/>
                    <w:spacing w:line="240" w:lineRule="atLeast"/>
                    <w:jc w:val="center"/>
                    <w:rPr>
                      <w:color w:val="auto"/>
                      <w:szCs w:val="21"/>
                    </w:rPr>
                  </w:pPr>
                  <w:r>
                    <w:rPr>
                      <w:color w:val="auto"/>
                      <w:szCs w:val="21"/>
                    </w:rPr>
                    <w:t>施工过程</w:t>
                  </w:r>
                </w:p>
              </w:tc>
              <w:tc>
                <w:tcPr>
                  <w:tcW w:w="2549" w:type="pct"/>
                  <w:tcBorders>
                    <w:tl2br w:val="nil"/>
                    <w:tr2bl w:val="nil"/>
                  </w:tcBorders>
                  <w:vAlign w:val="center"/>
                </w:tcPr>
                <w:p w14:paraId="6AC9EFA4">
                  <w:pPr>
                    <w:snapToGrid w:val="0"/>
                    <w:spacing w:line="240" w:lineRule="atLeast"/>
                    <w:jc w:val="center"/>
                    <w:rPr>
                      <w:color w:val="auto"/>
                      <w:szCs w:val="21"/>
                    </w:rPr>
                  </w:pPr>
                  <w:r>
                    <w:rPr>
                      <w:rFonts w:hint="eastAsia"/>
                      <w:color w:val="auto"/>
                      <w:szCs w:val="21"/>
                    </w:rPr>
                    <w:t>设备外包装</w:t>
                  </w:r>
                  <w:r>
                    <w:rPr>
                      <w:color w:val="auto"/>
                      <w:szCs w:val="21"/>
                    </w:rPr>
                    <w:t>垃圾集中收集后统一清运至指定处理点；生活垃圾通过生活垃圾箱（桶）集中收集，由环卫</w:t>
                  </w:r>
                  <w:r>
                    <w:rPr>
                      <w:rFonts w:hint="eastAsia"/>
                      <w:color w:val="auto"/>
                      <w:szCs w:val="21"/>
                    </w:rPr>
                    <w:t>部门</w:t>
                  </w:r>
                  <w:r>
                    <w:rPr>
                      <w:color w:val="auto"/>
                      <w:szCs w:val="21"/>
                    </w:rPr>
                    <w:t>统一清运处理。</w:t>
                  </w:r>
                </w:p>
              </w:tc>
              <w:tc>
                <w:tcPr>
                  <w:tcW w:w="925" w:type="pct"/>
                  <w:tcBorders>
                    <w:tl2br w:val="nil"/>
                    <w:tr2bl w:val="nil"/>
                  </w:tcBorders>
                  <w:vAlign w:val="center"/>
                </w:tcPr>
                <w:p w14:paraId="7057E1D5">
                  <w:pPr>
                    <w:snapToGrid w:val="0"/>
                    <w:spacing w:line="240" w:lineRule="atLeast"/>
                    <w:jc w:val="center"/>
                    <w:rPr>
                      <w:color w:val="auto"/>
                      <w:szCs w:val="21"/>
                    </w:rPr>
                  </w:pPr>
                  <w:r>
                    <w:rPr>
                      <w:rFonts w:hint="eastAsia"/>
                      <w:color w:val="auto"/>
                      <w:szCs w:val="21"/>
                    </w:rPr>
                    <w:t>2</w:t>
                  </w:r>
                </w:p>
              </w:tc>
            </w:tr>
            <w:tr w14:paraId="2D87D46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472" w:type="pct"/>
                  <w:vMerge w:val="continue"/>
                  <w:tcBorders>
                    <w:tl2br w:val="nil"/>
                    <w:tr2bl w:val="nil"/>
                  </w:tcBorders>
                  <w:vAlign w:val="center"/>
                </w:tcPr>
                <w:p w14:paraId="4DE57A6A">
                  <w:pPr>
                    <w:adjustRightInd w:val="0"/>
                    <w:snapToGrid w:val="0"/>
                    <w:spacing w:line="320" w:lineRule="exact"/>
                    <w:jc w:val="center"/>
                    <w:textAlignment w:val="baseline"/>
                    <w:rPr>
                      <w:color w:val="auto"/>
                      <w:szCs w:val="21"/>
                    </w:rPr>
                  </w:pPr>
                </w:p>
              </w:tc>
              <w:tc>
                <w:tcPr>
                  <w:tcW w:w="460" w:type="pct"/>
                  <w:tcBorders>
                    <w:tl2br w:val="nil"/>
                    <w:tr2bl w:val="nil"/>
                  </w:tcBorders>
                  <w:shd w:val="clear" w:color="auto" w:fill="auto"/>
                  <w:vAlign w:val="center"/>
                </w:tcPr>
                <w:p w14:paraId="7BEAE67B">
                  <w:pPr>
                    <w:snapToGrid w:val="0"/>
                    <w:spacing w:line="240" w:lineRule="atLeast"/>
                    <w:jc w:val="center"/>
                    <w:rPr>
                      <w:color w:val="auto"/>
                      <w:szCs w:val="21"/>
                    </w:rPr>
                  </w:pPr>
                  <w:r>
                    <w:rPr>
                      <w:color w:val="auto"/>
                      <w:szCs w:val="21"/>
                    </w:rPr>
                    <w:t>噪声</w:t>
                  </w:r>
                </w:p>
              </w:tc>
              <w:tc>
                <w:tcPr>
                  <w:tcW w:w="591" w:type="pct"/>
                  <w:tcBorders>
                    <w:tl2br w:val="nil"/>
                    <w:tr2bl w:val="nil"/>
                  </w:tcBorders>
                  <w:shd w:val="clear" w:color="auto" w:fill="auto"/>
                  <w:vAlign w:val="center"/>
                </w:tcPr>
                <w:p w14:paraId="0F2494A6">
                  <w:pPr>
                    <w:snapToGrid w:val="0"/>
                    <w:spacing w:line="240" w:lineRule="atLeast"/>
                    <w:jc w:val="center"/>
                    <w:rPr>
                      <w:color w:val="auto"/>
                      <w:szCs w:val="21"/>
                    </w:rPr>
                  </w:pPr>
                  <w:r>
                    <w:rPr>
                      <w:color w:val="auto"/>
                      <w:szCs w:val="21"/>
                    </w:rPr>
                    <w:t>施工过程</w:t>
                  </w:r>
                </w:p>
              </w:tc>
              <w:tc>
                <w:tcPr>
                  <w:tcW w:w="2549" w:type="pct"/>
                  <w:tcBorders>
                    <w:tl2br w:val="nil"/>
                    <w:tr2bl w:val="nil"/>
                  </w:tcBorders>
                  <w:vAlign w:val="center"/>
                </w:tcPr>
                <w:p w14:paraId="3B775A56">
                  <w:pPr>
                    <w:snapToGrid w:val="0"/>
                    <w:spacing w:line="240" w:lineRule="atLeast"/>
                    <w:jc w:val="center"/>
                    <w:rPr>
                      <w:color w:val="auto"/>
                      <w:szCs w:val="21"/>
                    </w:rPr>
                  </w:pPr>
                  <w:r>
                    <w:rPr>
                      <w:color w:val="auto"/>
                      <w:szCs w:val="21"/>
                    </w:rPr>
                    <w:t>合理施工布局及作业时间、隔声围挡、施工设备降噪</w:t>
                  </w:r>
                </w:p>
              </w:tc>
              <w:tc>
                <w:tcPr>
                  <w:tcW w:w="925" w:type="pct"/>
                  <w:tcBorders>
                    <w:tl2br w:val="nil"/>
                    <w:tr2bl w:val="nil"/>
                  </w:tcBorders>
                  <w:vAlign w:val="center"/>
                </w:tcPr>
                <w:p w14:paraId="0FA1B9D6">
                  <w:pPr>
                    <w:snapToGrid w:val="0"/>
                    <w:spacing w:line="240" w:lineRule="atLeast"/>
                    <w:jc w:val="center"/>
                    <w:rPr>
                      <w:color w:val="auto"/>
                      <w:szCs w:val="21"/>
                    </w:rPr>
                  </w:pPr>
                  <w:r>
                    <w:rPr>
                      <w:rFonts w:hint="eastAsia"/>
                      <w:color w:val="auto"/>
                      <w:szCs w:val="21"/>
                    </w:rPr>
                    <w:t>2</w:t>
                  </w:r>
                </w:p>
              </w:tc>
            </w:tr>
            <w:tr w14:paraId="60860819">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472" w:type="pct"/>
                  <w:vMerge w:val="restart"/>
                  <w:tcBorders>
                    <w:tl2br w:val="nil"/>
                    <w:tr2bl w:val="nil"/>
                  </w:tcBorders>
                  <w:vAlign w:val="center"/>
                </w:tcPr>
                <w:p w14:paraId="09582CAD">
                  <w:pPr>
                    <w:adjustRightInd w:val="0"/>
                    <w:snapToGrid w:val="0"/>
                    <w:spacing w:line="320" w:lineRule="exact"/>
                    <w:jc w:val="center"/>
                    <w:textAlignment w:val="baseline"/>
                    <w:rPr>
                      <w:color w:val="auto"/>
                      <w:szCs w:val="21"/>
                    </w:rPr>
                  </w:pPr>
                  <w:r>
                    <w:rPr>
                      <w:color w:val="auto"/>
                      <w:szCs w:val="21"/>
                    </w:rPr>
                    <w:t>运营期</w:t>
                  </w:r>
                </w:p>
              </w:tc>
              <w:tc>
                <w:tcPr>
                  <w:tcW w:w="460" w:type="pct"/>
                  <w:vMerge w:val="restart"/>
                  <w:tcBorders>
                    <w:tl2br w:val="nil"/>
                    <w:tr2bl w:val="nil"/>
                  </w:tcBorders>
                  <w:shd w:val="clear" w:color="auto" w:fill="auto"/>
                  <w:vAlign w:val="center"/>
                </w:tcPr>
                <w:p w14:paraId="70CD1CF6">
                  <w:pPr>
                    <w:adjustRightInd w:val="0"/>
                    <w:snapToGrid w:val="0"/>
                    <w:spacing w:line="320" w:lineRule="exact"/>
                    <w:jc w:val="center"/>
                    <w:textAlignment w:val="baseline"/>
                    <w:rPr>
                      <w:color w:val="auto"/>
                      <w:szCs w:val="21"/>
                    </w:rPr>
                  </w:pPr>
                  <w:r>
                    <w:rPr>
                      <w:color w:val="auto"/>
                      <w:szCs w:val="21"/>
                    </w:rPr>
                    <w:t>废气</w:t>
                  </w:r>
                </w:p>
              </w:tc>
              <w:tc>
                <w:tcPr>
                  <w:tcW w:w="591" w:type="pct"/>
                  <w:tcBorders>
                    <w:tl2br w:val="nil"/>
                    <w:tr2bl w:val="nil"/>
                  </w:tcBorders>
                  <w:shd w:val="clear" w:color="auto" w:fill="auto"/>
                  <w:vAlign w:val="center"/>
                </w:tcPr>
                <w:p w14:paraId="00CB0472">
                  <w:pPr>
                    <w:adjustRightInd w:val="0"/>
                    <w:snapToGrid w:val="0"/>
                    <w:spacing w:line="320" w:lineRule="exact"/>
                    <w:jc w:val="center"/>
                    <w:textAlignment w:val="baseline"/>
                    <w:rPr>
                      <w:color w:val="auto"/>
                      <w:szCs w:val="21"/>
                    </w:rPr>
                  </w:pPr>
                  <w:r>
                    <w:rPr>
                      <w:rFonts w:hint="eastAsia"/>
                      <w:color w:val="auto"/>
                      <w:szCs w:val="21"/>
                    </w:rPr>
                    <w:t>熔炼废气</w:t>
                  </w:r>
                </w:p>
              </w:tc>
              <w:tc>
                <w:tcPr>
                  <w:tcW w:w="2549" w:type="pct"/>
                  <w:tcBorders>
                    <w:tl2br w:val="nil"/>
                    <w:tr2bl w:val="nil"/>
                  </w:tcBorders>
                </w:tcPr>
                <w:p w14:paraId="55E0103B">
                  <w:pPr>
                    <w:pStyle w:val="100"/>
                    <w:spacing w:before="58" w:line="228" w:lineRule="auto"/>
                    <w:rPr>
                      <w:rFonts w:ascii="Times New Roman" w:hAnsi="Times New Roman" w:cs="Times New Roman" w:eastAsiaTheme="minorEastAsia"/>
                      <w:color w:val="auto"/>
                      <w:sz w:val="21"/>
                      <w:szCs w:val="21"/>
                      <w:lang w:bidi="ar"/>
                    </w:rPr>
                  </w:pPr>
                  <w:r>
                    <w:rPr>
                      <w:rFonts w:hint="eastAsia" w:ascii="Times New Roman" w:hAnsi="Times New Roman" w:cs="Times New Roman" w:eastAsiaTheme="minorEastAsia"/>
                      <w:color w:val="auto"/>
                      <w:sz w:val="21"/>
                      <w:szCs w:val="21"/>
                      <w:lang w:val="en-US" w:eastAsia="zh-CN" w:bidi="ar"/>
                    </w:rPr>
                    <w:t>集气罩+</w:t>
                  </w:r>
                  <w:r>
                    <w:rPr>
                      <w:rFonts w:hint="eastAsia" w:ascii="Times New Roman" w:hAnsi="Times New Roman" w:cs="Times New Roman" w:eastAsiaTheme="minorEastAsia"/>
                      <w:color w:val="auto"/>
                      <w:sz w:val="21"/>
                      <w:szCs w:val="21"/>
                      <w:lang w:bidi="ar"/>
                    </w:rPr>
                    <w:t>袋式除尘器</w:t>
                  </w:r>
                  <w:r>
                    <w:rPr>
                      <w:rFonts w:hint="eastAsia" w:ascii="Times New Roman" w:hAnsi="Times New Roman" w:cs="Times New Roman" w:eastAsiaTheme="minorEastAsia"/>
                      <w:color w:val="auto"/>
                      <w:sz w:val="21"/>
                      <w:szCs w:val="21"/>
                      <w:lang w:val="en-US" w:eastAsia="zh-CN" w:bidi="ar"/>
                    </w:rPr>
                    <w:t>+15m高排气筒</w:t>
                  </w:r>
                  <w:r>
                    <w:rPr>
                      <w:rFonts w:hint="eastAsia" w:ascii="Times New Roman" w:hAnsi="Times New Roman" w:cs="Times New Roman" w:eastAsiaTheme="minorEastAsia"/>
                      <w:color w:val="auto"/>
                      <w:sz w:val="21"/>
                      <w:szCs w:val="21"/>
                      <w:lang w:bidi="ar"/>
                    </w:rPr>
                    <w:t>处理后</w:t>
                  </w:r>
                  <w:r>
                    <w:rPr>
                      <w:rFonts w:hint="eastAsia" w:ascii="Times New Roman" w:hAnsi="Times New Roman" w:cs="Times New Roman" w:eastAsiaTheme="minorEastAsia"/>
                      <w:color w:val="auto"/>
                      <w:sz w:val="21"/>
                      <w:szCs w:val="21"/>
                      <w:lang w:val="en-US" w:eastAsia="zh-CN" w:bidi="ar"/>
                    </w:rPr>
                    <w:t>达标</w:t>
                  </w:r>
                  <w:r>
                    <w:rPr>
                      <w:rFonts w:hint="eastAsia" w:ascii="Times New Roman" w:hAnsi="Times New Roman" w:cs="Times New Roman" w:eastAsiaTheme="minorEastAsia"/>
                      <w:color w:val="auto"/>
                      <w:sz w:val="21"/>
                      <w:szCs w:val="21"/>
                      <w:lang w:bidi="ar"/>
                    </w:rPr>
                    <w:t>排放</w:t>
                  </w:r>
                </w:p>
              </w:tc>
              <w:tc>
                <w:tcPr>
                  <w:tcW w:w="925" w:type="pct"/>
                  <w:tcBorders>
                    <w:tl2br w:val="nil"/>
                    <w:tr2bl w:val="nil"/>
                  </w:tcBorders>
                  <w:vAlign w:val="center"/>
                </w:tcPr>
                <w:p w14:paraId="1EB6139B">
                  <w:pPr>
                    <w:adjustRightInd w:val="0"/>
                    <w:snapToGrid w:val="0"/>
                    <w:spacing w:line="320" w:lineRule="exact"/>
                    <w:jc w:val="center"/>
                    <w:textAlignment w:val="baseline"/>
                    <w:rPr>
                      <w:color w:val="auto"/>
                      <w:szCs w:val="21"/>
                    </w:rPr>
                  </w:pPr>
                  <w:r>
                    <w:rPr>
                      <w:rFonts w:hint="eastAsia"/>
                      <w:color w:val="auto"/>
                      <w:szCs w:val="21"/>
                    </w:rPr>
                    <w:t>19</w:t>
                  </w:r>
                </w:p>
              </w:tc>
            </w:tr>
            <w:tr w14:paraId="2C3CC789">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472" w:type="pct"/>
                  <w:vMerge w:val="continue"/>
                  <w:tcBorders>
                    <w:tl2br w:val="nil"/>
                    <w:tr2bl w:val="nil"/>
                  </w:tcBorders>
                  <w:vAlign w:val="center"/>
                </w:tcPr>
                <w:p w14:paraId="04AB1549">
                  <w:pPr>
                    <w:adjustRightInd w:val="0"/>
                    <w:snapToGrid w:val="0"/>
                    <w:spacing w:line="320" w:lineRule="exact"/>
                    <w:jc w:val="center"/>
                    <w:textAlignment w:val="baseline"/>
                    <w:rPr>
                      <w:color w:val="auto"/>
                      <w:szCs w:val="21"/>
                    </w:rPr>
                  </w:pPr>
                </w:p>
              </w:tc>
              <w:tc>
                <w:tcPr>
                  <w:tcW w:w="460" w:type="pct"/>
                  <w:vMerge w:val="continue"/>
                  <w:tcBorders>
                    <w:tl2br w:val="nil"/>
                    <w:tr2bl w:val="nil"/>
                  </w:tcBorders>
                  <w:shd w:val="clear" w:color="auto" w:fill="auto"/>
                  <w:vAlign w:val="center"/>
                </w:tcPr>
                <w:p w14:paraId="45CF7C25">
                  <w:pPr>
                    <w:adjustRightInd w:val="0"/>
                    <w:snapToGrid w:val="0"/>
                    <w:spacing w:line="320" w:lineRule="exact"/>
                    <w:jc w:val="center"/>
                    <w:textAlignment w:val="baseline"/>
                    <w:rPr>
                      <w:color w:val="auto"/>
                      <w:szCs w:val="21"/>
                    </w:rPr>
                  </w:pPr>
                </w:p>
              </w:tc>
              <w:tc>
                <w:tcPr>
                  <w:tcW w:w="591" w:type="pct"/>
                  <w:tcBorders>
                    <w:tl2br w:val="nil"/>
                    <w:tr2bl w:val="nil"/>
                  </w:tcBorders>
                  <w:shd w:val="clear" w:color="auto" w:fill="auto"/>
                  <w:vAlign w:val="center"/>
                </w:tcPr>
                <w:p w14:paraId="5F530732">
                  <w:pPr>
                    <w:adjustRightInd w:val="0"/>
                    <w:snapToGrid w:val="0"/>
                    <w:spacing w:line="320" w:lineRule="exact"/>
                    <w:jc w:val="center"/>
                    <w:textAlignment w:val="baseline"/>
                    <w:rPr>
                      <w:color w:val="auto"/>
                      <w:szCs w:val="21"/>
                    </w:rPr>
                  </w:pPr>
                  <w:r>
                    <w:rPr>
                      <w:rFonts w:hint="eastAsia"/>
                      <w:color w:val="auto"/>
                      <w:szCs w:val="21"/>
                    </w:rPr>
                    <w:t>浇注废气</w:t>
                  </w:r>
                </w:p>
              </w:tc>
              <w:tc>
                <w:tcPr>
                  <w:tcW w:w="2549" w:type="pct"/>
                  <w:tcBorders>
                    <w:tl2br w:val="nil"/>
                    <w:tr2bl w:val="nil"/>
                  </w:tcBorders>
                </w:tcPr>
                <w:p w14:paraId="1E3413FD">
                  <w:pPr>
                    <w:pStyle w:val="100"/>
                    <w:spacing w:before="59" w:line="228" w:lineRule="auto"/>
                    <w:rPr>
                      <w:rFonts w:ascii="Times New Roman" w:hAnsi="Times New Roman" w:cs="Times New Roman"/>
                      <w:color w:val="auto"/>
                      <w:szCs w:val="21"/>
                    </w:rPr>
                  </w:pPr>
                  <w:r>
                    <w:rPr>
                      <w:rFonts w:hint="eastAsia" w:ascii="Times New Roman" w:hAnsi="Times New Roman" w:cs="Times New Roman" w:eastAsiaTheme="minorEastAsia"/>
                      <w:color w:val="auto"/>
                      <w:sz w:val="21"/>
                      <w:szCs w:val="21"/>
                      <w:lang w:val="en-US" w:eastAsia="zh-CN" w:bidi="ar"/>
                    </w:rPr>
                    <w:t>集气罩+</w:t>
                  </w:r>
                  <w:r>
                    <w:rPr>
                      <w:rFonts w:hint="eastAsia" w:ascii="Times New Roman" w:hAnsi="Times New Roman" w:cs="Times New Roman" w:eastAsiaTheme="minorEastAsia"/>
                      <w:color w:val="auto"/>
                      <w:sz w:val="21"/>
                      <w:szCs w:val="21"/>
                      <w:lang w:bidi="ar"/>
                    </w:rPr>
                    <w:t>袋式除尘器</w:t>
                  </w:r>
                  <w:r>
                    <w:rPr>
                      <w:rFonts w:hint="eastAsia" w:ascii="Times New Roman" w:hAnsi="Times New Roman" w:cs="Times New Roman" w:eastAsiaTheme="minorEastAsia"/>
                      <w:color w:val="auto"/>
                      <w:sz w:val="21"/>
                      <w:szCs w:val="21"/>
                      <w:lang w:val="en-US" w:eastAsia="zh-CN" w:bidi="ar"/>
                    </w:rPr>
                    <w:t>+15m高排气筒</w:t>
                  </w:r>
                  <w:r>
                    <w:rPr>
                      <w:rFonts w:hint="eastAsia" w:ascii="Times New Roman" w:hAnsi="Times New Roman" w:cs="Times New Roman" w:eastAsiaTheme="minorEastAsia"/>
                      <w:color w:val="auto"/>
                      <w:sz w:val="21"/>
                      <w:szCs w:val="21"/>
                      <w:lang w:bidi="ar"/>
                    </w:rPr>
                    <w:t>处理后</w:t>
                  </w:r>
                  <w:r>
                    <w:rPr>
                      <w:rFonts w:hint="eastAsia" w:ascii="Times New Roman" w:hAnsi="Times New Roman" w:cs="Times New Roman" w:eastAsiaTheme="minorEastAsia"/>
                      <w:color w:val="auto"/>
                      <w:sz w:val="21"/>
                      <w:szCs w:val="21"/>
                      <w:lang w:val="en-US" w:eastAsia="zh-CN" w:bidi="ar"/>
                    </w:rPr>
                    <w:t>达标</w:t>
                  </w:r>
                  <w:r>
                    <w:rPr>
                      <w:rFonts w:hint="eastAsia" w:ascii="Times New Roman" w:hAnsi="Times New Roman" w:cs="Times New Roman" w:eastAsiaTheme="minorEastAsia"/>
                      <w:color w:val="auto"/>
                      <w:sz w:val="21"/>
                      <w:szCs w:val="21"/>
                      <w:lang w:bidi="ar"/>
                    </w:rPr>
                    <w:t>排放</w:t>
                  </w:r>
                </w:p>
              </w:tc>
              <w:tc>
                <w:tcPr>
                  <w:tcW w:w="925" w:type="pct"/>
                  <w:tcBorders>
                    <w:tl2br w:val="nil"/>
                    <w:tr2bl w:val="nil"/>
                  </w:tcBorders>
                  <w:vAlign w:val="center"/>
                </w:tcPr>
                <w:p w14:paraId="5A0A9189">
                  <w:pPr>
                    <w:adjustRightInd w:val="0"/>
                    <w:snapToGrid w:val="0"/>
                    <w:spacing w:line="320" w:lineRule="exact"/>
                    <w:jc w:val="center"/>
                    <w:textAlignment w:val="baseline"/>
                    <w:rPr>
                      <w:color w:val="auto"/>
                      <w:szCs w:val="21"/>
                    </w:rPr>
                  </w:pPr>
                  <w:r>
                    <w:rPr>
                      <w:rFonts w:hint="eastAsia"/>
                      <w:color w:val="auto"/>
                      <w:szCs w:val="21"/>
                    </w:rPr>
                    <w:t>18</w:t>
                  </w:r>
                </w:p>
              </w:tc>
            </w:tr>
            <w:tr w14:paraId="32A58F88">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472" w:type="pct"/>
                  <w:vMerge w:val="continue"/>
                  <w:tcBorders>
                    <w:tl2br w:val="nil"/>
                    <w:tr2bl w:val="nil"/>
                  </w:tcBorders>
                  <w:vAlign w:val="center"/>
                </w:tcPr>
                <w:p w14:paraId="07C62A14">
                  <w:pPr>
                    <w:adjustRightInd w:val="0"/>
                    <w:snapToGrid w:val="0"/>
                    <w:spacing w:line="320" w:lineRule="exact"/>
                    <w:jc w:val="center"/>
                    <w:textAlignment w:val="baseline"/>
                    <w:rPr>
                      <w:color w:val="auto"/>
                      <w:szCs w:val="21"/>
                    </w:rPr>
                  </w:pPr>
                </w:p>
              </w:tc>
              <w:tc>
                <w:tcPr>
                  <w:tcW w:w="460" w:type="pct"/>
                  <w:vMerge w:val="continue"/>
                  <w:tcBorders>
                    <w:tl2br w:val="nil"/>
                    <w:tr2bl w:val="nil"/>
                  </w:tcBorders>
                  <w:shd w:val="clear" w:color="auto" w:fill="auto"/>
                  <w:vAlign w:val="center"/>
                </w:tcPr>
                <w:p w14:paraId="15D567F7">
                  <w:pPr>
                    <w:adjustRightInd w:val="0"/>
                    <w:snapToGrid w:val="0"/>
                    <w:spacing w:line="320" w:lineRule="exact"/>
                    <w:jc w:val="center"/>
                    <w:textAlignment w:val="baseline"/>
                    <w:rPr>
                      <w:color w:val="auto"/>
                      <w:szCs w:val="21"/>
                    </w:rPr>
                  </w:pPr>
                </w:p>
              </w:tc>
              <w:tc>
                <w:tcPr>
                  <w:tcW w:w="591" w:type="pct"/>
                  <w:tcBorders>
                    <w:tl2br w:val="nil"/>
                    <w:tr2bl w:val="nil"/>
                  </w:tcBorders>
                  <w:shd w:val="clear" w:color="auto" w:fill="auto"/>
                  <w:vAlign w:val="center"/>
                </w:tcPr>
                <w:p w14:paraId="37410698">
                  <w:pPr>
                    <w:adjustRightInd w:val="0"/>
                    <w:snapToGrid w:val="0"/>
                    <w:spacing w:line="320" w:lineRule="exact"/>
                    <w:jc w:val="center"/>
                    <w:textAlignment w:val="baseline"/>
                    <w:rPr>
                      <w:color w:val="auto"/>
                      <w:szCs w:val="21"/>
                    </w:rPr>
                  </w:pPr>
                  <w:r>
                    <w:rPr>
                      <w:rFonts w:hint="eastAsia"/>
                      <w:color w:val="auto"/>
                      <w:szCs w:val="21"/>
                    </w:rPr>
                    <w:t>焊接烟尘</w:t>
                  </w:r>
                </w:p>
              </w:tc>
              <w:tc>
                <w:tcPr>
                  <w:tcW w:w="2549" w:type="pct"/>
                  <w:tcBorders>
                    <w:tl2br w:val="nil"/>
                    <w:tr2bl w:val="nil"/>
                  </w:tcBorders>
                </w:tcPr>
                <w:p w14:paraId="260E373A">
                  <w:pPr>
                    <w:pStyle w:val="100"/>
                    <w:spacing w:before="59" w:line="228" w:lineRule="auto"/>
                    <w:rPr>
                      <w:rFonts w:ascii="Times New Roman" w:hAnsi="Times New Roman" w:cs="Times New Roman"/>
                      <w:color w:val="auto"/>
                      <w:szCs w:val="21"/>
                    </w:rPr>
                  </w:pPr>
                  <w:r>
                    <w:rPr>
                      <w:rFonts w:hint="eastAsia" w:ascii="Times New Roman" w:hAnsi="Times New Roman" w:cs="Times New Roman" w:eastAsiaTheme="minorEastAsia"/>
                      <w:color w:val="auto"/>
                      <w:sz w:val="21"/>
                      <w:szCs w:val="21"/>
                      <w:lang w:val="en-US" w:eastAsia="zh-CN" w:bidi="ar"/>
                    </w:rPr>
                    <w:t>集气罩+</w:t>
                  </w:r>
                  <w:r>
                    <w:rPr>
                      <w:rFonts w:hint="eastAsia" w:ascii="Times New Roman" w:hAnsi="Times New Roman" w:cs="Times New Roman" w:eastAsiaTheme="minorEastAsia"/>
                      <w:color w:val="auto"/>
                      <w:sz w:val="21"/>
                      <w:szCs w:val="21"/>
                      <w:lang w:bidi="ar"/>
                    </w:rPr>
                    <w:t>袋式除尘器</w:t>
                  </w:r>
                  <w:r>
                    <w:rPr>
                      <w:rFonts w:hint="eastAsia" w:ascii="Times New Roman" w:hAnsi="Times New Roman" w:cs="Times New Roman" w:eastAsiaTheme="minorEastAsia"/>
                      <w:color w:val="auto"/>
                      <w:sz w:val="21"/>
                      <w:szCs w:val="21"/>
                      <w:lang w:val="en-US" w:eastAsia="zh-CN" w:bidi="ar"/>
                    </w:rPr>
                    <w:t>+15m高排气筒</w:t>
                  </w:r>
                  <w:r>
                    <w:rPr>
                      <w:rFonts w:hint="eastAsia" w:ascii="Times New Roman" w:hAnsi="Times New Roman" w:cs="Times New Roman" w:eastAsiaTheme="minorEastAsia"/>
                      <w:color w:val="auto"/>
                      <w:sz w:val="21"/>
                      <w:szCs w:val="21"/>
                      <w:lang w:bidi="ar"/>
                    </w:rPr>
                    <w:t>处理后</w:t>
                  </w:r>
                  <w:r>
                    <w:rPr>
                      <w:rFonts w:hint="eastAsia" w:ascii="Times New Roman" w:hAnsi="Times New Roman" w:cs="Times New Roman" w:eastAsiaTheme="minorEastAsia"/>
                      <w:color w:val="auto"/>
                      <w:sz w:val="21"/>
                      <w:szCs w:val="21"/>
                      <w:lang w:val="en-US" w:eastAsia="zh-CN" w:bidi="ar"/>
                    </w:rPr>
                    <w:t>达标</w:t>
                  </w:r>
                  <w:r>
                    <w:rPr>
                      <w:rFonts w:hint="eastAsia" w:ascii="Times New Roman" w:hAnsi="Times New Roman" w:cs="Times New Roman" w:eastAsiaTheme="minorEastAsia"/>
                      <w:color w:val="auto"/>
                      <w:sz w:val="21"/>
                      <w:szCs w:val="21"/>
                      <w:lang w:bidi="ar"/>
                    </w:rPr>
                    <w:t>排放</w:t>
                  </w:r>
                </w:p>
              </w:tc>
              <w:tc>
                <w:tcPr>
                  <w:tcW w:w="925" w:type="pct"/>
                  <w:tcBorders>
                    <w:tl2br w:val="nil"/>
                    <w:tr2bl w:val="nil"/>
                  </w:tcBorders>
                  <w:vAlign w:val="center"/>
                </w:tcPr>
                <w:p w14:paraId="73E24697">
                  <w:pPr>
                    <w:adjustRightInd w:val="0"/>
                    <w:snapToGrid w:val="0"/>
                    <w:spacing w:line="320" w:lineRule="exact"/>
                    <w:jc w:val="center"/>
                    <w:textAlignment w:val="baseline"/>
                    <w:rPr>
                      <w:color w:val="auto"/>
                      <w:szCs w:val="21"/>
                    </w:rPr>
                  </w:pPr>
                  <w:r>
                    <w:rPr>
                      <w:rFonts w:hint="eastAsia"/>
                      <w:color w:val="auto"/>
                      <w:szCs w:val="21"/>
                    </w:rPr>
                    <w:t>13</w:t>
                  </w:r>
                </w:p>
              </w:tc>
            </w:tr>
            <w:tr w14:paraId="3F1586FA">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472" w:type="pct"/>
                  <w:vMerge w:val="continue"/>
                  <w:tcBorders>
                    <w:tl2br w:val="nil"/>
                    <w:tr2bl w:val="nil"/>
                  </w:tcBorders>
                  <w:vAlign w:val="center"/>
                </w:tcPr>
                <w:p w14:paraId="240965A6">
                  <w:pPr>
                    <w:adjustRightInd w:val="0"/>
                    <w:snapToGrid w:val="0"/>
                    <w:spacing w:line="320" w:lineRule="exact"/>
                    <w:jc w:val="center"/>
                    <w:textAlignment w:val="baseline"/>
                    <w:rPr>
                      <w:color w:val="auto"/>
                      <w:szCs w:val="21"/>
                    </w:rPr>
                  </w:pPr>
                </w:p>
              </w:tc>
              <w:tc>
                <w:tcPr>
                  <w:tcW w:w="460" w:type="pct"/>
                  <w:tcBorders>
                    <w:tl2br w:val="nil"/>
                    <w:tr2bl w:val="nil"/>
                  </w:tcBorders>
                  <w:shd w:val="clear" w:color="auto" w:fill="auto"/>
                  <w:vAlign w:val="center"/>
                </w:tcPr>
                <w:p w14:paraId="5B33E676">
                  <w:pPr>
                    <w:adjustRightInd w:val="0"/>
                    <w:snapToGrid w:val="0"/>
                    <w:spacing w:line="320" w:lineRule="exact"/>
                    <w:jc w:val="center"/>
                    <w:textAlignment w:val="baseline"/>
                    <w:rPr>
                      <w:color w:val="auto"/>
                      <w:szCs w:val="21"/>
                    </w:rPr>
                  </w:pPr>
                  <w:r>
                    <w:rPr>
                      <w:color w:val="auto"/>
                      <w:szCs w:val="21"/>
                    </w:rPr>
                    <w:t>废水</w:t>
                  </w:r>
                </w:p>
              </w:tc>
              <w:tc>
                <w:tcPr>
                  <w:tcW w:w="591" w:type="pct"/>
                  <w:tcBorders>
                    <w:tl2br w:val="nil"/>
                    <w:tr2bl w:val="nil"/>
                  </w:tcBorders>
                  <w:shd w:val="clear" w:color="auto" w:fill="auto"/>
                  <w:vAlign w:val="center"/>
                </w:tcPr>
                <w:p w14:paraId="7AD12A87">
                  <w:pPr>
                    <w:adjustRightInd w:val="0"/>
                    <w:snapToGrid w:val="0"/>
                    <w:spacing w:line="320" w:lineRule="exact"/>
                    <w:jc w:val="center"/>
                    <w:textAlignment w:val="baseline"/>
                    <w:rPr>
                      <w:color w:val="auto"/>
                      <w:szCs w:val="21"/>
                    </w:rPr>
                  </w:pPr>
                  <w:r>
                    <w:rPr>
                      <w:color w:val="auto"/>
                      <w:szCs w:val="21"/>
                    </w:rPr>
                    <w:t>员工生活污水</w:t>
                  </w:r>
                </w:p>
              </w:tc>
              <w:tc>
                <w:tcPr>
                  <w:tcW w:w="2549" w:type="pct"/>
                  <w:tcBorders>
                    <w:tl2br w:val="nil"/>
                    <w:tr2bl w:val="nil"/>
                  </w:tcBorders>
                  <w:vAlign w:val="center"/>
                </w:tcPr>
                <w:p w14:paraId="21FA0710">
                  <w:pPr>
                    <w:adjustRightInd w:val="0"/>
                    <w:snapToGrid w:val="0"/>
                    <w:spacing w:line="320" w:lineRule="exact"/>
                    <w:jc w:val="center"/>
                    <w:textAlignment w:val="baseline"/>
                    <w:rPr>
                      <w:color w:val="auto"/>
                      <w:szCs w:val="21"/>
                    </w:rPr>
                  </w:pPr>
                  <w:r>
                    <w:rPr>
                      <w:rFonts w:hint="eastAsia"/>
                      <w:color w:val="auto"/>
                      <w:szCs w:val="21"/>
                    </w:rPr>
                    <w:t>经化粪池预处理后</w:t>
                  </w:r>
                  <w:r>
                    <w:rPr>
                      <w:color w:val="auto"/>
                      <w:szCs w:val="21"/>
                    </w:rPr>
                    <w:t>排入</w:t>
                  </w:r>
                  <w:r>
                    <w:rPr>
                      <w:rFonts w:hint="eastAsia"/>
                      <w:color w:val="auto"/>
                      <w:szCs w:val="21"/>
                    </w:rPr>
                    <w:t>市政污水</w:t>
                  </w:r>
                  <w:r>
                    <w:rPr>
                      <w:color w:val="auto"/>
                      <w:szCs w:val="21"/>
                    </w:rPr>
                    <w:t>管网，进入</w:t>
                  </w:r>
                  <w:r>
                    <w:rPr>
                      <w:rFonts w:hint="eastAsia"/>
                      <w:color w:val="auto"/>
                      <w:szCs w:val="21"/>
                    </w:rPr>
                    <w:t>园区污水处理厂</w:t>
                  </w:r>
                  <w:r>
                    <w:rPr>
                      <w:color w:val="auto"/>
                      <w:szCs w:val="21"/>
                    </w:rPr>
                    <w:t>处理</w:t>
                  </w:r>
                </w:p>
              </w:tc>
              <w:tc>
                <w:tcPr>
                  <w:tcW w:w="925" w:type="pct"/>
                  <w:tcBorders>
                    <w:tl2br w:val="nil"/>
                    <w:tr2bl w:val="nil"/>
                  </w:tcBorders>
                  <w:vAlign w:val="center"/>
                </w:tcPr>
                <w:p w14:paraId="6528A50D">
                  <w:pPr>
                    <w:adjustRightInd w:val="0"/>
                    <w:snapToGrid w:val="0"/>
                    <w:spacing w:line="320" w:lineRule="exact"/>
                    <w:jc w:val="center"/>
                    <w:textAlignment w:val="baseline"/>
                    <w:rPr>
                      <w:color w:val="auto"/>
                      <w:szCs w:val="21"/>
                    </w:rPr>
                  </w:pPr>
                  <w:r>
                    <w:rPr>
                      <w:rFonts w:hint="eastAsia"/>
                      <w:color w:val="auto"/>
                      <w:szCs w:val="21"/>
                    </w:rPr>
                    <w:t>8</w:t>
                  </w:r>
                </w:p>
              </w:tc>
            </w:tr>
            <w:tr w14:paraId="75B5CD7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472" w:type="pct"/>
                  <w:vMerge w:val="continue"/>
                  <w:tcBorders>
                    <w:tl2br w:val="nil"/>
                    <w:tr2bl w:val="nil"/>
                  </w:tcBorders>
                  <w:vAlign w:val="center"/>
                </w:tcPr>
                <w:p w14:paraId="6DB9937A">
                  <w:pPr>
                    <w:adjustRightInd w:val="0"/>
                    <w:snapToGrid w:val="0"/>
                    <w:spacing w:line="320" w:lineRule="exact"/>
                    <w:jc w:val="center"/>
                    <w:textAlignment w:val="baseline"/>
                    <w:rPr>
                      <w:color w:val="auto"/>
                      <w:szCs w:val="21"/>
                    </w:rPr>
                  </w:pPr>
                </w:p>
              </w:tc>
              <w:tc>
                <w:tcPr>
                  <w:tcW w:w="460" w:type="pct"/>
                  <w:tcBorders>
                    <w:tl2br w:val="nil"/>
                    <w:tr2bl w:val="nil"/>
                  </w:tcBorders>
                  <w:shd w:val="clear" w:color="auto" w:fill="auto"/>
                  <w:vAlign w:val="center"/>
                </w:tcPr>
                <w:p w14:paraId="2BEE644F">
                  <w:pPr>
                    <w:adjustRightInd w:val="0"/>
                    <w:snapToGrid w:val="0"/>
                    <w:spacing w:line="320" w:lineRule="exact"/>
                    <w:jc w:val="center"/>
                    <w:textAlignment w:val="baseline"/>
                    <w:rPr>
                      <w:color w:val="auto"/>
                      <w:szCs w:val="21"/>
                    </w:rPr>
                  </w:pPr>
                  <w:r>
                    <w:rPr>
                      <w:color w:val="auto"/>
                      <w:szCs w:val="21"/>
                    </w:rPr>
                    <w:t>废水</w:t>
                  </w:r>
                </w:p>
              </w:tc>
              <w:tc>
                <w:tcPr>
                  <w:tcW w:w="591" w:type="pct"/>
                  <w:tcBorders>
                    <w:tl2br w:val="nil"/>
                    <w:tr2bl w:val="nil"/>
                  </w:tcBorders>
                  <w:shd w:val="clear" w:color="auto" w:fill="auto"/>
                  <w:vAlign w:val="center"/>
                </w:tcPr>
                <w:p w14:paraId="2F3A075F">
                  <w:pPr>
                    <w:adjustRightInd w:val="0"/>
                    <w:snapToGrid w:val="0"/>
                    <w:spacing w:line="320" w:lineRule="exact"/>
                    <w:jc w:val="center"/>
                    <w:textAlignment w:val="baseline"/>
                    <w:rPr>
                      <w:color w:val="auto"/>
                      <w:szCs w:val="21"/>
                    </w:rPr>
                  </w:pPr>
                  <w:r>
                    <w:rPr>
                      <w:rFonts w:hint="eastAsia"/>
                      <w:color w:val="auto"/>
                      <w:szCs w:val="21"/>
                    </w:rPr>
                    <w:t>冷却水</w:t>
                  </w:r>
                </w:p>
              </w:tc>
              <w:tc>
                <w:tcPr>
                  <w:tcW w:w="2549" w:type="pct"/>
                  <w:tcBorders>
                    <w:tl2br w:val="nil"/>
                    <w:tr2bl w:val="nil"/>
                  </w:tcBorders>
                  <w:shd w:val="clear" w:color="auto" w:fill="auto"/>
                  <w:vAlign w:val="center"/>
                </w:tcPr>
                <w:p w14:paraId="0EDF6DA1">
                  <w:pPr>
                    <w:adjustRightInd w:val="0"/>
                    <w:snapToGrid w:val="0"/>
                    <w:spacing w:line="320" w:lineRule="exact"/>
                    <w:jc w:val="center"/>
                    <w:textAlignment w:val="baseline"/>
                    <w:rPr>
                      <w:color w:val="auto"/>
                      <w:szCs w:val="21"/>
                    </w:rPr>
                  </w:pPr>
                  <w:r>
                    <w:rPr>
                      <w:rFonts w:hint="eastAsia" w:eastAsiaTheme="minorEastAsia"/>
                      <w:color w:val="auto"/>
                      <w:kern w:val="0"/>
                      <w:szCs w:val="21"/>
                      <w:lang w:bidi="ar"/>
                    </w:rPr>
                    <w:t>冷却水循环使用不外排</w:t>
                  </w:r>
                </w:p>
              </w:tc>
              <w:tc>
                <w:tcPr>
                  <w:tcW w:w="925" w:type="pct"/>
                  <w:tcBorders>
                    <w:tl2br w:val="nil"/>
                    <w:tr2bl w:val="nil"/>
                  </w:tcBorders>
                  <w:shd w:val="clear" w:color="auto" w:fill="auto"/>
                  <w:vAlign w:val="center"/>
                </w:tcPr>
                <w:p w14:paraId="2AD968B5">
                  <w:pPr>
                    <w:adjustRightInd w:val="0"/>
                    <w:snapToGrid w:val="0"/>
                    <w:spacing w:line="320" w:lineRule="exact"/>
                    <w:jc w:val="center"/>
                    <w:textAlignment w:val="baseline"/>
                    <w:rPr>
                      <w:color w:val="auto"/>
                      <w:szCs w:val="21"/>
                    </w:rPr>
                  </w:pPr>
                  <w:r>
                    <w:rPr>
                      <w:rFonts w:hint="eastAsia"/>
                      <w:color w:val="auto"/>
                      <w:szCs w:val="21"/>
                    </w:rPr>
                    <w:t>15</w:t>
                  </w:r>
                </w:p>
              </w:tc>
            </w:tr>
            <w:tr w14:paraId="3D12E9DA">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472" w:type="pct"/>
                  <w:vMerge w:val="continue"/>
                  <w:tcBorders>
                    <w:tl2br w:val="nil"/>
                    <w:tr2bl w:val="nil"/>
                  </w:tcBorders>
                  <w:vAlign w:val="center"/>
                </w:tcPr>
                <w:p w14:paraId="0EE729E1">
                  <w:pPr>
                    <w:adjustRightInd w:val="0"/>
                    <w:snapToGrid w:val="0"/>
                    <w:spacing w:line="320" w:lineRule="exact"/>
                    <w:jc w:val="center"/>
                    <w:textAlignment w:val="baseline"/>
                    <w:rPr>
                      <w:color w:val="auto"/>
                      <w:szCs w:val="21"/>
                    </w:rPr>
                  </w:pPr>
                </w:p>
              </w:tc>
              <w:tc>
                <w:tcPr>
                  <w:tcW w:w="460" w:type="pct"/>
                  <w:tcBorders>
                    <w:tl2br w:val="nil"/>
                    <w:tr2bl w:val="nil"/>
                  </w:tcBorders>
                  <w:shd w:val="clear" w:color="auto" w:fill="auto"/>
                  <w:vAlign w:val="center"/>
                </w:tcPr>
                <w:p w14:paraId="48680D54">
                  <w:pPr>
                    <w:adjustRightInd w:val="0"/>
                    <w:snapToGrid w:val="0"/>
                    <w:spacing w:line="320" w:lineRule="exact"/>
                    <w:jc w:val="center"/>
                    <w:textAlignment w:val="baseline"/>
                    <w:rPr>
                      <w:color w:val="auto"/>
                      <w:szCs w:val="21"/>
                    </w:rPr>
                  </w:pPr>
                  <w:r>
                    <w:rPr>
                      <w:color w:val="auto"/>
                      <w:szCs w:val="21"/>
                    </w:rPr>
                    <w:t>噪声</w:t>
                  </w:r>
                </w:p>
              </w:tc>
              <w:tc>
                <w:tcPr>
                  <w:tcW w:w="591" w:type="pct"/>
                  <w:tcBorders>
                    <w:tl2br w:val="nil"/>
                    <w:tr2bl w:val="nil"/>
                  </w:tcBorders>
                  <w:shd w:val="clear" w:color="auto" w:fill="auto"/>
                  <w:vAlign w:val="center"/>
                </w:tcPr>
                <w:p w14:paraId="4B3F0A72">
                  <w:pPr>
                    <w:adjustRightInd w:val="0"/>
                    <w:snapToGrid w:val="0"/>
                    <w:spacing w:line="320" w:lineRule="exact"/>
                    <w:jc w:val="center"/>
                    <w:textAlignment w:val="baseline"/>
                    <w:rPr>
                      <w:color w:val="auto"/>
                      <w:szCs w:val="21"/>
                    </w:rPr>
                  </w:pPr>
                  <w:r>
                    <w:rPr>
                      <w:color w:val="auto"/>
                      <w:szCs w:val="21"/>
                    </w:rPr>
                    <w:t>设备噪声</w:t>
                  </w:r>
                </w:p>
              </w:tc>
              <w:tc>
                <w:tcPr>
                  <w:tcW w:w="2549" w:type="pct"/>
                  <w:tcBorders>
                    <w:tl2br w:val="nil"/>
                    <w:tr2bl w:val="nil"/>
                  </w:tcBorders>
                  <w:shd w:val="clear" w:color="auto" w:fill="auto"/>
                  <w:vAlign w:val="center"/>
                </w:tcPr>
                <w:p w14:paraId="0C5D27E3">
                  <w:pPr>
                    <w:adjustRightInd w:val="0"/>
                    <w:snapToGrid w:val="0"/>
                    <w:spacing w:line="320" w:lineRule="exact"/>
                    <w:jc w:val="center"/>
                    <w:textAlignment w:val="baseline"/>
                    <w:rPr>
                      <w:color w:val="auto"/>
                      <w:szCs w:val="21"/>
                    </w:rPr>
                  </w:pPr>
                  <w:r>
                    <w:rPr>
                      <w:color w:val="auto"/>
                      <w:kern w:val="24"/>
                      <w:szCs w:val="21"/>
                    </w:rPr>
                    <w:t>选用低噪声设备，隔声、减振安装，</w:t>
                  </w:r>
                  <w:r>
                    <w:rPr>
                      <w:color w:val="auto"/>
                      <w:szCs w:val="21"/>
                    </w:rPr>
                    <w:t>设备定期维护保养</w:t>
                  </w:r>
                </w:p>
              </w:tc>
              <w:tc>
                <w:tcPr>
                  <w:tcW w:w="925" w:type="pct"/>
                  <w:tcBorders>
                    <w:tl2br w:val="nil"/>
                    <w:tr2bl w:val="nil"/>
                  </w:tcBorders>
                  <w:shd w:val="clear" w:color="auto" w:fill="auto"/>
                  <w:vAlign w:val="center"/>
                </w:tcPr>
                <w:p w14:paraId="77508761">
                  <w:pPr>
                    <w:adjustRightInd w:val="0"/>
                    <w:snapToGrid w:val="0"/>
                    <w:spacing w:line="320" w:lineRule="exact"/>
                    <w:jc w:val="center"/>
                    <w:textAlignment w:val="baseline"/>
                    <w:rPr>
                      <w:color w:val="auto"/>
                      <w:kern w:val="24"/>
                      <w:szCs w:val="21"/>
                    </w:rPr>
                  </w:pPr>
                  <w:r>
                    <w:rPr>
                      <w:rFonts w:hint="eastAsia"/>
                      <w:color w:val="auto"/>
                      <w:kern w:val="24"/>
                      <w:szCs w:val="21"/>
                    </w:rPr>
                    <w:t>5</w:t>
                  </w:r>
                </w:p>
              </w:tc>
            </w:tr>
            <w:tr w14:paraId="7C25DB4E">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98" w:hRule="atLeast"/>
                <w:jc w:val="center"/>
              </w:trPr>
              <w:tc>
                <w:tcPr>
                  <w:tcW w:w="472" w:type="pct"/>
                  <w:vMerge w:val="continue"/>
                  <w:tcBorders>
                    <w:tl2br w:val="nil"/>
                    <w:tr2bl w:val="nil"/>
                  </w:tcBorders>
                  <w:vAlign w:val="center"/>
                </w:tcPr>
                <w:p w14:paraId="641071BF">
                  <w:pPr>
                    <w:adjustRightInd w:val="0"/>
                    <w:snapToGrid w:val="0"/>
                    <w:spacing w:line="320" w:lineRule="exact"/>
                    <w:jc w:val="center"/>
                    <w:textAlignment w:val="baseline"/>
                    <w:rPr>
                      <w:color w:val="auto"/>
                      <w:szCs w:val="21"/>
                    </w:rPr>
                  </w:pPr>
                </w:p>
              </w:tc>
              <w:tc>
                <w:tcPr>
                  <w:tcW w:w="460" w:type="pct"/>
                  <w:vMerge w:val="restart"/>
                  <w:tcBorders>
                    <w:tl2br w:val="nil"/>
                    <w:tr2bl w:val="nil"/>
                  </w:tcBorders>
                  <w:shd w:val="clear" w:color="auto" w:fill="auto"/>
                  <w:vAlign w:val="center"/>
                </w:tcPr>
                <w:p w14:paraId="24168570">
                  <w:pPr>
                    <w:adjustRightInd w:val="0"/>
                    <w:snapToGrid w:val="0"/>
                    <w:spacing w:line="320" w:lineRule="exact"/>
                    <w:jc w:val="center"/>
                    <w:textAlignment w:val="baseline"/>
                    <w:rPr>
                      <w:color w:val="auto"/>
                      <w:szCs w:val="21"/>
                    </w:rPr>
                  </w:pPr>
                  <w:r>
                    <w:rPr>
                      <w:color w:val="auto"/>
                      <w:szCs w:val="21"/>
                    </w:rPr>
                    <w:t>固废</w:t>
                  </w:r>
                </w:p>
              </w:tc>
              <w:tc>
                <w:tcPr>
                  <w:tcW w:w="591" w:type="pct"/>
                  <w:tcBorders>
                    <w:tl2br w:val="nil"/>
                    <w:tr2bl w:val="nil"/>
                  </w:tcBorders>
                  <w:shd w:val="clear" w:color="auto" w:fill="auto"/>
                  <w:vAlign w:val="center"/>
                </w:tcPr>
                <w:p w14:paraId="411E7B95">
                  <w:pPr>
                    <w:adjustRightInd w:val="0"/>
                    <w:snapToGrid w:val="0"/>
                    <w:spacing w:line="320" w:lineRule="exact"/>
                    <w:jc w:val="center"/>
                    <w:textAlignment w:val="baseline"/>
                    <w:rPr>
                      <w:color w:val="auto"/>
                      <w:szCs w:val="21"/>
                    </w:rPr>
                  </w:pPr>
                  <w:r>
                    <w:rPr>
                      <w:color w:val="auto"/>
                      <w:szCs w:val="21"/>
                    </w:rPr>
                    <w:t>一般固废</w:t>
                  </w:r>
                </w:p>
              </w:tc>
              <w:tc>
                <w:tcPr>
                  <w:tcW w:w="2549" w:type="pct"/>
                  <w:tcBorders>
                    <w:tl2br w:val="nil"/>
                    <w:tr2bl w:val="nil"/>
                  </w:tcBorders>
                  <w:shd w:val="clear" w:color="auto" w:fill="auto"/>
                  <w:vAlign w:val="center"/>
                </w:tcPr>
                <w:p w14:paraId="301E5DC5">
                  <w:pPr>
                    <w:pStyle w:val="100"/>
                    <w:spacing w:before="66" w:line="228" w:lineRule="auto"/>
                    <w:ind w:left="8"/>
                    <w:jc w:val="center"/>
                    <w:rPr>
                      <w:rFonts w:hint="default" w:ascii="Times New Roman" w:hAnsi="Times New Roman" w:eastAsia="宋体" w:cs="Times New Roman"/>
                      <w:color w:val="auto"/>
                      <w:sz w:val="21"/>
                      <w:szCs w:val="21"/>
                      <w:lang w:val="en-US" w:eastAsia="zh-CN" w:bidi="ar"/>
                    </w:rPr>
                  </w:pPr>
                  <w:r>
                    <w:rPr>
                      <w:rFonts w:hint="eastAsia" w:ascii="Times New Roman" w:hAnsi="Times New Roman" w:cs="Times New Roman"/>
                      <w:color w:val="auto"/>
                      <w:spacing w:val="7"/>
                      <w:sz w:val="21"/>
                      <w:szCs w:val="21"/>
                    </w:rPr>
                    <w:t>炉渣、废边角料、残次品及除尘灰由建设单位</w:t>
                  </w:r>
                  <w:r>
                    <w:rPr>
                      <w:rFonts w:ascii="Times New Roman" w:hAnsi="Times New Roman" w:cs="Times New Roman"/>
                      <w:color w:val="auto"/>
                      <w:spacing w:val="7"/>
                      <w:sz w:val="21"/>
                      <w:szCs w:val="21"/>
                    </w:rPr>
                    <w:t>集中</w:t>
                  </w:r>
                  <w:r>
                    <w:rPr>
                      <w:rFonts w:ascii="Times New Roman" w:hAnsi="Times New Roman" w:cs="Times New Roman"/>
                      <w:color w:val="auto"/>
                      <w:spacing w:val="6"/>
                      <w:sz w:val="21"/>
                      <w:szCs w:val="21"/>
                    </w:rPr>
                    <w:t>收集后</w:t>
                  </w:r>
                  <w:r>
                    <w:rPr>
                      <w:rFonts w:hint="eastAsia" w:ascii="Times New Roman" w:hAnsi="Times New Roman" w:cs="Times New Roman"/>
                      <w:color w:val="auto"/>
                      <w:spacing w:val="6"/>
                      <w:sz w:val="21"/>
                      <w:szCs w:val="21"/>
                    </w:rPr>
                    <w:t>综合利用</w:t>
                  </w:r>
                  <w:r>
                    <w:rPr>
                      <w:rFonts w:ascii="Times New Roman" w:hAnsi="Times New Roman" w:cs="Times New Roman"/>
                      <w:color w:val="auto"/>
                      <w:spacing w:val="6"/>
                      <w:sz w:val="21"/>
                      <w:szCs w:val="21"/>
                    </w:rPr>
                    <w:t>；废</w:t>
                  </w:r>
                  <w:r>
                    <w:rPr>
                      <w:rFonts w:hint="eastAsia" w:ascii="Times New Roman" w:hAnsi="Times New Roman" w:cs="Times New Roman"/>
                      <w:color w:val="auto"/>
                      <w:spacing w:val="6"/>
                      <w:sz w:val="21"/>
                      <w:szCs w:val="21"/>
                    </w:rPr>
                    <w:t>金属模具</w:t>
                  </w:r>
                  <w:r>
                    <w:rPr>
                      <w:rFonts w:ascii="Times New Roman" w:hAnsi="Times New Roman" w:cs="Times New Roman"/>
                      <w:color w:val="auto"/>
                      <w:spacing w:val="8"/>
                      <w:sz w:val="21"/>
                      <w:szCs w:val="21"/>
                    </w:rPr>
                    <w:t>由原厂回收</w:t>
                  </w:r>
                  <w:r>
                    <w:rPr>
                      <w:rFonts w:hint="eastAsia" w:ascii="Times New Roman" w:hAnsi="Times New Roman" w:cs="Times New Roman"/>
                      <w:color w:val="auto"/>
                      <w:spacing w:val="8"/>
                      <w:sz w:val="21"/>
                      <w:szCs w:val="21"/>
                    </w:rPr>
                    <w:t>以旧换新</w:t>
                  </w:r>
                  <w:r>
                    <w:rPr>
                      <w:rFonts w:hint="eastAsia" w:ascii="Times New Roman" w:hAnsi="Times New Roman" w:cs="Times New Roman"/>
                      <w:color w:val="auto"/>
                      <w:spacing w:val="8"/>
                      <w:sz w:val="21"/>
                      <w:szCs w:val="21"/>
                      <w:lang w:eastAsia="zh-CN"/>
                    </w:rPr>
                    <w:t>；</w:t>
                  </w:r>
                  <w:r>
                    <w:rPr>
                      <w:rFonts w:hint="eastAsia"/>
                      <w:color w:val="auto"/>
                      <w:sz w:val="21"/>
                      <w:szCs w:val="21"/>
                    </w:rPr>
                    <w:t>脱模剂外包装</w:t>
                  </w:r>
                  <w:r>
                    <w:rPr>
                      <w:rFonts w:hint="eastAsia"/>
                      <w:color w:val="auto"/>
                      <w:sz w:val="21"/>
                      <w:szCs w:val="21"/>
                      <w:lang w:val="en-US" w:eastAsia="zh-CN"/>
                    </w:rPr>
                    <w:t>交由废品回收站处置</w:t>
                  </w:r>
                </w:p>
              </w:tc>
              <w:tc>
                <w:tcPr>
                  <w:tcW w:w="925" w:type="pct"/>
                  <w:tcBorders>
                    <w:tl2br w:val="nil"/>
                    <w:tr2bl w:val="nil"/>
                  </w:tcBorders>
                  <w:shd w:val="clear" w:color="auto" w:fill="auto"/>
                  <w:vAlign w:val="center"/>
                </w:tcPr>
                <w:p w14:paraId="6BC6C04B">
                  <w:pPr>
                    <w:adjustRightInd w:val="0"/>
                    <w:snapToGrid w:val="0"/>
                    <w:spacing w:line="320" w:lineRule="exact"/>
                    <w:jc w:val="center"/>
                    <w:textAlignment w:val="baseline"/>
                    <w:rPr>
                      <w:color w:val="auto"/>
                      <w:szCs w:val="21"/>
                    </w:rPr>
                  </w:pPr>
                  <w:r>
                    <w:rPr>
                      <w:rFonts w:hint="eastAsia"/>
                      <w:color w:val="auto"/>
                      <w:szCs w:val="21"/>
                    </w:rPr>
                    <w:t>10</w:t>
                  </w:r>
                </w:p>
              </w:tc>
            </w:tr>
            <w:tr w14:paraId="6DBDA5E9">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472" w:type="pct"/>
                  <w:vMerge w:val="continue"/>
                  <w:tcBorders>
                    <w:tl2br w:val="nil"/>
                    <w:tr2bl w:val="nil"/>
                  </w:tcBorders>
                  <w:vAlign w:val="center"/>
                </w:tcPr>
                <w:p w14:paraId="593D2CBA">
                  <w:pPr>
                    <w:adjustRightInd w:val="0"/>
                    <w:snapToGrid w:val="0"/>
                    <w:spacing w:line="320" w:lineRule="exact"/>
                    <w:jc w:val="center"/>
                    <w:textAlignment w:val="baseline"/>
                    <w:rPr>
                      <w:color w:val="auto"/>
                      <w:szCs w:val="21"/>
                    </w:rPr>
                  </w:pPr>
                </w:p>
              </w:tc>
              <w:tc>
                <w:tcPr>
                  <w:tcW w:w="460" w:type="pct"/>
                  <w:vMerge w:val="continue"/>
                  <w:tcBorders>
                    <w:tl2br w:val="nil"/>
                    <w:tr2bl w:val="nil"/>
                  </w:tcBorders>
                  <w:shd w:val="clear" w:color="auto" w:fill="auto"/>
                  <w:vAlign w:val="center"/>
                </w:tcPr>
                <w:p w14:paraId="09B967AF">
                  <w:pPr>
                    <w:adjustRightInd w:val="0"/>
                    <w:snapToGrid w:val="0"/>
                    <w:spacing w:line="320" w:lineRule="exact"/>
                    <w:jc w:val="center"/>
                    <w:textAlignment w:val="baseline"/>
                    <w:rPr>
                      <w:color w:val="auto"/>
                      <w:szCs w:val="21"/>
                    </w:rPr>
                  </w:pPr>
                </w:p>
              </w:tc>
              <w:tc>
                <w:tcPr>
                  <w:tcW w:w="591" w:type="pct"/>
                  <w:tcBorders>
                    <w:tl2br w:val="nil"/>
                    <w:tr2bl w:val="nil"/>
                  </w:tcBorders>
                  <w:shd w:val="clear" w:color="auto" w:fill="auto"/>
                  <w:vAlign w:val="center"/>
                </w:tcPr>
                <w:p w14:paraId="6E9D91BF">
                  <w:pPr>
                    <w:adjustRightInd w:val="0"/>
                    <w:snapToGrid w:val="0"/>
                    <w:spacing w:line="320" w:lineRule="exact"/>
                    <w:jc w:val="center"/>
                    <w:textAlignment w:val="baseline"/>
                    <w:rPr>
                      <w:color w:val="auto"/>
                      <w:szCs w:val="21"/>
                    </w:rPr>
                  </w:pPr>
                  <w:r>
                    <w:rPr>
                      <w:color w:val="auto"/>
                      <w:szCs w:val="21"/>
                    </w:rPr>
                    <w:t>生活垃圾</w:t>
                  </w:r>
                </w:p>
              </w:tc>
              <w:tc>
                <w:tcPr>
                  <w:tcW w:w="2549" w:type="pct"/>
                  <w:tcBorders>
                    <w:tl2br w:val="nil"/>
                    <w:tr2bl w:val="nil"/>
                  </w:tcBorders>
                  <w:shd w:val="clear" w:color="auto" w:fill="auto"/>
                  <w:vAlign w:val="center"/>
                </w:tcPr>
                <w:p w14:paraId="722B2F1B">
                  <w:pPr>
                    <w:pStyle w:val="100"/>
                    <w:spacing w:before="66" w:line="228" w:lineRule="auto"/>
                    <w:ind w:left="8"/>
                    <w:jc w:val="center"/>
                    <w:rPr>
                      <w:rFonts w:ascii="Times New Roman" w:hAnsi="Times New Roman" w:cs="Times New Roman"/>
                      <w:color w:val="auto"/>
                      <w:sz w:val="21"/>
                      <w:szCs w:val="21"/>
                      <w:lang w:bidi="ar"/>
                    </w:rPr>
                  </w:pPr>
                  <w:r>
                    <w:rPr>
                      <w:rFonts w:ascii="Times New Roman" w:hAnsi="Times New Roman" w:cs="Times New Roman"/>
                      <w:color w:val="auto"/>
                      <w:sz w:val="21"/>
                      <w:szCs w:val="21"/>
                      <w:lang w:bidi="ar"/>
                    </w:rPr>
                    <w:t>生活垃圾收集于垃圾收集点后清运至垃圾处理场</w:t>
                  </w:r>
                </w:p>
              </w:tc>
              <w:tc>
                <w:tcPr>
                  <w:tcW w:w="925" w:type="pct"/>
                  <w:tcBorders>
                    <w:tl2br w:val="nil"/>
                    <w:tr2bl w:val="nil"/>
                  </w:tcBorders>
                  <w:shd w:val="clear" w:color="auto" w:fill="auto"/>
                  <w:vAlign w:val="center"/>
                </w:tcPr>
                <w:p w14:paraId="0C6C042E">
                  <w:pPr>
                    <w:adjustRightInd w:val="0"/>
                    <w:snapToGrid w:val="0"/>
                    <w:spacing w:line="320" w:lineRule="exact"/>
                    <w:jc w:val="center"/>
                    <w:textAlignment w:val="baseline"/>
                    <w:rPr>
                      <w:color w:val="auto"/>
                      <w:szCs w:val="21"/>
                    </w:rPr>
                  </w:pPr>
                  <w:r>
                    <w:rPr>
                      <w:rFonts w:hint="eastAsia"/>
                      <w:color w:val="auto"/>
                      <w:szCs w:val="21"/>
                    </w:rPr>
                    <w:t>3</w:t>
                  </w:r>
                </w:p>
              </w:tc>
            </w:tr>
            <w:tr w14:paraId="2409F76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472" w:type="pct"/>
                  <w:vMerge w:val="continue"/>
                  <w:tcBorders>
                    <w:tl2br w:val="nil"/>
                    <w:tr2bl w:val="nil"/>
                  </w:tcBorders>
                  <w:vAlign w:val="center"/>
                </w:tcPr>
                <w:p w14:paraId="4E5A5F9E">
                  <w:pPr>
                    <w:adjustRightInd w:val="0"/>
                    <w:snapToGrid w:val="0"/>
                    <w:spacing w:line="320" w:lineRule="exact"/>
                    <w:jc w:val="center"/>
                    <w:rPr>
                      <w:color w:val="auto"/>
                      <w:szCs w:val="21"/>
                    </w:rPr>
                  </w:pPr>
                </w:p>
              </w:tc>
              <w:tc>
                <w:tcPr>
                  <w:tcW w:w="460" w:type="pct"/>
                  <w:vMerge w:val="continue"/>
                  <w:tcBorders>
                    <w:tl2br w:val="nil"/>
                    <w:tr2bl w:val="nil"/>
                  </w:tcBorders>
                  <w:shd w:val="clear" w:color="auto" w:fill="auto"/>
                  <w:vAlign w:val="center"/>
                </w:tcPr>
                <w:p w14:paraId="37B8094F">
                  <w:pPr>
                    <w:adjustRightInd w:val="0"/>
                    <w:snapToGrid w:val="0"/>
                    <w:spacing w:line="320" w:lineRule="exact"/>
                    <w:jc w:val="center"/>
                    <w:textAlignment w:val="baseline"/>
                    <w:rPr>
                      <w:color w:val="auto"/>
                      <w:szCs w:val="21"/>
                    </w:rPr>
                  </w:pPr>
                </w:p>
              </w:tc>
              <w:tc>
                <w:tcPr>
                  <w:tcW w:w="591" w:type="pct"/>
                  <w:tcBorders>
                    <w:tl2br w:val="nil"/>
                    <w:tr2bl w:val="nil"/>
                  </w:tcBorders>
                  <w:shd w:val="clear" w:color="auto" w:fill="auto"/>
                  <w:vAlign w:val="center"/>
                </w:tcPr>
                <w:p w14:paraId="03AE66C9">
                  <w:pPr>
                    <w:adjustRightInd w:val="0"/>
                    <w:snapToGrid w:val="0"/>
                    <w:spacing w:line="320" w:lineRule="exact"/>
                    <w:jc w:val="center"/>
                    <w:textAlignment w:val="baseline"/>
                    <w:rPr>
                      <w:color w:val="auto"/>
                      <w:szCs w:val="21"/>
                    </w:rPr>
                  </w:pPr>
                  <w:r>
                    <w:rPr>
                      <w:rFonts w:hint="eastAsia"/>
                      <w:color w:val="auto"/>
                      <w:szCs w:val="21"/>
                    </w:rPr>
                    <w:t>危险废物</w:t>
                  </w:r>
                </w:p>
              </w:tc>
              <w:tc>
                <w:tcPr>
                  <w:tcW w:w="2549" w:type="pct"/>
                  <w:tcBorders>
                    <w:tl2br w:val="nil"/>
                    <w:tr2bl w:val="nil"/>
                  </w:tcBorders>
                  <w:shd w:val="clear" w:color="auto" w:fill="auto"/>
                  <w:vAlign w:val="center"/>
                </w:tcPr>
                <w:p w14:paraId="123DD9F7">
                  <w:pPr>
                    <w:adjustRightInd w:val="0"/>
                    <w:snapToGrid w:val="0"/>
                    <w:spacing w:line="320" w:lineRule="exact"/>
                    <w:jc w:val="center"/>
                    <w:textAlignment w:val="baseline"/>
                    <w:rPr>
                      <w:color w:val="auto"/>
                      <w:szCs w:val="21"/>
                    </w:rPr>
                  </w:pPr>
                  <w:r>
                    <w:rPr>
                      <w:rFonts w:hint="eastAsia"/>
                      <w:color w:val="auto"/>
                      <w:szCs w:val="21"/>
                    </w:rPr>
                    <w:t>废机油、废乳化液及废液压油按危废贮存要求存储，委托有相应资质的单位处置</w:t>
                  </w:r>
                </w:p>
              </w:tc>
              <w:tc>
                <w:tcPr>
                  <w:tcW w:w="925" w:type="pct"/>
                  <w:tcBorders>
                    <w:tl2br w:val="nil"/>
                    <w:tr2bl w:val="nil"/>
                  </w:tcBorders>
                  <w:shd w:val="clear" w:color="auto" w:fill="auto"/>
                  <w:vAlign w:val="center"/>
                </w:tcPr>
                <w:p w14:paraId="26771555">
                  <w:pPr>
                    <w:adjustRightInd w:val="0"/>
                    <w:snapToGrid w:val="0"/>
                    <w:spacing w:line="320" w:lineRule="exact"/>
                    <w:jc w:val="center"/>
                    <w:textAlignment w:val="baseline"/>
                    <w:rPr>
                      <w:color w:val="auto"/>
                      <w:szCs w:val="21"/>
                    </w:rPr>
                  </w:pPr>
                  <w:r>
                    <w:rPr>
                      <w:rFonts w:hint="eastAsia"/>
                      <w:color w:val="auto"/>
                      <w:szCs w:val="21"/>
                    </w:rPr>
                    <w:t>2</w:t>
                  </w:r>
                </w:p>
              </w:tc>
            </w:tr>
            <w:tr w14:paraId="73183C4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472" w:type="pct"/>
                  <w:vMerge w:val="continue"/>
                  <w:tcBorders>
                    <w:tl2br w:val="nil"/>
                    <w:tr2bl w:val="nil"/>
                  </w:tcBorders>
                  <w:vAlign w:val="center"/>
                </w:tcPr>
                <w:p w14:paraId="75322BAC">
                  <w:pPr>
                    <w:adjustRightInd w:val="0"/>
                    <w:snapToGrid w:val="0"/>
                    <w:spacing w:line="320" w:lineRule="exact"/>
                    <w:jc w:val="center"/>
                    <w:rPr>
                      <w:color w:val="auto"/>
                      <w:szCs w:val="21"/>
                    </w:rPr>
                  </w:pPr>
                </w:p>
              </w:tc>
              <w:tc>
                <w:tcPr>
                  <w:tcW w:w="1051" w:type="pct"/>
                  <w:gridSpan w:val="2"/>
                  <w:vMerge w:val="restart"/>
                  <w:tcBorders>
                    <w:tl2br w:val="nil"/>
                    <w:tr2bl w:val="nil"/>
                  </w:tcBorders>
                  <w:shd w:val="clear" w:color="auto" w:fill="auto"/>
                  <w:vAlign w:val="center"/>
                </w:tcPr>
                <w:p w14:paraId="084F7114">
                  <w:pPr>
                    <w:adjustRightInd w:val="0"/>
                    <w:snapToGrid w:val="0"/>
                    <w:spacing w:line="320" w:lineRule="exact"/>
                    <w:jc w:val="center"/>
                    <w:textAlignment w:val="baseline"/>
                    <w:rPr>
                      <w:color w:val="auto"/>
                      <w:szCs w:val="21"/>
                    </w:rPr>
                  </w:pPr>
                  <w:r>
                    <w:rPr>
                      <w:rFonts w:hint="eastAsia"/>
                      <w:color w:val="auto"/>
                      <w:szCs w:val="21"/>
                    </w:rPr>
                    <w:t>环境管理</w:t>
                  </w:r>
                </w:p>
              </w:tc>
              <w:tc>
                <w:tcPr>
                  <w:tcW w:w="2549" w:type="pct"/>
                  <w:tcBorders>
                    <w:tl2br w:val="nil"/>
                    <w:tr2bl w:val="nil"/>
                  </w:tcBorders>
                  <w:shd w:val="clear" w:color="auto" w:fill="auto"/>
                  <w:vAlign w:val="center"/>
                </w:tcPr>
                <w:p w14:paraId="0BF029C3">
                  <w:pPr>
                    <w:adjustRightInd w:val="0"/>
                    <w:snapToGrid w:val="0"/>
                    <w:spacing w:line="320" w:lineRule="exact"/>
                    <w:jc w:val="center"/>
                    <w:textAlignment w:val="baseline"/>
                    <w:rPr>
                      <w:color w:val="auto"/>
                      <w:szCs w:val="21"/>
                    </w:rPr>
                  </w:pPr>
                  <w:r>
                    <w:rPr>
                      <w:color w:val="auto"/>
                      <w:szCs w:val="21"/>
                    </w:rPr>
                    <w:t>排污许可、竣工环境保护验收、自行监测等</w:t>
                  </w:r>
                </w:p>
              </w:tc>
              <w:tc>
                <w:tcPr>
                  <w:tcW w:w="925" w:type="pct"/>
                  <w:tcBorders>
                    <w:tl2br w:val="nil"/>
                    <w:tr2bl w:val="nil"/>
                  </w:tcBorders>
                  <w:shd w:val="clear" w:color="auto" w:fill="auto"/>
                  <w:vAlign w:val="center"/>
                </w:tcPr>
                <w:p w14:paraId="01A37AA6">
                  <w:pPr>
                    <w:adjustRightInd w:val="0"/>
                    <w:snapToGrid w:val="0"/>
                    <w:spacing w:line="320" w:lineRule="exact"/>
                    <w:jc w:val="center"/>
                    <w:textAlignment w:val="baseline"/>
                    <w:rPr>
                      <w:color w:val="auto"/>
                      <w:szCs w:val="21"/>
                    </w:rPr>
                  </w:pPr>
                  <w:r>
                    <w:rPr>
                      <w:rFonts w:hint="eastAsia"/>
                      <w:color w:val="auto"/>
                      <w:szCs w:val="21"/>
                    </w:rPr>
                    <w:t>20</w:t>
                  </w:r>
                </w:p>
              </w:tc>
            </w:tr>
            <w:tr w14:paraId="541D9BE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472" w:type="pct"/>
                  <w:vMerge w:val="continue"/>
                  <w:tcBorders>
                    <w:tl2br w:val="nil"/>
                    <w:tr2bl w:val="nil"/>
                  </w:tcBorders>
                  <w:vAlign w:val="center"/>
                </w:tcPr>
                <w:p w14:paraId="4C42F919">
                  <w:pPr>
                    <w:adjustRightInd w:val="0"/>
                    <w:snapToGrid w:val="0"/>
                    <w:spacing w:line="320" w:lineRule="exact"/>
                    <w:jc w:val="center"/>
                    <w:rPr>
                      <w:color w:val="auto"/>
                      <w:szCs w:val="21"/>
                    </w:rPr>
                  </w:pPr>
                </w:p>
              </w:tc>
              <w:tc>
                <w:tcPr>
                  <w:tcW w:w="1051" w:type="pct"/>
                  <w:gridSpan w:val="2"/>
                  <w:vMerge w:val="continue"/>
                  <w:tcBorders>
                    <w:tl2br w:val="nil"/>
                    <w:tr2bl w:val="nil"/>
                  </w:tcBorders>
                  <w:shd w:val="clear" w:color="auto" w:fill="auto"/>
                  <w:vAlign w:val="center"/>
                </w:tcPr>
                <w:p w14:paraId="5A5779B0">
                  <w:pPr>
                    <w:adjustRightInd w:val="0"/>
                    <w:snapToGrid w:val="0"/>
                    <w:spacing w:line="320" w:lineRule="exact"/>
                    <w:jc w:val="center"/>
                    <w:textAlignment w:val="baseline"/>
                    <w:rPr>
                      <w:color w:val="auto"/>
                      <w:szCs w:val="21"/>
                    </w:rPr>
                  </w:pPr>
                </w:p>
              </w:tc>
              <w:tc>
                <w:tcPr>
                  <w:tcW w:w="2549" w:type="pct"/>
                  <w:tcBorders>
                    <w:tl2br w:val="nil"/>
                    <w:tr2bl w:val="nil"/>
                  </w:tcBorders>
                  <w:shd w:val="clear" w:color="auto" w:fill="auto"/>
                  <w:vAlign w:val="center"/>
                </w:tcPr>
                <w:p w14:paraId="5DEE19EE">
                  <w:pPr>
                    <w:jc w:val="center"/>
                    <w:rPr>
                      <w:color w:val="auto"/>
                      <w:szCs w:val="21"/>
                    </w:rPr>
                  </w:pPr>
                  <w:r>
                    <w:rPr>
                      <w:color w:val="auto"/>
                      <w:szCs w:val="21"/>
                    </w:rPr>
                    <w:t>分区防渗</w:t>
                  </w:r>
                </w:p>
              </w:tc>
              <w:tc>
                <w:tcPr>
                  <w:tcW w:w="925" w:type="pct"/>
                  <w:tcBorders>
                    <w:tl2br w:val="nil"/>
                    <w:tr2bl w:val="nil"/>
                  </w:tcBorders>
                  <w:shd w:val="clear" w:color="auto" w:fill="auto"/>
                  <w:vAlign w:val="center"/>
                </w:tcPr>
                <w:p w14:paraId="6822EC51">
                  <w:pPr>
                    <w:jc w:val="center"/>
                    <w:rPr>
                      <w:color w:val="auto"/>
                    </w:rPr>
                  </w:pPr>
                  <w:r>
                    <w:rPr>
                      <w:rFonts w:hint="eastAsia"/>
                      <w:color w:val="auto"/>
                    </w:rPr>
                    <w:t>4</w:t>
                  </w:r>
                </w:p>
              </w:tc>
            </w:tr>
            <w:tr w14:paraId="08CE30A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472" w:type="pct"/>
                  <w:vMerge w:val="continue"/>
                  <w:tcBorders>
                    <w:tl2br w:val="nil"/>
                    <w:tr2bl w:val="nil"/>
                  </w:tcBorders>
                  <w:vAlign w:val="center"/>
                </w:tcPr>
                <w:p w14:paraId="07A5B8C3">
                  <w:pPr>
                    <w:adjustRightInd w:val="0"/>
                    <w:snapToGrid w:val="0"/>
                    <w:spacing w:line="320" w:lineRule="exact"/>
                    <w:jc w:val="center"/>
                    <w:textAlignment w:val="baseline"/>
                    <w:rPr>
                      <w:color w:val="auto"/>
                      <w:szCs w:val="21"/>
                    </w:rPr>
                  </w:pPr>
                </w:p>
              </w:tc>
              <w:tc>
                <w:tcPr>
                  <w:tcW w:w="1051" w:type="pct"/>
                  <w:gridSpan w:val="2"/>
                  <w:vMerge w:val="continue"/>
                  <w:tcBorders>
                    <w:tl2br w:val="nil"/>
                    <w:tr2bl w:val="nil"/>
                  </w:tcBorders>
                  <w:shd w:val="clear" w:color="auto" w:fill="auto"/>
                  <w:vAlign w:val="center"/>
                </w:tcPr>
                <w:p w14:paraId="54538CB6">
                  <w:pPr>
                    <w:adjustRightInd w:val="0"/>
                    <w:snapToGrid w:val="0"/>
                    <w:spacing w:line="320" w:lineRule="exact"/>
                    <w:jc w:val="center"/>
                    <w:textAlignment w:val="baseline"/>
                    <w:rPr>
                      <w:color w:val="auto"/>
                      <w:szCs w:val="21"/>
                    </w:rPr>
                  </w:pPr>
                </w:p>
              </w:tc>
              <w:tc>
                <w:tcPr>
                  <w:tcW w:w="2549" w:type="pct"/>
                  <w:tcBorders>
                    <w:tl2br w:val="nil"/>
                    <w:tr2bl w:val="nil"/>
                  </w:tcBorders>
                  <w:shd w:val="clear" w:color="auto" w:fill="auto"/>
                  <w:vAlign w:val="center"/>
                </w:tcPr>
                <w:p w14:paraId="1130D605">
                  <w:pPr>
                    <w:adjustRightInd w:val="0"/>
                    <w:snapToGrid w:val="0"/>
                    <w:spacing w:line="320" w:lineRule="exact"/>
                    <w:jc w:val="center"/>
                    <w:textAlignment w:val="baseline"/>
                    <w:rPr>
                      <w:color w:val="auto"/>
                      <w:szCs w:val="21"/>
                    </w:rPr>
                  </w:pPr>
                  <w:r>
                    <w:rPr>
                      <w:color w:val="auto"/>
                    </w:rPr>
                    <w:t>环境风险防范</w:t>
                  </w:r>
                </w:p>
              </w:tc>
              <w:tc>
                <w:tcPr>
                  <w:tcW w:w="925" w:type="pct"/>
                  <w:tcBorders>
                    <w:tl2br w:val="nil"/>
                    <w:tr2bl w:val="nil"/>
                  </w:tcBorders>
                  <w:shd w:val="clear" w:color="auto" w:fill="auto"/>
                  <w:vAlign w:val="center"/>
                </w:tcPr>
                <w:p w14:paraId="6943A6D2">
                  <w:pPr>
                    <w:adjustRightInd w:val="0"/>
                    <w:snapToGrid w:val="0"/>
                    <w:spacing w:line="320" w:lineRule="exact"/>
                    <w:jc w:val="center"/>
                    <w:textAlignment w:val="baseline"/>
                    <w:rPr>
                      <w:color w:val="auto"/>
                      <w:szCs w:val="21"/>
                    </w:rPr>
                  </w:pPr>
                  <w:r>
                    <w:rPr>
                      <w:rFonts w:hint="eastAsia"/>
                      <w:color w:val="auto"/>
                      <w:szCs w:val="21"/>
                    </w:rPr>
                    <w:t>5</w:t>
                  </w:r>
                </w:p>
              </w:tc>
            </w:tr>
            <w:tr w14:paraId="13ECED5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472" w:type="pct"/>
                  <w:vMerge w:val="continue"/>
                  <w:tcBorders>
                    <w:tl2br w:val="nil"/>
                    <w:tr2bl w:val="nil"/>
                  </w:tcBorders>
                  <w:vAlign w:val="center"/>
                </w:tcPr>
                <w:p w14:paraId="3705665A">
                  <w:pPr>
                    <w:adjustRightInd w:val="0"/>
                    <w:snapToGrid w:val="0"/>
                    <w:spacing w:line="320" w:lineRule="exact"/>
                    <w:jc w:val="center"/>
                    <w:textAlignment w:val="baseline"/>
                    <w:rPr>
                      <w:color w:val="auto"/>
                      <w:szCs w:val="21"/>
                    </w:rPr>
                  </w:pPr>
                </w:p>
              </w:tc>
              <w:tc>
                <w:tcPr>
                  <w:tcW w:w="3601" w:type="pct"/>
                  <w:gridSpan w:val="3"/>
                  <w:tcBorders>
                    <w:tl2br w:val="nil"/>
                    <w:tr2bl w:val="nil"/>
                  </w:tcBorders>
                  <w:shd w:val="clear" w:color="auto" w:fill="auto"/>
                  <w:vAlign w:val="center"/>
                </w:tcPr>
                <w:p w14:paraId="57C1B018">
                  <w:pPr>
                    <w:adjustRightInd w:val="0"/>
                    <w:snapToGrid w:val="0"/>
                    <w:spacing w:line="320" w:lineRule="exact"/>
                    <w:jc w:val="center"/>
                    <w:textAlignment w:val="baseline"/>
                    <w:rPr>
                      <w:color w:val="auto"/>
                      <w:szCs w:val="21"/>
                    </w:rPr>
                  </w:pPr>
                  <w:r>
                    <w:rPr>
                      <w:color w:val="auto"/>
                      <w:szCs w:val="21"/>
                    </w:rPr>
                    <w:t>合计</w:t>
                  </w:r>
                </w:p>
              </w:tc>
              <w:tc>
                <w:tcPr>
                  <w:tcW w:w="925" w:type="pct"/>
                  <w:tcBorders>
                    <w:tl2br w:val="nil"/>
                    <w:tr2bl w:val="nil"/>
                  </w:tcBorders>
                  <w:shd w:val="clear" w:color="auto" w:fill="auto"/>
                  <w:vAlign w:val="center"/>
                </w:tcPr>
                <w:p w14:paraId="2464D488">
                  <w:pPr>
                    <w:adjustRightInd w:val="0"/>
                    <w:snapToGrid w:val="0"/>
                    <w:spacing w:line="320" w:lineRule="exact"/>
                    <w:jc w:val="center"/>
                    <w:textAlignment w:val="baseline"/>
                    <w:rPr>
                      <w:color w:val="auto"/>
                      <w:szCs w:val="21"/>
                    </w:rPr>
                  </w:pPr>
                  <w:r>
                    <w:rPr>
                      <w:rFonts w:hint="eastAsia"/>
                      <w:color w:val="auto"/>
                      <w:szCs w:val="21"/>
                    </w:rPr>
                    <w:t>133</w:t>
                  </w:r>
                </w:p>
              </w:tc>
            </w:tr>
          </w:tbl>
          <w:p w14:paraId="67B275BD">
            <w:pPr>
              <w:keepNext/>
              <w:keepLines/>
              <w:spacing w:line="360" w:lineRule="auto"/>
              <w:outlineLvl w:val="2"/>
              <w:rPr>
                <w:rFonts w:ascii="宋体" w:hAnsi="宋体" w:cs="宋体"/>
                <w:b/>
                <w:color w:val="auto"/>
                <w:sz w:val="28"/>
                <w:szCs w:val="28"/>
              </w:rPr>
            </w:pPr>
            <w:r>
              <w:rPr>
                <w:rFonts w:hint="eastAsia" w:ascii="宋体" w:hAnsi="宋体" w:cs="宋体"/>
                <w:b/>
                <w:color w:val="auto"/>
                <w:sz w:val="28"/>
                <w:szCs w:val="28"/>
                <w:lang w:bidi="ar"/>
              </w:rPr>
              <w:t>9. “三同时”验收</w:t>
            </w:r>
          </w:p>
          <w:p w14:paraId="488DBE8C">
            <w:pPr>
              <w:adjustRightInd w:val="0"/>
              <w:spacing w:line="360" w:lineRule="auto"/>
              <w:ind w:firstLine="480" w:firstLineChars="200"/>
              <w:textAlignment w:val="baseline"/>
              <w:rPr>
                <w:color w:val="auto"/>
                <w:kern w:val="0"/>
                <w:sz w:val="24"/>
              </w:rPr>
            </w:pPr>
            <w:r>
              <w:rPr>
                <w:rFonts w:hint="eastAsia" w:ascii="宋体" w:hAnsi="宋体" w:cs="宋体"/>
                <w:color w:val="auto"/>
                <w:kern w:val="0"/>
                <w:sz w:val="24"/>
                <w:lang w:bidi="ar"/>
              </w:rPr>
              <w:t>建设项</w:t>
            </w:r>
            <w:r>
              <w:rPr>
                <w:color w:val="auto"/>
                <w:kern w:val="0"/>
                <w:sz w:val="24"/>
                <w:lang w:bidi="ar"/>
              </w:rPr>
              <w:t>目必须严格执行“三同时”制度。按工程质量和环保要求对项目进行全面环境管理。“三同时”验收内容详见表4-2</w:t>
            </w:r>
            <w:r>
              <w:rPr>
                <w:rFonts w:hint="eastAsia"/>
                <w:color w:val="auto"/>
                <w:kern w:val="0"/>
                <w:sz w:val="24"/>
                <w:lang w:val="en-US" w:eastAsia="zh-CN" w:bidi="ar"/>
              </w:rPr>
              <w:t>4</w:t>
            </w:r>
            <w:r>
              <w:rPr>
                <w:color w:val="auto"/>
                <w:kern w:val="0"/>
                <w:sz w:val="24"/>
                <w:lang w:bidi="ar"/>
              </w:rPr>
              <w:t>。</w:t>
            </w:r>
          </w:p>
          <w:p w14:paraId="591E080B">
            <w:pPr>
              <w:adjustRightInd w:val="0"/>
              <w:snapToGrid w:val="0"/>
              <w:spacing w:line="360" w:lineRule="auto"/>
              <w:ind w:firstLine="2182" w:firstLineChars="1035"/>
              <w:jc w:val="left"/>
              <w:textAlignment w:val="baseline"/>
              <w:rPr>
                <w:color w:val="auto"/>
              </w:rPr>
            </w:pPr>
            <w:r>
              <w:rPr>
                <w:b/>
                <w:bCs/>
                <w:color w:val="auto"/>
                <w:kern w:val="0"/>
                <w:szCs w:val="21"/>
                <w:lang w:bidi="ar"/>
              </w:rPr>
              <w:t>表4-2</w:t>
            </w:r>
            <w:r>
              <w:rPr>
                <w:rFonts w:hint="eastAsia"/>
                <w:b/>
                <w:bCs/>
                <w:color w:val="auto"/>
                <w:kern w:val="0"/>
                <w:szCs w:val="21"/>
                <w:lang w:val="en-US" w:eastAsia="zh-CN" w:bidi="ar"/>
              </w:rPr>
              <w:t>4</w:t>
            </w:r>
            <w:r>
              <w:rPr>
                <w:b/>
                <w:bCs/>
                <w:color w:val="auto"/>
                <w:kern w:val="0"/>
                <w:szCs w:val="21"/>
                <w:lang w:bidi="ar"/>
              </w:rPr>
              <w:t xml:space="preserve">      “三同时”验收一览表</w:t>
            </w:r>
          </w:p>
          <w:tbl>
            <w:tblPr>
              <w:tblStyle w:val="2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114"/>
              <w:gridCol w:w="3674"/>
              <w:gridCol w:w="2568"/>
            </w:tblGrid>
            <w:tr w14:paraId="0240D5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16" w:type="pct"/>
                  <w:tcBorders>
                    <w:tl2br w:val="nil"/>
                    <w:tr2bl w:val="nil"/>
                  </w:tcBorders>
                  <w:shd w:val="clear" w:color="auto" w:fill="auto"/>
                  <w:vAlign w:val="center"/>
                </w:tcPr>
                <w:p w14:paraId="41E69714">
                  <w:pPr>
                    <w:overflowPunct w:val="0"/>
                    <w:snapToGrid w:val="0"/>
                    <w:jc w:val="center"/>
                    <w:rPr>
                      <w:b/>
                      <w:color w:val="auto"/>
                      <w:szCs w:val="21"/>
                    </w:rPr>
                  </w:pPr>
                  <w:r>
                    <w:rPr>
                      <w:b/>
                      <w:color w:val="auto"/>
                      <w:szCs w:val="21"/>
                      <w:lang w:bidi="ar"/>
                    </w:rPr>
                    <w:t>时期</w:t>
                  </w:r>
                </w:p>
              </w:tc>
              <w:tc>
                <w:tcPr>
                  <w:tcW w:w="694" w:type="pct"/>
                  <w:tcBorders>
                    <w:tl2br w:val="nil"/>
                    <w:tr2bl w:val="nil"/>
                  </w:tcBorders>
                  <w:shd w:val="clear" w:color="auto" w:fill="auto"/>
                  <w:vAlign w:val="center"/>
                </w:tcPr>
                <w:p w14:paraId="0F12300C">
                  <w:pPr>
                    <w:overflowPunct w:val="0"/>
                    <w:snapToGrid w:val="0"/>
                    <w:jc w:val="center"/>
                    <w:rPr>
                      <w:b/>
                      <w:color w:val="auto"/>
                      <w:szCs w:val="21"/>
                    </w:rPr>
                  </w:pPr>
                  <w:r>
                    <w:rPr>
                      <w:b/>
                      <w:color w:val="auto"/>
                      <w:szCs w:val="21"/>
                      <w:lang w:bidi="ar"/>
                    </w:rPr>
                    <w:t>污染源</w:t>
                  </w:r>
                </w:p>
              </w:tc>
              <w:tc>
                <w:tcPr>
                  <w:tcW w:w="2289" w:type="pct"/>
                  <w:tcBorders>
                    <w:tl2br w:val="nil"/>
                    <w:tr2bl w:val="nil"/>
                  </w:tcBorders>
                  <w:shd w:val="clear" w:color="auto" w:fill="auto"/>
                  <w:vAlign w:val="center"/>
                </w:tcPr>
                <w:p w14:paraId="387A1111">
                  <w:pPr>
                    <w:overflowPunct w:val="0"/>
                    <w:snapToGrid w:val="0"/>
                    <w:jc w:val="center"/>
                    <w:rPr>
                      <w:b/>
                      <w:color w:val="auto"/>
                      <w:szCs w:val="21"/>
                    </w:rPr>
                  </w:pPr>
                  <w:r>
                    <w:rPr>
                      <w:b/>
                      <w:color w:val="auto"/>
                      <w:szCs w:val="21"/>
                      <w:lang w:bidi="ar"/>
                    </w:rPr>
                    <w:t>环保措施</w:t>
                  </w:r>
                </w:p>
              </w:tc>
              <w:tc>
                <w:tcPr>
                  <w:tcW w:w="1600" w:type="pct"/>
                  <w:tcBorders>
                    <w:tl2br w:val="nil"/>
                    <w:tr2bl w:val="nil"/>
                  </w:tcBorders>
                  <w:shd w:val="clear" w:color="auto" w:fill="auto"/>
                  <w:vAlign w:val="center"/>
                </w:tcPr>
                <w:p w14:paraId="275B5E7C">
                  <w:pPr>
                    <w:overflowPunct w:val="0"/>
                    <w:snapToGrid w:val="0"/>
                    <w:jc w:val="center"/>
                    <w:rPr>
                      <w:b/>
                      <w:color w:val="auto"/>
                      <w:szCs w:val="21"/>
                    </w:rPr>
                  </w:pPr>
                  <w:r>
                    <w:rPr>
                      <w:b/>
                      <w:color w:val="auto"/>
                      <w:szCs w:val="21"/>
                      <w:lang w:bidi="ar"/>
                    </w:rPr>
                    <w:t>排放情况</w:t>
                  </w:r>
                </w:p>
              </w:tc>
            </w:tr>
            <w:tr w14:paraId="0506AE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16" w:type="pct"/>
                  <w:vMerge w:val="restart"/>
                  <w:tcBorders>
                    <w:tl2br w:val="nil"/>
                    <w:tr2bl w:val="nil"/>
                  </w:tcBorders>
                  <w:shd w:val="clear" w:color="auto" w:fill="auto"/>
                  <w:vAlign w:val="center"/>
                </w:tcPr>
                <w:p w14:paraId="3B0C360F">
                  <w:pPr>
                    <w:widowControl/>
                    <w:adjustRightInd w:val="0"/>
                    <w:snapToGrid w:val="0"/>
                    <w:jc w:val="center"/>
                    <w:rPr>
                      <w:color w:val="auto"/>
                      <w:szCs w:val="21"/>
                    </w:rPr>
                  </w:pPr>
                  <w:r>
                    <w:rPr>
                      <w:color w:val="auto"/>
                      <w:szCs w:val="21"/>
                    </w:rPr>
                    <w:t>施</w:t>
                  </w:r>
                </w:p>
                <w:p w14:paraId="2357C228">
                  <w:pPr>
                    <w:widowControl/>
                    <w:adjustRightInd w:val="0"/>
                    <w:snapToGrid w:val="0"/>
                    <w:jc w:val="center"/>
                    <w:rPr>
                      <w:color w:val="auto"/>
                      <w:szCs w:val="21"/>
                    </w:rPr>
                  </w:pPr>
                  <w:r>
                    <w:rPr>
                      <w:color w:val="auto"/>
                      <w:szCs w:val="21"/>
                    </w:rPr>
                    <w:t>工</w:t>
                  </w:r>
                </w:p>
                <w:p w14:paraId="0EC19656">
                  <w:pPr>
                    <w:widowControl/>
                    <w:adjustRightInd w:val="0"/>
                    <w:snapToGrid w:val="0"/>
                    <w:jc w:val="center"/>
                    <w:rPr>
                      <w:b/>
                      <w:color w:val="auto"/>
                      <w:szCs w:val="21"/>
                      <w:lang w:bidi="ar"/>
                    </w:rPr>
                  </w:pPr>
                  <w:r>
                    <w:rPr>
                      <w:color w:val="auto"/>
                      <w:szCs w:val="21"/>
                    </w:rPr>
                    <w:t>期</w:t>
                  </w:r>
                </w:p>
              </w:tc>
              <w:tc>
                <w:tcPr>
                  <w:tcW w:w="694" w:type="pct"/>
                  <w:tcBorders>
                    <w:tl2br w:val="nil"/>
                    <w:tr2bl w:val="nil"/>
                  </w:tcBorders>
                  <w:shd w:val="clear" w:color="auto" w:fill="auto"/>
                  <w:vAlign w:val="center"/>
                </w:tcPr>
                <w:p w14:paraId="322F64E5">
                  <w:pPr>
                    <w:widowControl/>
                    <w:adjustRightInd w:val="0"/>
                    <w:snapToGrid w:val="0"/>
                    <w:jc w:val="center"/>
                    <w:rPr>
                      <w:b/>
                      <w:color w:val="auto"/>
                      <w:szCs w:val="21"/>
                      <w:lang w:bidi="ar"/>
                    </w:rPr>
                  </w:pPr>
                  <w:r>
                    <w:rPr>
                      <w:color w:val="auto"/>
                      <w:szCs w:val="21"/>
                    </w:rPr>
                    <w:t>粉尘</w:t>
                  </w:r>
                </w:p>
              </w:tc>
              <w:tc>
                <w:tcPr>
                  <w:tcW w:w="2289" w:type="pct"/>
                  <w:tcBorders>
                    <w:tl2br w:val="nil"/>
                    <w:tr2bl w:val="nil"/>
                  </w:tcBorders>
                  <w:shd w:val="clear" w:color="auto" w:fill="auto"/>
                  <w:vAlign w:val="center"/>
                </w:tcPr>
                <w:p w14:paraId="2A9F227E">
                  <w:pPr>
                    <w:widowControl/>
                    <w:adjustRightInd w:val="0"/>
                    <w:snapToGrid w:val="0"/>
                    <w:jc w:val="center"/>
                    <w:rPr>
                      <w:b/>
                      <w:color w:val="auto"/>
                      <w:szCs w:val="21"/>
                      <w:lang w:bidi="ar"/>
                    </w:rPr>
                  </w:pPr>
                  <w:r>
                    <w:rPr>
                      <w:color w:val="auto"/>
                      <w:szCs w:val="21"/>
                    </w:rPr>
                    <w:t>定时洒水、车辆运输时覆盖帆布。</w:t>
                  </w:r>
                </w:p>
              </w:tc>
              <w:tc>
                <w:tcPr>
                  <w:tcW w:w="1600" w:type="pct"/>
                  <w:tcBorders>
                    <w:tl2br w:val="nil"/>
                    <w:tr2bl w:val="nil"/>
                  </w:tcBorders>
                  <w:shd w:val="clear" w:color="auto" w:fill="auto"/>
                  <w:vAlign w:val="center"/>
                </w:tcPr>
                <w:p w14:paraId="35CA7046">
                  <w:pPr>
                    <w:widowControl/>
                    <w:adjustRightInd w:val="0"/>
                    <w:snapToGrid w:val="0"/>
                    <w:jc w:val="center"/>
                    <w:rPr>
                      <w:b/>
                      <w:color w:val="auto"/>
                      <w:szCs w:val="21"/>
                      <w:lang w:bidi="ar"/>
                    </w:rPr>
                  </w:pPr>
                  <w:r>
                    <w:rPr>
                      <w:color w:val="auto"/>
                      <w:szCs w:val="21"/>
                    </w:rPr>
                    <w:t>《大气污染物综合排放标准》（GB16297-1996）新污染源颗粒物无组织排放浓度限值1.0mg/m</w:t>
                  </w:r>
                  <w:r>
                    <w:rPr>
                      <w:color w:val="auto"/>
                      <w:szCs w:val="21"/>
                      <w:vertAlign w:val="superscript"/>
                    </w:rPr>
                    <w:t>3</w:t>
                  </w:r>
                </w:p>
              </w:tc>
            </w:tr>
            <w:tr w14:paraId="07464F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16" w:type="pct"/>
                  <w:vMerge w:val="continue"/>
                  <w:tcBorders>
                    <w:tl2br w:val="nil"/>
                    <w:tr2bl w:val="nil"/>
                  </w:tcBorders>
                  <w:shd w:val="clear" w:color="auto" w:fill="auto"/>
                  <w:vAlign w:val="center"/>
                </w:tcPr>
                <w:p w14:paraId="5BD36103">
                  <w:pPr>
                    <w:widowControl/>
                    <w:jc w:val="left"/>
                    <w:rPr>
                      <w:b/>
                      <w:color w:val="auto"/>
                      <w:szCs w:val="21"/>
                      <w:lang w:bidi="ar"/>
                    </w:rPr>
                  </w:pPr>
                </w:p>
              </w:tc>
              <w:tc>
                <w:tcPr>
                  <w:tcW w:w="694" w:type="pct"/>
                  <w:tcBorders>
                    <w:tl2br w:val="nil"/>
                    <w:tr2bl w:val="nil"/>
                  </w:tcBorders>
                  <w:shd w:val="clear" w:color="auto" w:fill="auto"/>
                  <w:vAlign w:val="center"/>
                </w:tcPr>
                <w:p w14:paraId="14306507">
                  <w:pPr>
                    <w:widowControl/>
                    <w:adjustRightInd w:val="0"/>
                    <w:snapToGrid w:val="0"/>
                    <w:jc w:val="center"/>
                    <w:rPr>
                      <w:b/>
                      <w:color w:val="auto"/>
                      <w:szCs w:val="21"/>
                      <w:lang w:bidi="ar"/>
                    </w:rPr>
                  </w:pPr>
                  <w:r>
                    <w:rPr>
                      <w:color w:val="auto"/>
                      <w:szCs w:val="21"/>
                    </w:rPr>
                    <w:t>固体废物</w:t>
                  </w:r>
                </w:p>
              </w:tc>
              <w:tc>
                <w:tcPr>
                  <w:tcW w:w="2289" w:type="pct"/>
                  <w:tcBorders>
                    <w:tl2br w:val="nil"/>
                    <w:tr2bl w:val="nil"/>
                  </w:tcBorders>
                  <w:shd w:val="clear" w:color="auto" w:fill="auto"/>
                  <w:vAlign w:val="center"/>
                </w:tcPr>
                <w:p w14:paraId="6B4419DB">
                  <w:pPr>
                    <w:widowControl/>
                    <w:adjustRightInd w:val="0"/>
                    <w:snapToGrid w:val="0"/>
                    <w:jc w:val="center"/>
                    <w:rPr>
                      <w:b/>
                      <w:color w:val="auto"/>
                      <w:szCs w:val="21"/>
                      <w:lang w:bidi="ar"/>
                    </w:rPr>
                  </w:pPr>
                  <w:r>
                    <w:rPr>
                      <w:rFonts w:hint="eastAsia"/>
                      <w:color w:val="auto"/>
                      <w:szCs w:val="21"/>
                    </w:rPr>
                    <w:t>设备外包装</w:t>
                  </w:r>
                  <w:r>
                    <w:rPr>
                      <w:color w:val="auto"/>
                      <w:szCs w:val="21"/>
                    </w:rPr>
                    <w:t>垃圾集中收集后统一清运至指定处理点；生活垃圾通过生活垃圾箱（桶）集中收集，由环卫</w:t>
                  </w:r>
                  <w:r>
                    <w:rPr>
                      <w:rFonts w:hint="eastAsia"/>
                      <w:color w:val="auto"/>
                      <w:szCs w:val="21"/>
                    </w:rPr>
                    <w:t>部门</w:t>
                  </w:r>
                  <w:r>
                    <w:rPr>
                      <w:color w:val="auto"/>
                      <w:szCs w:val="21"/>
                    </w:rPr>
                    <w:t>统一清运处理。</w:t>
                  </w:r>
                </w:p>
              </w:tc>
              <w:tc>
                <w:tcPr>
                  <w:tcW w:w="1600" w:type="pct"/>
                  <w:tcBorders>
                    <w:tl2br w:val="nil"/>
                    <w:tr2bl w:val="nil"/>
                  </w:tcBorders>
                  <w:shd w:val="clear" w:color="auto" w:fill="auto"/>
                  <w:vAlign w:val="center"/>
                </w:tcPr>
                <w:p w14:paraId="62422D0A">
                  <w:pPr>
                    <w:widowControl/>
                    <w:adjustRightInd w:val="0"/>
                    <w:snapToGrid w:val="0"/>
                    <w:jc w:val="center"/>
                    <w:rPr>
                      <w:b/>
                      <w:color w:val="auto"/>
                      <w:szCs w:val="21"/>
                      <w:lang w:bidi="ar"/>
                    </w:rPr>
                  </w:pPr>
                  <w:r>
                    <w:rPr>
                      <w:color w:val="auto"/>
                      <w:szCs w:val="21"/>
                    </w:rPr>
                    <w:t>/</w:t>
                  </w:r>
                </w:p>
              </w:tc>
            </w:tr>
            <w:tr w14:paraId="21FC502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16" w:type="pct"/>
                  <w:vMerge w:val="continue"/>
                  <w:tcBorders>
                    <w:tl2br w:val="nil"/>
                    <w:tr2bl w:val="nil"/>
                  </w:tcBorders>
                  <w:shd w:val="clear" w:color="auto" w:fill="auto"/>
                  <w:vAlign w:val="center"/>
                </w:tcPr>
                <w:p w14:paraId="43E7576F">
                  <w:pPr>
                    <w:widowControl/>
                    <w:jc w:val="left"/>
                    <w:rPr>
                      <w:b/>
                      <w:color w:val="auto"/>
                      <w:szCs w:val="21"/>
                      <w:lang w:bidi="ar"/>
                    </w:rPr>
                  </w:pPr>
                </w:p>
              </w:tc>
              <w:tc>
                <w:tcPr>
                  <w:tcW w:w="694" w:type="pct"/>
                  <w:tcBorders>
                    <w:tl2br w:val="nil"/>
                    <w:tr2bl w:val="nil"/>
                  </w:tcBorders>
                  <w:shd w:val="clear" w:color="auto" w:fill="auto"/>
                  <w:vAlign w:val="center"/>
                </w:tcPr>
                <w:p w14:paraId="5A1233C9">
                  <w:pPr>
                    <w:widowControl/>
                    <w:adjustRightInd w:val="0"/>
                    <w:snapToGrid w:val="0"/>
                    <w:jc w:val="center"/>
                    <w:rPr>
                      <w:b/>
                      <w:color w:val="auto"/>
                      <w:szCs w:val="21"/>
                      <w:lang w:bidi="ar"/>
                    </w:rPr>
                  </w:pPr>
                  <w:r>
                    <w:rPr>
                      <w:color w:val="auto"/>
                      <w:szCs w:val="21"/>
                    </w:rPr>
                    <w:t>废水</w:t>
                  </w:r>
                </w:p>
              </w:tc>
              <w:tc>
                <w:tcPr>
                  <w:tcW w:w="2289" w:type="pct"/>
                  <w:tcBorders>
                    <w:tl2br w:val="nil"/>
                    <w:tr2bl w:val="nil"/>
                  </w:tcBorders>
                  <w:shd w:val="clear" w:color="auto" w:fill="auto"/>
                  <w:vAlign w:val="center"/>
                </w:tcPr>
                <w:p w14:paraId="7070D450">
                  <w:pPr>
                    <w:jc w:val="center"/>
                    <w:rPr>
                      <w:b/>
                      <w:color w:val="auto"/>
                      <w:szCs w:val="21"/>
                      <w:lang w:bidi="ar"/>
                    </w:rPr>
                  </w:pPr>
                  <w:r>
                    <w:rPr>
                      <w:color w:val="auto"/>
                      <w:szCs w:val="21"/>
                    </w:rPr>
                    <w:t>生活污水</w:t>
                  </w:r>
                  <w:r>
                    <w:rPr>
                      <w:color w:val="auto"/>
                      <w:kern w:val="0"/>
                      <w:szCs w:val="21"/>
                    </w:rPr>
                    <w:t>经</w:t>
                  </w:r>
                  <w:r>
                    <w:rPr>
                      <w:rFonts w:hint="eastAsia"/>
                      <w:color w:val="auto"/>
                      <w:kern w:val="0"/>
                      <w:szCs w:val="21"/>
                    </w:rPr>
                    <w:t>管道排至园区污水处理厂</w:t>
                  </w:r>
                </w:p>
              </w:tc>
              <w:tc>
                <w:tcPr>
                  <w:tcW w:w="1600" w:type="pct"/>
                  <w:tcBorders>
                    <w:tl2br w:val="nil"/>
                    <w:tr2bl w:val="nil"/>
                  </w:tcBorders>
                  <w:shd w:val="clear" w:color="auto" w:fill="auto"/>
                  <w:vAlign w:val="center"/>
                </w:tcPr>
                <w:p w14:paraId="061CB396">
                  <w:pPr>
                    <w:widowControl/>
                    <w:adjustRightInd w:val="0"/>
                    <w:snapToGrid w:val="0"/>
                    <w:jc w:val="center"/>
                    <w:rPr>
                      <w:b/>
                      <w:color w:val="auto"/>
                      <w:szCs w:val="21"/>
                      <w:lang w:bidi="ar"/>
                    </w:rPr>
                  </w:pPr>
                  <w:r>
                    <w:rPr>
                      <w:color w:val="auto"/>
                      <w:szCs w:val="21"/>
                    </w:rPr>
                    <w:t>/</w:t>
                  </w:r>
                </w:p>
              </w:tc>
            </w:tr>
            <w:tr w14:paraId="6B8EF0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16" w:type="pct"/>
                  <w:vMerge w:val="continue"/>
                  <w:tcBorders>
                    <w:tl2br w:val="nil"/>
                    <w:tr2bl w:val="nil"/>
                  </w:tcBorders>
                  <w:shd w:val="clear" w:color="auto" w:fill="auto"/>
                  <w:vAlign w:val="center"/>
                </w:tcPr>
                <w:p w14:paraId="7A06C85F">
                  <w:pPr>
                    <w:widowControl/>
                    <w:jc w:val="left"/>
                    <w:rPr>
                      <w:b/>
                      <w:color w:val="auto"/>
                      <w:szCs w:val="21"/>
                      <w:lang w:bidi="ar"/>
                    </w:rPr>
                  </w:pPr>
                </w:p>
              </w:tc>
              <w:tc>
                <w:tcPr>
                  <w:tcW w:w="694" w:type="pct"/>
                  <w:tcBorders>
                    <w:tl2br w:val="nil"/>
                    <w:tr2bl w:val="nil"/>
                  </w:tcBorders>
                  <w:shd w:val="clear" w:color="auto" w:fill="auto"/>
                  <w:vAlign w:val="center"/>
                </w:tcPr>
                <w:p w14:paraId="1BCA1CAD">
                  <w:pPr>
                    <w:widowControl/>
                    <w:adjustRightInd w:val="0"/>
                    <w:snapToGrid w:val="0"/>
                    <w:jc w:val="center"/>
                    <w:rPr>
                      <w:b/>
                      <w:color w:val="auto"/>
                      <w:szCs w:val="21"/>
                      <w:lang w:bidi="ar"/>
                    </w:rPr>
                  </w:pPr>
                  <w:r>
                    <w:rPr>
                      <w:color w:val="auto"/>
                      <w:szCs w:val="21"/>
                    </w:rPr>
                    <w:t>噪声</w:t>
                  </w:r>
                </w:p>
              </w:tc>
              <w:tc>
                <w:tcPr>
                  <w:tcW w:w="2289" w:type="pct"/>
                  <w:tcBorders>
                    <w:tl2br w:val="nil"/>
                    <w:tr2bl w:val="nil"/>
                  </w:tcBorders>
                  <w:shd w:val="clear" w:color="auto" w:fill="auto"/>
                  <w:vAlign w:val="center"/>
                </w:tcPr>
                <w:p w14:paraId="5743936B">
                  <w:pPr>
                    <w:widowControl/>
                    <w:adjustRightInd w:val="0"/>
                    <w:snapToGrid w:val="0"/>
                    <w:jc w:val="center"/>
                    <w:rPr>
                      <w:b/>
                      <w:color w:val="auto"/>
                      <w:szCs w:val="21"/>
                      <w:lang w:bidi="ar"/>
                    </w:rPr>
                  </w:pPr>
                  <w:r>
                    <w:rPr>
                      <w:color w:val="auto"/>
                      <w:kern w:val="0"/>
                      <w:szCs w:val="21"/>
                    </w:rPr>
                    <w:t>采用消声、隔声等防治措施</w:t>
                  </w:r>
                </w:p>
              </w:tc>
              <w:tc>
                <w:tcPr>
                  <w:tcW w:w="1600" w:type="pct"/>
                  <w:tcBorders>
                    <w:tl2br w:val="nil"/>
                    <w:tr2bl w:val="nil"/>
                  </w:tcBorders>
                  <w:shd w:val="clear" w:color="auto" w:fill="auto"/>
                  <w:vAlign w:val="center"/>
                </w:tcPr>
                <w:p w14:paraId="7CEB1BB1">
                  <w:pPr>
                    <w:widowControl/>
                    <w:adjustRightInd w:val="0"/>
                    <w:snapToGrid w:val="0"/>
                    <w:jc w:val="center"/>
                    <w:rPr>
                      <w:b/>
                      <w:color w:val="auto"/>
                      <w:szCs w:val="21"/>
                      <w:lang w:bidi="ar"/>
                    </w:rPr>
                  </w:pPr>
                  <w:r>
                    <w:rPr>
                      <w:color w:val="auto"/>
                      <w:kern w:val="0"/>
                      <w:szCs w:val="21"/>
                    </w:rPr>
                    <w:t>《建筑施工场界环境噪声排放标准》（GB12523-2011）的标准</w:t>
                  </w:r>
                </w:p>
              </w:tc>
            </w:tr>
            <w:tr w14:paraId="3F862D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6" w:type="pct"/>
                  <w:vMerge w:val="restart"/>
                  <w:tcBorders>
                    <w:tl2br w:val="nil"/>
                    <w:tr2bl w:val="nil"/>
                  </w:tcBorders>
                  <w:shd w:val="clear" w:color="auto" w:fill="auto"/>
                  <w:vAlign w:val="center"/>
                </w:tcPr>
                <w:p w14:paraId="75F4C487">
                  <w:pPr>
                    <w:overflowPunct w:val="0"/>
                    <w:snapToGrid w:val="0"/>
                    <w:jc w:val="center"/>
                    <w:rPr>
                      <w:color w:val="auto"/>
                      <w:szCs w:val="21"/>
                    </w:rPr>
                  </w:pPr>
                  <w:r>
                    <w:rPr>
                      <w:color w:val="auto"/>
                      <w:szCs w:val="21"/>
                      <w:lang w:bidi="ar"/>
                    </w:rPr>
                    <w:t>运</w:t>
                  </w:r>
                </w:p>
                <w:p w14:paraId="30E77BDE">
                  <w:pPr>
                    <w:overflowPunct w:val="0"/>
                    <w:snapToGrid w:val="0"/>
                    <w:jc w:val="center"/>
                    <w:rPr>
                      <w:color w:val="auto"/>
                      <w:szCs w:val="21"/>
                    </w:rPr>
                  </w:pPr>
                  <w:r>
                    <w:rPr>
                      <w:color w:val="auto"/>
                      <w:szCs w:val="21"/>
                      <w:lang w:bidi="ar"/>
                    </w:rPr>
                    <w:t>营</w:t>
                  </w:r>
                </w:p>
                <w:p w14:paraId="473BF466">
                  <w:pPr>
                    <w:overflowPunct w:val="0"/>
                    <w:snapToGrid w:val="0"/>
                    <w:jc w:val="center"/>
                    <w:rPr>
                      <w:color w:val="auto"/>
                      <w:szCs w:val="21"/>
                    </w:rPr>
                  </w:pPr>
                  <w:r>
                    <w:rPr>
                      <w:color w:val="auto"/>
                      <w:szCs w:val="21"/>
                      <w:lang w:bidi="ar"/>
                    </w:rPr>
                    <w:t>期</w:t>
                  </w:r>
                </w:p>
              </w:tc>
              <w:tc>
                <w:tcPr>
                  <w:tcW w:w="694" w:type="pct"/>
                  <w:vMerge w:val="restart"/>
                  <w:tcBorders>
                    <w:tl2br w:val="nil"/>
                    <w:tr2bl w:val="nil"/>
                  </w:tcBorders>
                  <w:shd w:val="clear" w:color="auto" w:fill="auto"/>
                  <w:vAlign w:val="center"/>
                </w:tcPr>
                <w:p w14:paraId="08ECBF0D">
                  <w:pPr>
                    <w:overflowPunct w:val="0"/>
                    <w:snapToGrid w:val="0"/>
                    <w:jc w:val="center"/>
                    <w:rPr>
                      <w:color w:val="auto"/>
                      <w:szCs w:val="21"/>
                    </w:rPr>
                  </w:pPr>
                  <w:r>
                    <w:rPr>
                      <w:color w:val="auto"/>
                      <w:szCs w:val="21"/>
                    </w:rPr>
                    <w:t>废气</w:t>
                  </w:r>
                </w:p>
              </w:tc>
              <w:tc>
                <w:tcPr>
                  <w:tcW w:w="2289" w:type="pct"/>
                  <w:tcBorders>
                    <w:tl2br w:val="nil"/>
                    <w:tr2bl w:val="nil"/>
                  </w:tcBorders>
                  <w:shd w:val="clear" w:color="auto" w:fill="auto"/>
                  <w:vAlign w:val="center"/>
                </w:tcPr>
                <w:p w14:paraId="06347BB5">
                  <w:pPr>
                    <w:overflowPunct w:val="0"/>
                    <w:snapToGrid w:val="0"/>
                    <w:jc w:val="center"/>
                    <w:rPr>
                      <w:color w:val="auto"/>
                      <w:szCs w:val="21"/>
                    </w:rPr>
                  </w:pPr>
                  <w:r>
                    <w:rPr>
                      <w:rFonts w:hint="eastAsia"/>
                      <w:color w:val="auto"/>
                      <w:szCs w:val="21"/>
                    </w:rPr>
                    <w:t>熔炼废气及浇筑废气经集气罩+布袋除尘器+15m高排气筒处理后排放</w:t>
                  </w:r>
                </w:p>
              </w:tc>
              <w:tc>
                <w:tcPr>
                  <w:tcW w:w="1600" w:type="pct"/>
                  <w:vMerge w:val="restart"/>
                  <w:tcBorders>
                    <w:tl2br w:val="nil"/>
                    <w:tr2bl w:val="nil"/>
                  </w:tcBorders>
                  <w:shd w:val="clear" w:color="auto" w:fill="auto"/>
                  <w:vAlign w:val="center"/>
                </w:tcPr>
                <w:p w14:paraId="366EF95A">
                  <w:pPr>
                    <w:overflowPunct w:val="0"/>
                    <w:snapToGrid w:val="0"/>
                    <w:jc w:val="center"/>
                    <w:rPr>
                      <w:color w:val="auto"/>
                      <w:szCs w:val="21"/>
                      <w:highlight w:val="yellow"/>
                    </w:rPr>
                  </w:pPr>
                  <w:r>
                    <w:rPr>
                      <w:color w:val="auto"/>
                      <w:spacing w:val="8"/>
                      <w:szCs w:val="21"/>
                    </w:rPr>
                    <w:t>《铸造工业大气污染物排放标准》（GB 39726—2020）表1金属熔炼（化）大气污染物排放浓度限值中电弧炉、感应电炉、精炼炉等其它熔炼（化）炉；保温炉d的排放限值。</w:t>
                  </w:r>
                </w:p>
              </w:tc>
            </w:tr>
            <w:tr w14:paraId="08668A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6" w:type="pct"/>
                  <w:vMerge w:val="continue"/>
                  <w:tcBorders>
                    <w:tl2br w:val="nil"/>
                    <w:tr2bl w:val="nil"/>
                  </w:tcBorders>
                  <w:shd w:val="clear" w:color="auto" w:fill="auto"/>
                  <w:vAlign w:val="center"/>
                </w:tcPr>
                <w:p w14:paraId="7714697F">
                  <w:pPr>
                    <w:overflowPunct w:val="0"/>
                    <w:snapToGrid w:val="0"/>
                    <w:jc w:val="center"/>
                    <w:rPr>
                      <w:color w:val="auto"/>
                      <w:szCs w:val="21"/>
                      <w:lang w:bidi="ar"/>
                    </w:rPr>
                  </w:pPr>
                </w:p>
              </w:tc>
              <w:tc>
                <w:tcPr>
                  <w:tcW w:w="694" w:type="pct"/>
                  <w:vMerge w:val="continue"/>
                  <w:tcBorders>
                    <w:tl2br w:val="nil"/>
                    <w:tr2bl w:val="nil"/>
                  </w:tcBorders>
                  <w:shd w:val="clear" w:color="auto" w:fill="auto"/>
                  <w:vAlign w:val="center"/>
                </w:tcPr>
                <w:p w14:paraId="0B8F0640">
                  <w:pPr>
                    <w:overflowPunct w:val="0"/>
                    <w:snapToGrid w:val="0"/>
                    <w:jc w:val="center"/>
                    <w:rPr>
                      <w:color w:val="auto"/>
                      <w:szCs w:val="21"/>
                    </w:rPr>
                  </w:pPr>
                </w:p>
              </w:tc>
              <w:tc>
                <w:tcPr>
                  <w:tcW w:w="2289" w:type="pct"/>
                  <w:tcBorders>
                    <w:tl2br w:val="nil"/>
                    <w:tr2bl w:val="nil"/>
                  </w:tcBorders>
                  <w:shd w:val="clear" w:color="auto" w:fill="auto"/>
                  <w:vAlign w:val="center"/>
                </w:tcPr>
                <w:p w14:paraId="3D5D810B">
                  <w:pPr>
                    <w:overflowPunct w:val="0"/>
                    <w:snapToGrid w:val="0"/>
                    <w:jc w:val="center"/>
                    <w:rPr>
                      <w:color w:val="auto"/>
                      <w:kern w:val="0"/>
                      <w:szCs w:val="21"/>
                    </w:rPr>
                  </w:pPr>
                  <w:r>
                    <w:rPr>
                      <w:rFonts w:hint="eastAsia"/>
                      <w:color w:val="auto"/>
                      <w:szCs w:val="21"/>
                    </w:rPr>
                    <w:t>焊接废气经集气罩+布袋除尘器+15m高排气筒处理后排放</w:t>
                  </w:r>
                </w:p>
              </w:tc>
              <w:tc>
                <w:tcPr>
                  <w:tcW w:w="1600" w:type="pct"/>
                  <w:vMerge w:val="continue"/>
                  <w:tcBorders>
                    <w:tl2br w:val="nil"/>
                    <w:tr2bl w:val="nil"/>
                  </w:tcBorders>
                  <w:shd w:val="clear" w:color="auto" w:fill="auto"/>
                  <w:vAlign w:val="center"/>
                </w:tcPr>
                <w:p w14:paraId="01C87ABD">
                  <w:pPr>
                    <w:overflowPunct w:val="0"/>
                    <w:snapToGrid w:val="0"/>
                    <w:jc w:val="center"/>
                    <w:rPr>
                      <w:color w:val="auto"/>
                      <w:szCs w:val="21"/>
                      <w:highlight w:val="yellow"/>
                    </w:rPr>
                  </w:pPr>
                </w:p>
              </w:tc>
            </w:tr>
            <w:tr w14:paraId="5C11DF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6" w:type="pct"/>
                  <w:vMerge w:val="continue"/>
                  <w:tcBorders>
                    <w:tl2br w:val="nil"/>
                    <w:tr2bl w:val="nil"/>
                  </w:tcBorders>
                  <w:shd w:val="clear" w:color="auto" w:fill="auto"/>
                  <w:vAlign w:val="center"/>
                </w:tcPr>
                <w:p w14:paraId="28D4A24C">
                  <w:pPr>
                    <w:overflowPunct w:val="0"/>
                    <w:snapToGrid w:val="0"/>
                    <w:jc w:val="center"/>
                    <w:rPr>
                      <w:color w:val="auto"/>
                      <w:szCs w:val="21"/>
                      <w:lang w:bidi="ar"/>
                    </w:rPr>
                  </w:pPr>
                </w:p>
              </w:tc>
              <w:tc>
                <w:tcPr>
                  <w:tcW w:w="694" w:type="pct"/>
                  <w:vMerge w:val="restart"/>
                  <w:tcBorders>
                    <w:tl2br w:val="nil"/>
                    <w:tr2bl w:val="nil"/>
                  </w:tcBorders>
                  <w:shd w:val="clear" w:color="auto" w:fill="auto"/>
                  <w:vAlign w:val="center"/>
                </w:tcPr>
                <w:p w14:paraId="7BDFE8D6">
                  <w:pPr>
                    <w:overflowPunct w:val="0"/>
                    <w:snapToGrid w:val="0"/>
                    <w:jc w:val="center"/>
                    <w:rPr>
                      <w:color w:val="auto"/>
                      <w:szCs w:val="21"/>
                    </w:rPr>
                  </w:pPr>
                  <w:r>
                    <w:rPr>
                      <w:color w:val="auto"/>
                      <w:szCs w:val="21"/>
                      <w:lang w:bidi="ar"/>
                    </w:rPr>
                    <w:t>废水</w:t>
                  </w:r>
                </w:p>
              </w:tc>
              <w:tc>
                <w:tcPr>
                  <w:tcW w:w="2289" w:type="pct"/>
                  <w:tcBorders>
                    <w:tl2br w:val="nil"/>
                    <w:tr2bl w:val="nil"/>
                  </w:tcBorders>
                  <w:shd w:val="clear" w:color="auto" w:fill="auto"/>
                  <w:vAlign w:val="center"/>
                </w:tcPr>
                <w:p w14:paraId="2CDBB775">
                  <w:pPr>
                    <w:overflowPunct w:val="0"/>
                    <w:snapToGrid w:val="0"/>
                    <w:jc w:val="center"/>
                    <w:rPr>
                      <w:color w:val="auto"/>
                      <w:szCs w:val="21"/>
                    </w:rPr>
                  </w:pPr>
                  <w:r>
                    <w:rPr>
                      <w:color w:val="auto"/>
                      <w:szCs w:val="21"/>
                    </w:rPr>
                    <w:t>生活污水经化粪池预处理后排入市政污水管网，进入园区污水处理厂处理</w:t>
                  </w:r>
                </w:p>
              </w:tc>
              <w:tc>
                <w:tcPr>
                  <w:tcW w:w="1600" w:type="pct"/>
                  <w:tcBorders>
                    <w:tl2br w:val="nil"/>
                    <w:tr2bl w:val="nil"/>
                  </w:tcBorders>
                  <w:shd w:val="clear" w:color="auto" w:fill="auto"/>
                  <w:vAlign w:val="center"/>
                </w:tcPr>
                <w:p w14:paraId="694EA1F5">
                  <w:pPr>
                    <w:pStyle w:val="100"/>
                    <w:spacing w:before="123" w:line="228" w:lineRule="auto"/>
                    <w:rPr>
                      <w:rFonts w:ascii="Times New Roman" w:hAnsi="Times New Roman" w:cs="Times New Roman"/>
                      <w:color w:val="auto"/>
                      <w:kern w:val="2"/>
                      <w:sz w:val="21"/>
                      <w:szCs w:val="21"/>
                    </w:rPr>
                  </w:pPr>
                  <w:r>
                    <w:rPr>
                      <w:rFonts w:ascii="Times New Roman" w:hAnsi="Times New Roman" w:cs="Times New Roman"/>
                      <w:color w:val="auto"/>
                      <w:spacing w:val="7"/>
                      <w:sz w:val="21"/>
                      <w:szCs w:val="21"/>
                    </w:rPr>
                    <w:t>《污水综合排放标准》</w:t>
                  </w:r>
                  <w:r>
                    <w:rPr>
                      <w:rFonts w:ascii="Times New Roman" w:hAnsi="Times New Roman" w:cs="Times New Roman"/>
                      <w:color w:val="auto"/>
                      <w:spacing w:val="3"/>
                      <w:sz w:val="21"/>
                      <w:szCs w:val="21"/>
                    </w:rPr>
                    <w:t>（</w:t>
                  </w:r>
                  <w:r>
                    <w:rPr>
                      <w:rFonts w:ascii="Times New Roman" w:hAnsi="Times New Roman" w:eastAsia="Times New Roman" w:cs="Times New Roman"/>
                      <w:color w:val="auto"/>
                      <w:sz w:val="21"/>
                      <w:szCs w:val="21"/>
                    </w:rPr>
                    <w:t>GB</w:t>
                  </w:r>
                  <w:r>
                    <w:rPr>
                      <w:rFonts w:ascii="Times New Roman" w:hAnsi="Times New Roman" w:eastAsia="Times New Roman" w:cs="Times New Roman"/>
                      <w:color w:val="auto"/>
                      <w:spacing w:val="3"/>
                      <w:sz w:val="21"/>
                      <w:szCs w:val="21"/>
                    </w:rPr>
                    <w:t>8978-</w:t>
                  </w:r>
                  <w:r>
                    <w:rPr>
                      <w:rFonts w:ascii="Times New Roman" w:hAnsi="Times New Roman" w:eastAsia="Times New Roman" w:cs="Times New Roman"/>
                      <w:color w:val="auto"/>
                      <w:spacing w:val="-17"/>
                      <w:sz w:val="21"/>
                      <w:szCs w:val="21"/>
                    </w:rPr>
                    <w:t xml:space="preserve"> </w:t>
                  </w:r>
                  <w:r>
                    <w:rPr>
                      <w:rFonts w:ascii="Times New Roman" w:hAnsi="Times New Roman" w:eastAsia="Times New Roman" w:cs="Times New Roman"/>
                      <w:color w:val="auto"/>
                      <w:spacing w:val="3"/>
                      <w:sz w:val="21"/>
                      <w:szCs w:val="21"/>
                    </w:rPr>
                    <w:t>1996</w:t>
                  </w:r>
                  <w:r>
                    <w:rPr>
                      <w:rFonts w:ascii="Times New Roman" w:hAnsi="Times New Roman" w:cs="Times New Roman"/>
                      <w:color w:val="auto"/>
                      <w:spacing w:val="3"/>
                      <w:sz w:val="21"/>
                      <w:szCs w:val="21"/>
                    </w:rPr>
                    <w:t>）表</w:t>
                  </w:r>
                  <w:r>
                    <w:rPr>
                      <w:rFonts w:ascii="Times New Roman" w:hAnsi="Times New Roman" w:cs="Times New Roman"/>
                      <w:color w:val="auto"/>
                      <w:spacing w:val="-42"/>
                      <w:sz w:val="21"/>
                      <w:szCs w:val="21"/>
                    </w:rPr>
                    <w:t xml:space="preserve"> </w:t>
                  </w:r>
                  <w:r>
                    <w:rPr>
                      <w:rFonts w:ascii="Times New Roman" w:hAnsi="Times New Roman" w:eastAsia="Times New Roman" w:cs="Times New Roman"/>
                      <w:color w:val="auto"/>
                      <w:spacing w:val="3"/>
                      <w:sz w:val="21"/>
                      <w:szCs w:val="21"/>
                    </w:rPr>
                    <w:t>4</w:t>
                  </w:r>
                  <w:r>
                    <w:rPr>
                      <w:rFonts w:ascii="Times New Roman" w:hAnsi="Times New Roman" w:cs="Times New Roman"/>
                      <w:color w:val="auto"/>
                      <w:spacing w:val="3"/>
                      <w:sz w:val="21"/>
                      <w:szCs w:val="21"/>
                    </w:rPr>
                    <w:t>中三级标准</w:t>
                  </w:r>
                </w:p>
              </w:tc>
            </w:tr>
            <w:tr w14:paraId="387F66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6" w:type="pct"/>
                  <w:vMerge w:val="continue"/>
                  <w:tcBorders>
                    <w:tl2br w:val="nil"/>
                    <w:tr2bl w:val="nil"/>
                  </w:tcBorders>
                  <w:shd w:val="clear" w:color="auto" w:fill="auto"/>
                  <w:vAlign w:val="center"/>
                </w:tcPr>
                <w:p w14:paraId="4018A4C6">
                  <w:pPr>
                    <w:overflowPunct w:val="0"/>
                    <w:snapToGrid w:val="0"/>
                    <w:jc w:val="center"/>
                    <w:rPr>
                      <w:color w:val="auto"/>
                      <w:szCs w:val="21"/>
                      <w:lang w:bidi="ar"/>
                    </w:rPr>
                  </w:pPr>
                </w:p>
              </w:tc>
              <w:tc>
                <w:tcPr>
                  <w:tcW w:w="694" w:type="pct"/>
                  <w:vMerge w:val="continue"/>
                  <w:tcBorders>
                    <w:tl2br w:val="nil"/>
                    <w:tr2bl w:val="nil"/>
                  </w:tcBorders>
                  <w:shd w:val="clear" w:color="auto" w:fill="auto"/>
                  <w:vAlign w:val="center"/>
                </w:tcPr>
                <w:p w14:paraId="0222D011">
                  <w:pPr>
                    <w:overflowPunct w:val="0"/>
                    <w:snapToGrid w:val="0"/>
                    <w:jc w:val="center"/>
                    <w:rPr>
                      <w:color w:val="auto"/>
                      <w:szCs w:val="21"/>
                      <w:lang w:bidi="ar"/>
                    </w:rPr>
                  </w:pPr>
                </w:p>
              </w:tc>
              <w:tc>
                <w:tcPr>
                  <w:tcW w:w="2289" w:type="pct"/>
                  <w:tcBorders>
                    <w:tl2br w:val="nil"/>
                    <w:tr2bl w:val="nil"/>
                  </w:tcBorders>
                  <w:shd w:val="clear" w:color="auto" w:fill="auto"/>
                  <w:vAlign w:val="center"/>
                </w:tcPr>
                <w:p w14:paraId="489CA262">
                  <w:pPr>
                    <w:overflowPunct w:val="0"/>
                    <w:snapToGrid w:val="0"/>
                    <w:jc w:val="center"/>
                    <w:rPr>
                      <w:color w:val="auto"/>
                      <w:szCs w:val="21"/>
                    </w:rPr>
                  </w:pPr>
                  <w:r>
                    <w:rPr>
                      <w:rFonts w:hint="eastAsia" w:eastAsiaTheme="minorEastAsia"/>
                      <w:color w:val="auto"/>
                      <w:kern w:val="0"/>
                      <w:szCs w:val="21"/>
                      <w:lang w:bidi="ar"/>
                    </w:rPr>
                    <w:t>冷却水</w:t>
                  </w:r>
                  <w:r>
                    <w:rPr>
                      <w:rFonts w:eastAsiaTheme="minorEastAsia"/>
                      <w:color w:val="auto"/>
                      <w:kern w:val="0"/>
                      <w:szCs w:val="21"/>
                      <w:lang w:bidi="ar"/>
                    </w:rPr>
                    <w:t>循环使用不外排</w:t>
                  </w:r>
                  <w:r>
                    <w:rPr>
                      <w:color w:val="auto"/>
                      <w:kern w:val="0"/>
                      <w:szCs w:val="21"/>
                    </w:rPr>
                    <w:t>。</w:t>
                  </w:r>
                </w:p>
              </w:tc>
              <w:tc>
                <w:tcPr>
                  <w:tcW w:w="1600" w:type="pct"/>
                  <w:tcBorders>
                    <w:tl2br w:val="nil"/>
                    <w:tr2bl w:val="nil"/>
                  </w:tcBorders>
                  <w:shd w:val="clear" w:color="auto" w:fill="auto"/>
                  <w:vAlign w:val="center"/>
                </w:tcPr>
                <w:p w14:paraId="696DDA3D">
                  <w:pPr>
                    <w:overflowPunct w:val="0"/>
                    <w:snapToGrid w:val="0"/>
                    <w:jc w:val="center"/>
                    <w:rPr>
                      <w:color w:val="auto"/>
                      <w:szCs w:val="21"/>
                    </w:rPr>
                  </w:pPr>
                  <w:r>
                    <w:rPr>
                      <w:color w:val="auto"/>
                      <w:szCs w:val="21"/>
                    </w:rPr>
                    <w:t>/</w:t>
                  </w:r>
                </w:p>
              </w:tc>
            </w:tr>
            <w:tr w14:paraId="329577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16" w:type="pct"/>
                  <w:vMerge w:val="continue"/>
                  <w:tcBorders>
                    <w:tl2br w:val="nil"/>
                    <w:tr2bl w:val="nil"/>
                  </w:tcBorders>
                  <w:shd w:val="clear" w:color="auto" w:fill="auto"/>
                  <w:vAlign w:val="center"/>
                </w:tcPr>
                <w:p w14:paraId="5B28848E">
                  <w:pPr>
                    <w:rPr>
                      <w:color w:val="auto"/>
                      <w:szCs w:val="21"/>
                    </w:rPr>
                  </w:pPr>
                </w:p>
              </w:tc>
              <w:tc>
                <w:tcPr>
                  <w:tcW w:w="694" w:type="pct"/>
                  <w:vMerge w:val="restart"/>
                  <w:tcBorders>
                    <w:tl2br w:val="nil"/>
                    <w:tr2bl w:val="nil"/>
                  </w:tcBorders>
                  <w:shd w:val="clear" w:color="auto" w:fill="auto"/>
                  <w:vAlign w:val="center"/>
                </w:tcPr>
                <w:p w14:paraId="0BFEC388">
                  <w:pPr>
                    <w:overflowPunct w:val="0"/>
                    <w:snapToGrid w:val="0"/>
                    <w:jc w:val="center"/>
                    <w:rPr>
                      <w:color w:val="auto"/>
                      <w:szCs w:val="21"/>
                    </w:rPr>
                  </w:pPr>
                  <w:r>
                    <w:rPr>
                      <w:color w:val="auto"/>
                      <w:szCs w:val="21"/>
                      <w:lang w:bidi="ar"/>
                    </w:rPr>
                    <w:t>噪声</w:t>
                  </w:r>
                </w:p>
              </w:tc>
              <w:tc>
                <w:tcPr>
                  <w:tcW w:w="2289" w:type="pct"/>
                  <w:tcBorders>
                    <w:tl2br w:val="nil"/>
                    <w:tr2bl w:val="nil"/>
                  </w:tcBorders>
                  <w:shd w:val="clear" w:color="auto" w:fill="auto"/>
                  <w:vAlign w:val="center"/>
                </w:tcPr>
                <w:p w14:paraId="77F29A74">
                  <w:pPr>
                    <w:overflowPunct w:val="0"/>
                    <w:snapToGrid w:val="0"/>
                    <w:jc w:val="center"/>
                    <w:rPr>
                      <w:color w:val="auto"/>
                      <w:szCs w:val="21"/>
                    </w:rPr>
                  </w:pPr>
                  <w:r>
                    <w:rPr>
                      <w:color w:val="auto"/>
                      <w:szCs w:val="21"/>
                      <w:lang w:bidi="ar"/>
                    </w:rPr>
                    <w:t>加强管理、</w:t>
                  </w:r>
                  <w:r>
                    <w:rPr>
                      <w:snapToGrid w:val="0"/>
                      <w:color w:val="auto"/>
                      <w:kern w:val="0"/>
                      <w:szCs w:val="21"/>
                      <w:lang w:bidi="ar"/>
                    </w:rPr>
                    <w:t>设置禁止鸣笛牌，限制车速牌</w:t>
                  </w:r>
                </w:p>
              </w:tc>
              <w:tc>
                <w:tcPr>
                  <w:tcW w:w="1600" w:type="pct"/>
                  <w:vMerge w:val="restart"/>
                  <w:tcBorders>
                    <w:tl2br w:val="nil"/>
                    <w:tr2bl w:val="nil"/>
                  </w:tcBorders>
                  <w:shd w:val="clear" w:color="auto" w:fill="auto"/>
                  <w:vAlign w:val="center"/>
                </w:tcPr>
                <w:p w14:paraId="020B5DC9">
                  <w:pPr>
                    <w:rPr>
                      <w:color w:val="auto"/>
                      <w:szCs w:val="21"/>
                    </w:rPr>
                  </w:pPr>
                  <w:r>
                    <w:rPr>
                      <w:color w:val="auto"/>
                      <w:szCs w:val="21"/>
                      <w:lang w:bidi="ar"/>
                    </w:rPr>
                    <w:t>满足</w:t>
                  </w:r>
                  <w:r>
                    <w:rPr>
                      <w:color w:val="auto"/>
                      <w:szCs w:val="21"/>
                    </w:rPr>
                    <w:t>《工业企业厂界环境噪声排放标准》（GB12348-2008）</w:t>
                  </w:r>
                  <w:r>
                    <w:rPr>
                      <w:color w:val="auto"/>
                      <w:szCs w:val="21"/>
                      <w:lang w:bidi="ar"/>
                    </w:rPr>
                    <w:t>3类标准限值。</w:t>
                  </w:r>
                </w:p>
              </w:tc>
            </w:tr>
            <w:tr w14:paraId="7454FC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16" w:type="pct"/>
                  <w:vMerge w:val="continue"/>
                  <w:tcBorders>
                    <w:tl2br w:val="nil"/>
                    <w:tr2bl w:val="nil"/>
                  </w:tcBorders>
                  <w:shd w:val="clear" w:color="auto" w:fill="auto"/>
                  <w:vAlign w:val="center"/>
                </w:tcPr>
                <w:p w14:paraId="20E10C43">
                  <w:pPr>
                    <w:rPr>
                      <w:color w:val="auto"/>
                      <w:szCs w:val="21"/>
                    </w:rPr>
                  </w:pPr>
                </w:p>
              </w:tc>
              <w:tc>
                <w:tcPr>
                  <w:tcW w:w="694" w:type="pct"/>
                  <w:vMerge w:val="continue"/>
                  <w:tcBorders>
                    <w:tl2br w:val="nil"/>
                    <w:tr2bl w:val="nil"/>
                  </w:tcBorders>
                  <w:shd w:val="clear" w:color="auto" w:fill="auto"/>
                  <w:vAlign w:val="center"/>
                </w:tcPr>
                <w:p w14:paraId="734A22B4">
                  <w:pPr>
                    <w:rPr>
                      <w:color w:val="auto"/>
                      <w:szCs w:val="21"/>
                    </w:rPr>
                  </w:pPr>
                </w:p>
              </w:tc>
              <w:tc>
                <w:tcPr>
                  <w:tcW w:w="2289" w:type="pct"/>
                  <w:tcBorders>
                    <w:tl2br w:val="nil"/>
                    <w:tr2bl w:val="nil"/>
                  </w:tcBorders>
                  <w:shd w:val="clear" w:color="auto" w:fill="auto"/>
                  <w:vAlign w:val="center"/>
                </w:tcPr>
                <w:p w14:paraId="7A488E7F">
                  <w:pPr>
                    <w:overflowPunct w:val="0"/>
                    <w:snapToGrid w:val="0"/>
                    <w:jc w:val="center"/>
                    <w:rPr>
                      <w:color w:val="auto"/>
                      <w:szCs w:val="21"/>
                    </w:rPr>
                  </w:pPr>
                  <w:r>
                    <w:rPr>
                      <w:snapToGrid w:val="0"/>
                      <w:color w:val="auto"/>
                      <w:kern w:val="0"/>
                      <w:szCs w:val="21"/>
                      <w:lang w:bidi="ar"/>
                    </w:rPr>
                    <w:t>采用消声、隔声等防治措施，厂界噪声是否达标。</w:t>
                  </w:r>
                </w:p>
              </w:tc>
              <w:tc>
                <w:tcPr>
                  <w:tcW w:w="1600" w:type="pct"/>
                  <w:vMerge w:val="continue"/>
                  <w:tcBorders>
                    <w:tl2br w:val="nil"/>
                    <w:tr2bl w:val="nil"/>
                  </w:tcBorders>
                  <w:shd w:val="clear" w:color="auto" w:fill="auto"/>
                  <w:vAlign w:val="center"/>
                </w:tcPr>
                <w:p w14:paraId="20A02B84">
                  <w:pPr>
                    <w:rPr>
                      <w:color w:val="auto"/>
                      <w:szCs w:val="21"/>
                    </w:rPr>
                  </w:pPr>
                </w:p>
              </w:tc>
            </w:tr>
            <w:tr w14:paraId="343642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16" w:type="pct"/>
                  <w:vMerge w:val="continue"/>
                  <w:tcBorders>
                    <w:tl2br w:val="nil"/>
                    <w:tr2bl w:val="nil"/>
                  </w:tcBorders>
                  <w:shd w:val="clear" w:color="auto" w:fill="auto"/>
                  <w:vAlign w:val="center"/>
                </w:tcPr>
                <w:p w14:paraId="658FA962">
                  <w:pPr>
                    <w:rPr>
                      <w:color w:val="auto"/>
                      <w:szCs w:val="21"/>
                    </w:rPr>
                  </w:pPr>
                </w:p>
              </w:tc>
              <w:tc>
                <w:tcPr>
                  <w:tcW w:w="694" w:type="pct"/>
                  <w:vMerge w:val="restart"/>
                  <w:tcBorders>
                    <w:tl2br w:val="nil"/>
                    <w:tr2bl w:val="nil"/>
                  </w:tcBorders>
                  <w:shd w:val="clear" w:color="auto" w:fill="auto"/>
                  <w:vAlign w:val="center"/>
                </w:tcPr>
                <w:p w14:paraId="0C71A154">
                  <w:pPr>
                    <w:overflowPunct w:val="0"/>
                    <w:snapToGrid w:val="0"/>
                    <w:jc w:val="center"/>
                    <w:rPr>
                      <w:color w:val="auto"/>
                      <w:szCs w:val="21"/>
                      <w:highlight w:val="yellow"/>
                    </w:rPr>
                  </w:pPr>
                  <w:r>
                    <w:rPr>
                      <w:color w:val="auto"/>
                      <w:szCs w:val="21"/>
                      <w:lang w:bidi="ar"/>
                    </w:rPr>
                    <w:t>固废</w:t>
                  </w:r>
                </w:p>
              </w:tc>
              <w:tc>
                <w:tcPr>
                  <w:tcW w:w="2289" w:type="pct"/>
                  <w:tcBorders>
                    <w:tl2br w:val="nil"/>
                    <w:tr2bl w:val="nil"/>
                  </w:tcBorders>
                  <w:shd w:val="clear" w:color="auto" w:fill="auto"/>
                  <w:vAlign w:val="center"/>
                </w:tcPr>
                <w:p w14:paraId="27C7BE88">
                  <w:pPr>
                    <w:overflowPunct w:val="0"/>
                    <w:snapToGrid w:val="0"/>
                    <w:jc w:val="center"/>
                    <w:rPr>
                      <w:color w:val="auto"/>
                      <w:szCs w:val="21"/>
                      <w:highlight w:val="yellow"/>
                    </w:rPr>
                  </w:pPr>
                  <w:r>
                    <w:rPr>
                      <w:color w:val="auto"/>
                      <w:szCs w:val="21"/>
                      <w:lang w:bidi="ar"/>
                    </w:rPr>
                    <w:t>生活垃圾收集于垃圾收集点后清运至垃圾处理场</w:t>
                  </w:r>
                </w:p>
              </w:tc>
              <w:tc>
                <w:tcPr>
                  <w:tcW w:w="1600" w:type="pct"/>
                  <w:tcBorders>
                    <w:tl2br w:val="nil"/>
                    <w:tr2bl w:val="nil"/>
                  </w:tcBorders>
                  <w:shd w:val="clear" w:color="auto" w:fill="auto"/>
                  <w:vAlign w:val="center"/>
                </w:tcPr>
                <w:p w14:paraId="14EDF47D">
                  <w:pPr>
                    <w:overflowPunct w:val="0"/>
                    <w:snapToGrid w:val="0"/>
                    <w:jc w:val="center"/>
                    <w:rPr>
                      <w:color w:val="auto"/>
                      <w:kern w:val="0"/>
                      <w:szCs w:val="21"/>
                    </w:rPr>
                  </w:pPr>
                  <w:r>
                    <w:rPr>
                      <w:color w:val="auto"/>
                      <w:kern w:val="0"/>
                      <w:szCs w:val="21"/>
                    </w:rPr>
                    <w:t>/</w:t>
                  </w:r>
                </w:p>
              </w:tc>
            </w:tr>
            <w:tr w14:paraId="11B507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16" w:type="pct"/>
                  <w:vMerge w:val="continue"/>
                  <w:tcBorders>
                    <w:tl2br w:val="nil"/>
                    <w:tr2bl w:val="nil"/>
                  </w:tcBorders>
                  <w:shd w:val="clear" w:color="auto" w:fill="auto"/>
                  <w:vAlign w:val="center"/>
                </w:tcPr>
                <w:p w14:paraId="7525A109">
                  <w:pPr>
                    <w:rPr>
                      <w:color w:val="auto"/>
                      <w:szCs w:val="21"/>
                    </w:rPr>
                  </w:pPr>
                </w:p>
              </w:tc>
              <w:tc>
                <w:tcPr>
                  <w:tcW w:w="694" w:type="pct"/>
                  <w:vMerge w:val="continue"/>
                  <w:tcBorders>
                    <w:tl2br w:val="nil"/>
                    <w:tr2bl w:val="nil"/>
                  </w:tcBorders>
                  <w:shd w:val="clear" w:color="auto" w:fill="auto"/>
                  <w:vAlign w:val="center"/>
                </w:tcPr>
                <w:p w14:paraId="0FEBF6E8">
                  <w:pPr>
                    <w:rPr>
                      <w:color w:val="auto"/>
                      <w:szCs w:val="21"/>
                    </w:rPr>
                  </w:pPr>
                </w:p>
              </w:tc>
              <w:tc>
                <w:tcPr>
                  <w:tcW w:w="2289" w:type="pct"/>
                  <w:tcBorders>
                    <w:tl2br w:val="nil"/>
                    <w:tr2bl w:val="nil"/>
                  </w:tcBorders>
                  <w:shd w:val="clear" w:color="auto" w:fill="auto"/>
                  <w:vAlign w:val="center"/>
                </w:tcPr>
                <w:p w14:paraId="3868D2D1">
                  <w:pPr>
                    <w:pStyle w:val="100"/>
                    <w:spacing w:before="66" w:line="228" w:lineRule="auto"/>
                    <w:ind w:left="8"/>
                    <w:rPr>
                      <w:rFonts w:hint="default" w:ascii="Times New Roman" w:hAnsi="Times New Roman" w:eastAsia="宋体" w:cs="Times New Roman"/>
                      <w:color w:val="auto"/>
                      <w:sz w:val="21"/>
                      <w:szCs w:val="21"/>
                      <w:lang w:val="en-US" w:eastAsia="zh-CN" w:bidi="ar"/>
                    </w:rPr>
                  </w:pPr>
                  <w:r>
                    <w:rPr>
                      <w:rFonts w:hint="eastAsia" w:ascii="Times New Roman" w:hAnsi="Times New Roman" w:cs="Times New Roman"/>
                      <w:color w:val="auto"/>
                      <w:spacing w:val="7"/>
                      <w:sz w:val="21"/>
                      <w:szCs w:val="21"/>
                    </w:rPr>
                    <w:t>炉渣、废边角料、残次品及除尘灰</w:t>
                  </w:r>
                  <w:r>
                    <w:rPr>
                      <w:rFonts w:ascii="Times New Roman" w:hAnsi="Times New Roman" w:cs="Times New Roman"/>
                      <w:color w:val="auto"/>
                      <w:spacing w:val="7"/>
                      <w:sz w:val="21"/>
                      <w:szCs w:val="21"/>
                    </w:rPr>
                    <w:t>集中</w:t>
                  </w:r>
                  <w:r>
                    <w:rPr>
                      <w:rFonts w:ascii="Times New Roman" w:hAnsi="Times New Roman" w:cs="Times New Roman"/>
                      <w:color w:val="auto"/>
                      <w:spacing w:val="6"/>
                      <w:sz w:val="21"/>
                      <w:szCs w:val="21"/>
                    </w:rPr>
                    <w:t>收集后</w:t>
                  </w:r>
                  <w:r>
                    <w:rPr>
                      <w:rFonts w:hint="eastAsia" w:ascii="Times New Roman" w:hAnsi="Times New Roman" w:cs="Times New Roman"/>
                      <w:color w:val="auto"/>
                      <w:spacing w:val="6"/>
                      <w:sz w:val="21"/>
                      <w:szCs w:val="21"/>
                    </w:rPr>
                    <w:t>综合利用</w:t>
                  </w:r>
                  <w:r>
                    <w:rPr>
                      <w:rFonts w:ascii="Times New Roman" w:hAnsi="Times New Roman" w:cs="Times New Roman"/>
                      <w:color w:val="auto"/>
                      <w:spacing w:val="6"/>
                      <w:sz w:val="21"/>
                      <w:szCs w:val="21"/>
                    </w:rPr>
                    <w:t>；废</w:t>
                  </w:r>
                  <w:r>
                    <w:rPr>
                      <w:rFonts w:hint="eastAsia" w:ascii="Times New Roman" w:hAnsi="Times New Roman" w:cs="Times New Roman"/>
                      <w:color w:val="auto"/>
                      <w:spacing w:val="6"/>
                      <w:sz w:val="21"/>
                      <w:szCs w:val="21"/>
                    </w:rPr>
                    <w:t>金属模具</w:t>
                  </w:r>
                  <w:r>
                    <w:rPr>
                      <w:rFonts w:ascii="Times New Roman" w:hAnsi="Times New Roman" w:cs="Times New Roman"/>
                      <w:color w:val="auto"/>
                      <w:spacing w:val="8"/>
                      <w:sz w:val="21"/>
                      <w:szCs w:val="21"/>
                    </w:rPr>
                    <w:t>由原厂回收</w:t>
                  </w:r>
                  <w:r>
                    <w:rPr>
                      <w:rFonts w:hint="eastAsia" w:ascii="Times New Roman" w:hAnsi="Times New Roman" w:cs="Times New Roman"/>
                      <w:color w:val="auto"/>
                      <w:spacing w:val="8"/>
                      <w:sz w:val="21"/>
                      <w:szCs w:val="21"/>
                    </w:rPr>
                    <w:t>以旧换新</w:t>
                  </w:r>
                  <w:r>
                    <w:rPr>
                      <w:rFonts w:hint="eastAsia" w:ascii="Times New Roman" w:hAnsi="Times New Roman" w:cs="Times New Roman"/>
                      <w:color w:val="auto"/>
                      <w:spacing w:val="8"/>
                      <w:sz w:val="21"/>
                      <w:szCs w:val="21"/>
                      <w:lang w:eastAsia="zh-CN"/>
                    </w:rPr>
                    <w:t>；</w:t>
                  </w:r>
                  <w:r>
                    <w:rPr>
                      <w:rFonts w:hint="eastAsia" w:ascii="Times New Roman" w:hAnsi="Times New Roman" w:cs="Times New Roman"/>
                      <w:color w:val="auto"/>
                      <w:spacing w:val="7"/>
                      <w:sz w:val="21"/>
                      <w:szCs w:val="21"/>
                    </w:rPr>
                    <w:t>脱模剂外包装</w:t>
                  </w:r>
                  <w:r>
                    <w:rPr>
                      <w:rFonts w:hint="eastAsia" w:ascii="Times New Roman" w:hAnsi="Times New Roman" w:cs="Times New Roman"/>
                      <w:color w:val="auto"/>
                      <w:spacing w:val="7"/>
                      <w:sz w:val="21"/>
                      <w:szCs w:val="21"/>
                      <w:lang w:val="en-US" w:eastAsia="zh-CN"/>
                    </w:rPr>
                    <w:t>交由废品回收站处置</w:t>
                  </w:r>
                </w:p>
              </w:tc>
              <w:tc>
                <w:tcPr>
                  <w:tcW w:w="1600" w:type="pct"/>
                  <w:tcBorders>
                    <w:tl2br w:val="nil"/>
                    <w:tr2bl w:val="nil"/>
                  </w:tcBorders>
                  <w:shd w:val="clear" w:color="auto" w:fill="auto"/>
                  <w:vAlign w:val="center"/>
                </w:tcPr>
                <w:p w14:paraId="6FF5556C">
                  <w:pPr>
                    <w:rPr>
                      <w:color w:val="auto"/>
                      <w:szCs w:val="21"/>
                    </w:rPr>
                  </w:pPr>
                  <w:r>
                    <w:rPr>
                      <w:color w:val="auto"/>
                      <w:szCs w:val="21"/>
                      <w:lang w:bidi="ar"/>
                    </w:rPr>
                    <w:t>《一般工业固体废物贮存和填埋污染控制标准》（GB 18599-2020）</w:t>
                  </w:r>
                </w:p>
              </w:tc>
            </w:tr>
            <w:tr w14:paraId="367491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16" w:type="pct"/>
                  <w:vMerge w:val="continue"/>
                  <w:tcBorders>
                    <w:tl2br w:val="nil"/>
                    <w:tr2bl w:val="nil"/>
                  </w:tcBorders>
                  <w:shd w:val="clear" w:color="auto" w:fill="auto"/>
                  <w:vAlign w:val="center"/>
                </w:tcPr>
                <w:p w14:paraId="5788163B">
                  <w:pPr>
                    <w:rPr>
                      <w:color w:val="auto"/>
                      <w:szCs w:val="21"/>
                    </w:rPr>
                  </w:pPr>
                </w:p>
              </w:tc>
              <w:tc>
                <w:tcPr>
                  <w:tcW w:w="694" w:type="pct"/>
                  <w:vMerge w:val="continue"/>
                  <w:tcBorders>
                    <w:tl2br w:val="nil"/>
                    <w:tr2bl w:val="nil"/>
                  </w:tcBorders>
                  <w:shd w:val="clear" w:color="auto" w:fill="auto"/>
                  <w:vAlign w:val="center"/>
                </w:tcPr>
                <w:p w14:paraId="6A994330">
                  <w:pPr>
                    <w:rPr>
                      <w:color w:val="auto"/>
                      <w:szCs w:val="21"/>
                    </w:rPr>
                  </w:pPr>
                </w:p>
              </w:tc>
              <w:tc>
                <w:tcPr>
                  <w:tcW w:w="2289" w:type="pct"/>
                  <w:tcBorders>
                    <w:tl2br w:val="nil"/>
                    <w:tr2bl w:val="nil"/>
                  </w:tcBorders>
                  <w:shd w:val="clear" w:color="auto" w:fill="auto"/>
                  <w:vAlign w:val="center"/>
                </w:tcPr>
                <w:p w14:paraId="2F69BE7D">
                  <w:pPr>
                    <w:pStyle w:val="100"/>
                    <w:spacing w:before="66" w:line="228" w:lineRule="auto"/>
                    <w:ind w:left="8"/>
                    <w:rPr>
                      <w:rFonts w:ascii="Times New Roman" w:hAnsi="Times New Roman" w:cs="Times New Roman"/>
                      <w:color w:val="auto"/>
                      <w:spacing w:val="7"/>
                      <w:sz w:val="21"/>
                      <w:szCs w:val="21"/>
                    </w:rPr>
                  </w:pPr>
                  <w:r>
                    <w:rPr>
                      <w:rFonts w:hint="eastAsia" w:ascii="Times New Roman" w:hAnsi="Times New Roman" w:cs="Times New Roman"/>
                      <w:color w:val="auto"/>
                      <w:spacing w:val="7"/>
                      <w:sz w:val="21"/>
                      <w:szCs w:val="21"/>
                    </w:rPr>
                    <w:t>废机油、废乳化液及废液压油按危废贮存要求存放，委托有相应资质单位处置</w:t>
                  </w:r>
                </w:p>
              </w:tc>
              <w:tc>
                <w:tcPr>
                  <w:tcW w:w="1600" w:type="pct"/>
                  <w:tcBorders>
                    <w:tl2br w:val="nil"/>
                    <w:tr2bl w:val="nil"/>
                  </w:tcBorders>
                  <w:shd w:val="clear" w:color="auto" w:fill="auto"/>
                  <w:vAlign w:val="center"/>
                </w:tcPr>
                <w:p w14:paraId="069E024B">
                  <w:pPr>
                    <w:rPr>
                      <w:color w:val="auto"/>
                      <w:szCs w:val="21"/>
                      <w:lang w:bidi="ar"/>
                    </w:rPr>
                  </w:pPr>
                  <w:r>
                    <w:rPr>
                      <w:rFonts w:hint="eastAsia"/>
                      <w:color w:val="auto"/>
                      <w:szCs w:val="21"/>
                    </w:rPr>
                    <w:t>《危险废物贮存污染控制标准》（</w:t>
                  </w:r>
                  <w:r>
                    <w:rPr>
                      <w:color w:val="auto"/>
                      <w:szCs w:val="21"/>
                    </w:rPr>
                    <w:t>GB18597-20</w:t>
                  </w:r>
                  <w:r>
                    <w:rPr>
                      <w:rFonts w:hint="eastAsia"/>
                      <w:color w:val="auto"/>
                      <w:szCs w:val="21"/>
                    </w:rPr>
                    <w:t>23）</w:t>
                  </w:r>
                </w:p>
              </w:tc>
            </w:tr>
          </w:tbl>
          <w:p w14:paraId="5D772669">
            <w:pPr>
              <w:rPr>
                <w:rFonts w:ascii="宋体" w:hAnsi="宋体" w:cs="宋体"/>
                <w:color w:val="auto"/>
              </w:rPr>
            </w:pPr>
          </w:p>
          <w:p w14:paraId="55D3503B">
            <w:pPr>
              <w:rPr>
                <w:rFonts w:ascii="宋体" w:hAnsi="宋体" w:cs="宋体"/>
                <w:color w:val="auto"/>
              </w:rPr>
            </w:pPr>
          </w:p>
          <w:p w14:paraId="112C0BEB">
            <w:pPr>
              <w:rPr>
                <w:rFonts w:ascii="宋体" w:hAnsi="宋体" w:cs="宋体"/>
                <w:color w:val="auto"/>
              </w:rPr>
            </w:pPr>
          </w:p>
        </w:tc>
      </w:tr>
    </w:tbl>
    <w:p w14:paraId="370B61C8">
      <w:pPr>
        <w:adjustRightInd w:val="0"/>
        <w:snapToGrid w:val="0"/>
        <w:spacing w:line="360" w:lineRule="auto"/>
        <w:rPr>
          <w:rFonts w:ascii="宋体" w:cs="宋体"/>
          <w:b/>
          <w:color w:val="auto"/>
          <w:kern w:val="0"/>
          <w:sz w:val="28"/>
          <w:szCs w:val="28"/>
        </w:rPr>
        <w:sectPr>
          <w:pgSz w:w="11905" w:h="16838"/>
          <w:pgMar w:top="1701" w:right="1531" w:bottom="2126" w:left="1531" w:header="851" w:footer="850" w:gutter="0"/>
          <w:pgBorders>
            <w:top w:val="none" w:sz="0" w:space="0"/>
            <w:left w:val="none" w:sz="0" w:space="0"/>
            <w:bottom w:val="none" w:sz="0" w:space="0"/>
            <w:right w:val="none" w:sz="0" w:space="0"/>
          </w:pgBorders>
          <w:cols w:space="0" w:num="1"/>
          <w:docGrid w:linePitch="312" w:charSpace="0"/>
        </w:sectPr>
      </w:pPr>
    </w:p>
    <w:p w14:paraId="0EA8DF9E">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8" w:name="_Hlk54167917"/>
      <w:r>
        <w:rPr>
          <w:rFonts w:hint="eastAsia" w:ascii="黑体" w:hAnsi="黑体" w:eastAsia="黑体"/>
          <w:snapToGrid w:val="0"/>
          <w:color w:val="auto"/>
          <w:sz w:val="30"/>
          <w:szCs w:val="30"/>
        </w:rPr>
        <w:t>环境保护措施监督检查清单</w:t>
      </w:r>
      <w:bookmarkEnd w:id="8"/>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701"/>
        <w:gridCol w:w="1417"/>
        <w:gridCol w:w="2552"/>
        <w:gridCol w:w="2301"/>
      </w:tblGrid>
      <w:tr w14:paraId="361AA5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9" w:type="dxa"/>
            <w:tcBorders>
              <w:tl2br w:val="single" w:color="auto" w:sz="4" w:space="0"/>
            </w:tcBorders>
          </w:tcPr>
          <w:p w14:paraId="2A7D2856">
            <w:pPr>
              <w:adjustRightInd w:val="0"/>
              <w:snapToGrid w:val="0"/>
              <w:jc w:val="right"/>
              <w:rPr>
                <w:rFonts w:cs="宋体"/>
                <w:color w:val="auto"/>
                <w:sz w:val="24"/>
                <w:szCs w:val="24"/>
              </w:rPr>
            </w:pPr>
            <w:r>
              <w:rPr>
                <w:rFonts w:hint="eastAsia" w:cs="宋体"/>
                <w:color w:val="auto"/>
                <w:sz w:val="24"/>
                <w:szCs w:val="24"/>
              </w:rPr>
              <w:t>内容</w:t>
            </w:r>
          </w:p>
          <w:p w14:paraId="7CFF71D4">
            <w:pPr>
              <w:adjustRightInd w:val="0"/>
              <w:snapToGrid w:val="0"/>
              <w:jc w:val="both"/>
              <w:rPr>
                <w:rFonts w:cs="宋体"/>
                <w:color w:val="auto"/>
                <w:sz w:val="24"/>
                <w:szCs w:val="24"/>
              </w:rPr>
            </w:pPr>
            <w:r>
              <w:rPr>
                <w:rFonts w:hint="eastAsia" w:cs="宋体"/>
                <w:color w:val="auto"/>
                <w:sz w:val="24"/>
                <w:szCs w:val="24"/>
              </w:rPr>
              <w:t>要素</w:t>
            </w:r>
          </w:p>
        </w:tc>
        <w:tc>
          <w:tcPr>
            <w:tcW w:w="1701" w:type="dxa"/>
            <w:vAlign w:val="center"/>
          </w:tcPr>
          <w:p w14:paraId="0BEE4F0B">
            <w:pPr>
              <w:adjustRightInd w:val="0"/>
              <w:snapToGrid w:val="0"/>
              <w:jc w:val="center"/>
              <w:rPr>
                <w:rFonts w:cs="宋体"/>
                <w:color w:val="auto"/>
                <w:sz w:val="24"/>
                <w:szCs w:val="24"/>
              </w:rPr>
            </w:pPr>
            <w:r>
              <w:rPr>
                <w:rFonts w:hint="eastAsia" w:cs="宋体"/>
                <w:color w:val="auto"/>
                <w:sz w:val="24"/>
                <w:szCs w:val="24"/>
              </w:rPr>
              <w:t>排放口（编号、名称）/污染源</w:t>
            </w:r>
          </w:p>
        </w:tc>
        <w:tc>
          <w:tcPr>
            <w:tcW w:w="1417" w:type="dxa"/>
            <w:vAlign w:val="center"/>
          </w:tcPr>
          <w:p w14:paraId="256887EC">
            <w:pPr>
              <w:adjustRightInd w:val="0"/>
              <w:snapToGrid w:val="0"/>
              <w:jc w:val="center"/>
              <w:rPr>
                <w:rFonts w:cs="宋体"/>
                <w:color w:val="auto"/>
                <w:sz w:val="24"/>
                <w:szCs w:val="24"/>
              </w:rPr>
            </w:pPr>
            <w:r>
              <w:rPr>
                <w:rFonts w:hint="eastAsia" w:cs="宋体"/>
                <w:color w:val="auto"/>
                <w:sz w:val="24"/>
                <w:szCs w:val="24"/>
              </w:rPr>
              <w:t>污染物项目</w:t>
            </w:r>
          </w:p>
        </w:tc>
        <w:tc>
          <w:tcPr>
            <w:tcW w:w="2552" w:type="dxa"/>
            <w:vAlign w:val="center"/>
          </w:tcPr>
          <w:p w14:paraId="1D80449C">
            <w:pPr>
              <w:adjustRightInd w:val="0"/>
              <w:snapToGrid w:val="0"/>
              <w:jc w:val="center"/>
              <w:rPr>
                <w:rFonts w:cs="宋体"/>
                <w:color w:val="auto"/>
                <w:sz w:val="24"/>
                <w:szCs w:val="24"/>
              </w:rPr>
            </w:pPr>
            <w:r>
              <w:rPr>
                <w:rFonts w:hint="eastAsia" w:cs="宋体"/>
                <w:color w:val="auto"/>
                <w:sz w:val="24"/>
                <w:szCs w:val="24"/>
              </w:rPr>
              <w:t>环境保护措施</w:t>
            </w:r>
          </w:p>
        </w:tc>
        <w:tc>
          <w:tcPr>
            <w:tcW w:w="2301" w:type="dxa"/>
            <w:vAlign w:val="center"/>
          </w:tcPr>
          <w:p w14:paraId="762443C0">
            <w:pPr>
              <w:adjustRightInd w:val="0"/>
              <w:snapToGrid w:val="0"/>
              <w:jc w:val="center"/>
              <w:rPr>
                <w:rFonts w:cs="宋体"/>
                <w:color w:val="auto"/>
                <w:sz w:val="24"/>
                <w:szCs w:val="24"/>
              </w:rPr>
            </w:pPr>
            <w:r>
              <w:rPr>
                <w:rFonts w:hint="eastAsia" w:cs="宋体"/>
                <w:color w:val="auto"/>
                <w:sz w:val="24"/>
                <w:szCs w:val="24"/>
              </w:rPr>
              <w:t>执行标准</w:t>
            </w:r>
          </w:p>
        </w:tc>
      </w:tr>
      <w:tr w14:paraId="607AE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9" w:type="dxa"/>
            <w:vMerge w:val="restart"/>
            <w:vAlign w:val="center"/>
          </w:tcPr>
          <w:p w14:paraId="62C64ECE">
            <w:pPr>
              <w:adjustRightInd w:val="0"/>
              <w:snapToGrid w:val="0"/>
              <w:jc w:val="center"/>
              <w:rPr>
                <w:rFonts w:cs="宋体"/>
                <w:color w:val="auto"/>
                <w:sz w:val="24"/>
                <w:szCs w:val="24"/>
              </w:rPr>
            </w:pPr>
            <w:r>
              <w:rPr>
                <w:rFonts w:hint="eastAsia" w:cs="宋体"/>
                <w:color w:val="auto"/>
                <w:sz w:val="24"/>
                <w:szCs w:val="24"/>
              </w:rPr>
              <w:t>大气环境</w:t>
            </w:r>
          </w:p>
        </w:tc>
        <w:tc>
          <w:tcPr>
            <w:tcW w:w="1701" w:type="dxa"/>
            <w:vAlign w:val="center"/>
          </w:tcPr>
          <w:p w14:paraId="7C4A5A08">
            <w:pPr>
              <w:adjustRightInd w:val="0"/>
              <w:snapToGrid w:val="0"/>
              <w:jc w:val="center"/>
              <w:rPr>
                <w:rFonts w:cs="宋体"/>
                <w:color w:val="auto"/>
                <w:sz w:val="24"/>
                <w:szCs w:val="24"/>
              </w:rPr>
            </w:pPr>
            <w:r>
              <w:rPr>
                <w:rFonts w:hint="eastAsia" w:cs="宋体"/>
                <w:color w:val="auto"/>
                <w:sz w:val="24"/>
                <w:szCs w:val="24"/>
              </w:rPr>
              <w:t>有组织颗粒物</w:t>
            </w:r>
          </w:p>
        </w:tc>
        <w:tc>
          <w:tcPr>
            <w:tcW w:w="1417" w:type="dxa"/>
            <w:vAlign w:val="center"/>
          </w:tcPr>
          <w:p w14:paraId="7B20475F">
            <w:pPr>
              <w:adjustRightInd w:val="0"/>
              <w:snapToGrid w:val="0"/>
              <w:jc w:val="center"/>
              <w:rPr>
                <w:color w:val="auto"/>
                <w:sz w:val="24"/>
                <w:szCs w:val="24"/>
              </w:rPr>
            </w:pPr>
            <w:r>
              <w:rPr>
                <w:rFonts w:hint="eastAsia"/>
                <w:color w:val="auto"/>
                <w:sz w:val="24"/>
                <w:szCs w:val="24"/>
              </w:rPr>
              <w:t>颗粒物</w:t>
            </w:r>
          </w:p>
        </w:tc>
        <w:tc>
          <w:tcPr>
            <w:tcW w:w="2552" w:type="dxa"/>
            <w:vAlign w:val="center"/>
          </w:tcPr>
          <w:p w14:paraId="69C8937D">
            <w:pPr>
              <w:overflowPunct w:val="0"/>
              <w:snapToGrid w:val="0"/>
              <w:jc w:val="center"/>
              <w:rPr>
                <w:color w:val="auto"/>
                <w:sz w:val="24"/>
                <w:szCs w:val="24"/>
              </w:rPr>
            </w:pPr>
            <w:r>
              <w:rPr>
                <w:rFonts w:hint="eastAsia"/>
                <w:color w:val="auto"/>
                <w:sz w:val="24"/>
                <w:szCs w:val="24"/>
              </w:rPr>
              <w:t>经袋式除尘器处理后排放</w:t>
            </w:r>
          </w:p>
        </w:tc>
        <w:tc>
          <w:tcPr>
            <w:tcW w:w="2301" w:type="dxa"/>
            <w:vMerge w:val="restart"/>
            <w:vAlign w:val="center"/>
          </w:tcPr>
          <w:p w14:paraId="15356F0D">
            <w:pPr>
              <w:overflowPunct w:val="0"/>
              <w:snapToGrid w:val="0"/>
              <w:jc w:val="left"/>
              <w:rPr>
                <w:color w:val="auto"/>
                <w:sz w:val="24"/>
                <w:szCs w:val="24"/>
              </w:rPr>
            </w:pPr>
            <w:r>
              <w:rPr>
                <w:color w:val="auto"/>
                <w:spacing w:val="8"/>
                <w:sz w:val="24"/>
                <w:szCs w:val="24"/>
              </w:rPr>
              <w:t>《铸造工业大气污染物排放标准》（GB39726—2020）表1金属熔炼（化）大气污染物排放浓度限值中电弧炉、感应电炉、精炼炉等其它熔炼（化）炉；保温炉</w:t>
            </w:r>
            <w:r>
              <w:rPr>
                <w:color w:val="auto"/>
                <w:spacing w:val="8"/>
                <w:sz w:val="24"/>
                <w:szCs w:val="24"/>
                <w:vertAlign w:val="superscript"/>
              </w:rPr>
              <w:t>d</w:t>
            </w:r>
            <w:r>
              <w:rPr>
                <w:color w:val="auto"/>
                <w:spacing w:val="8"/>
                <w:sz w:val="24"/>
                <w:szCs w:val="24"/>
              </w:rPr>
              <w:t>的排放限值。</w:t>
            </w:r>
          </w:p>
        </w:tc>
      </w:tr>
      <w:tr w14:paraId="11B96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29" w:type="dxa"/>
            <w:vMerge w:val="continue"/>
            <w:vAlign w:val="center"/>
          </w:tcPr>
          <w:p w14:paraId="354B6FAC">
            <w:pPr>
              <w:adjustRightInd w:val="0"/>
              <w:snapToGrid w:val="0"/>
              <w:jc w:val="center"/>
              <w:rPr>
                <w:rFonts w:cs="宋体"/>
                <w:color w:val="auto"/>
                <w:sz w:val="24"/>
                <w:szCs w:val="24"/>
              </w:rPr>
            </w:pPr>
          </w:p>
        </w:tc>
        <w:tc>
          <w:tcPr>
            <w:tcW w:w="1701" w:type="dxa"/>
            <w:vAlign w:val="center"/>
          </w:tcPr>
          <w:p w14:paraId="212F973C">
            <w:pPr>
              <w:adjustRightInd w:val="0"/>
              <w:snapToGrid w:val="0"/>
              <w:jc w:val="center"/>
              <w:rPr>
                <w:rFonts w:cs="宋体"/>
                <w:color w:val="auto"/>
                <w:sz w:val="24"/>
                <w:szCs w:val="24"/>
              </w:rPr>
            </w:pPr>
            <w:r>
              <w:rPr>
                <w:rFonts w:hint="eastAsia" w:cs="宋体"/>
                <w:color w:val="auto"/>
                <w:sz w:val="24"/>
                <w:szCs w:val="24"/>
              </w:rPr>
              <w:t>无组织颗粒物</w:t>
            </w:r>
          </w:p>
        </w:tc>
        <w:tc>
          <w:tcPr>
            <w:tcW w:w="1417" w:type="dxa"/>
            <w:vAlign w:val="center"/>
          </w:tcPr>
          <w:p w14:paraId="19133481">
            <w:pPr>
              <w:adjustRightInd w:val="0"/>
              <w:snapToGrid w:val="0"/>
              <w:jc w:val="center"/>
              <w:rPr>
                <w:color w:val="auto"/>
                <w:sz w:val="24"/>
                <w:szCs w:val="24"/>
              </w:rPr>
            </w:pPr>
            <w:r>
              <w:rPr>
                <w:rFonts w:hint="eastAsia"/>
                <w:color w:val="auto"/>
                <w:sz w:val="24"/>
                <w:szCs w:val="24"/>
              </w:rPr>
              <w:t>颗粒物</w:t>
            </w:r>
          </w:p>
          <w:p w14:paraId="14BE16F9">
            <w:pPr>
              <w:adjustRightInd w:val="0"/>
              <w:snapToGrid w:val="0"/>
              <w:rPr>
                <w:color w:val="auto"/>
                <w:sz w:val="24"/>
                <w:szCs w:val="24"/>
              </w:rPr>
            </w:pPr>
          </w:p>
        </w:tc>
        <w:tc>
          <w:tcPr>
            <w:tcW w:w="2552" w:type="dxa"/>
            <w:vAlign w:val="center"/>
          </w:tcPr>
          <w:p w14:paraId="2E3405D6">
            <w:pPr>
              <w:overflowPunct w:val="0"/>
              <w:snapToGrid w:val="0"/>
              <w:jc w:val="center"/>
              <w:rPr>
                <w:rFonts w:cs="宋体"/>
                <w:color w:val="auto"/>
                <w:sz w:val="24"/>
                <w:szCs w:val="24"/>
              </w:rPr>
            </w:pPr>
            <w:r>
              <w:rPr>
                <w:rFonts w:hint="eastAsia"/>
                <w:color w:val="auto"/>
                <w:sz w:val="24"/>
                <w:szCs w:val="24"/>
              </w:rPr>
              <w:t>/</w:t>
            </w:r>
          </w:p>
        </w:tc>
        <w:tc>
          <w:tcPr>
            <w:tcW w:w="2301" w:type="dxa"/>
            <w:vMerge w:val="continue"/>
            <w:vAlign w:val="center"/>
          </w:tcPr>
          <w:p w14:paraId="202D223C">
            <w:pPr>
              <w:overflowPunct w:val="0"/>
              <w:snapToGrid w:val="0"/>
              <w:jc w:val="center"/>
              <w:rPr>
                <w:color w:val="auto"/>
                <w:sz w:val="24"/>
                <w:szCs w:val="24"/>
              </w:rPr>
            </w:pPr>
          </w:p>
        </w:tc>
      </w:tr>
      <w:tr w14:paraId="522D8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9" w:type="dxa"/>
            <w:vMerge w:val="restart"/>
            <w:vAlign w:val="center"/>
          </w:tcPr>
          <w:p w14:paraId="34B11CB6">
            <w:pPr>
              <w:adjustRightInd w:val="0"/>
              <w:snapToGrid w:val="0"/>
              <w:jc w:val="center"/>
              <w:rPr>
                <w:rFonts w:cs="宋体"/>
                <w:color w:val="auto"/>
                <w:sz w:val="24"/>
                <w:szCs w:val="24"/>
              </w:rPr>
            </w:pPr>
            <w:r>
              <w:rPr>
                <w:rFonts w:hint="eastAsia" w:cs="宋体"/>
                <w:color w:val="auto"/>
                <w:sz w:val="24"/>
                <w:szCs w:val="24"/>
              </w:rPr>
              <w:t>地表水环境</w:t>
            </w:r>
          </w:p>
        </w:tc>
        <w:tc>
          <w:tcPr>
            <w:tcW w:w="1701" w:type="dxa"/>
            <w:vAlign w:val="center"/>
          </w:tcPr>
          <w:p w14:paraId="242B54C6">
            <w:pPr>
              <w:adjustRightInd w:val="0"/>
              <w:snapToGrid w:val="0"/>
              <w:jc w:val="center"/>
              <w:rPr>
                <w:rFonts w:cs="宋体"/>
                <w:color w:val="auto"/>
                <w:sz w:val="24"/>
                <w:szCs w:val="24"/>
              </w:rPr>
            </w:pPr>
            <w:r>
              <w:rPr>
                <w:rFonts w:hint="eastAsia" w:cs="宋体"/>
                <w:color w:val="auto"/>
                <w:sz w:val="24"/>
                <w:szCs w:val="24"/>
              </w:rPr>
              <w:t>生活污水</w:t>
            </w:r>
          </w:p>
        </w:tc>
        <w:tc>
          <w:tcPr>
            <w:tcW w:w="1417" w:type="dxa"/>
            <w:vAlign w:val="center"/>
          </w:tcPr>
          <w:p w14:paraId="652544C9">
            <w:pPr>
              <w:adjustRightInd w:val="0"/>
              <w:snapToGrid w:val="0"/>
              <w:jc w:val="center"/>
              <w:rPr>
                <w:rFonts w:cs="宋体"/>
                <w:color w:val="auto"/>
                <w:sz w:val="24"/>
                <w:szCs w:val="24"/>
              </w:rPr>
            </w:pPr>
            <w:r>
              <w:rPr>
                <w:rFonts w:hint="eastAsia"/>
                <w:color w:val="auto"/>
                <w:sz w:val="24"/>
                <w:szCs w:val="24"/>
              </w:rPr>
              <w:t>BOD、</w:t>
            </w:r>
            <w:r>
              <w:rPr>
                <w:rFonts w:eastAsia="Times New Roman"/>
                <w:color w:val="auto"/>
                <w:sz w:val="24"/>
                <w:szCs w:val="24"/>
              </w:rPr>
              <w:t>COD</w:t>
            </w:r>
            <w:r>
              <w:rPr>
                <w:color w:val="auto"/>
                <w:spacing w:val="6"/>
                <w:sz w:val="24"/>
                <w:szCs w:val="24"/>
              </w:rPr>
              <w:t>、</w:t>
            </w:r>
            <w:r>
              <w:rPr>
                <w:rFonts w:eastAsia="Times New Roman"/>
                <w:color w:val="auto"/>
                <w:sz w:val="24"/>
                <w:szCs w:val="24"/>
              </w:rPr>
              <w:t>SS</w:t>
            </w:r>
          </w:p>
        </w:tc>
        <w:tc>
          <w:tcPr>
            <w:tcW w:w="2552" w:type="dxa"/>
            <w:vAlign w:val="center"/>
          </w:tcPr>
          <w:p w14:paraId="78146FE1">
            <w:pPr>
              <w:overflowPunct w:val="0"/>
              <w:snapToGrid w:val="0"/>
              <w:jc w:val="center"/>
              <w:rPr>
                <w:rFonts w:cs="宋体"/>
                <w:color w:val="auto"/>
                <w:sz w:val="24"/>
                <w:szCs w:val="24"/>
              </w:rPr>
            </w:pPr>
            <w:r>
              <w:rPr>
                <w:color w:val="auto"/>
                <w:sz w:val="24"/>
                <w:szCs w:val="24"/>
              </w:rPr>
              <w:t>生活污水经化粪池预处理后排入市政污水管网，进入园区污水处理厂处理</w:t>
            </w:r>
          </w:p>
        </w:tc>
        <w:tc>
          <w:tcPr>
            <w:tcW w:w="2301" w:type="dxa"/>
            <w:vAlign w:val="center"/>
          </w:tcPr>
          <w:p w14:paraId="3D2E31B1">
            <w:pPr>
              <w:pStyle w:val="100"/>
              <w:spacing w:before="123" w:line="228" w:lineRule="auto"/>
              <w:jc w:val="both"/>
              <w:rPr>
                <w:color w:val="auto"/>
                <w:sz w:val="24"/>
                <w:szCs w:val="24"/>
              </w:rPr>
            </w:pPr>
            <w:r>
              <w:rPr>
                <w:rFonts w:ascii="Times New Roman" w:hAnsi="Times New Roman" w:cs="Times New Roman"/>
                <w:color w:val="auto"/>
                <w:spacing w:val="7"/>
                <w:sz w:val="24"/>
                <w:szCs w:val="24"/>
              </w:rPr>
              <w:t>《污水综合排放标准》</w:t>
            </w:r>
            <w:r>
              <w:rPr>
                <w:rFonts w:ascii="Times New Roman" w:hAnsi="Times New Roman" w:cs="Times New Roman"/>
                <w:color w:val="auto"/>
                <w:spacing w:val="3"/>
                <w:sz w:val="24"/>
                <w:szCs w:val="24"/>
              </w:rPr>
              <w:t>（</w:t>
            </w:r>
            <w:r>
              <w:rPr>
                <w:rFonts w:ascii="Times New Roman" w:hAnsi="Times New Roman" w:eastAsia="Times New Roman" w:cs="Times New Roman"/>
                <w:color w:val="auto"/>
                <w:sz w:val="24"/>
                <w:szCs w:val="24"/>
              </w:rPr>
              <w:t>GB</w:t>
            </w:r>
            <w:r>
              <w:rPr>
                <w:rFonts w:ascii="Times New Roman" w:hAnsi="Times New Roman" w:eastAsia="Times New Roman" w:cs="Times New Roman"/>
                <w:color w:val="auto"/>
                <w:spacing w:val="3"/>
                <w:sz w:val="24"/>
                <w:szCs w:val="24"/>
              </w:rPr>
              <w:t>8978-</w:t>
            </w:r>
            <w:r>
              <w:rPr>
                <w:rFonts w:ascii="Times New Roman" w:hAnsi="Times New Roman" w:eastAsia="Times New Roman" w:cs="Times New Roman"/>
                <w:color w:val="auto"/>
                <w:spacing w:val="-17"/>
                <w:sz w:val="24"/>
                <w:szCs w:val="24"/>
              </w:rPr>
              <w:t xml:space="preserve"> </w:t>
            </w:r>
            <w:r>
              <w:rPr>
                <w:rFonts w:ascii="Times New Roman" w:hAnsi="Times New Roman" w:eastAsia="Times New Roman" w:cs="Times New Roman"/>
                <w:color w:val="auto"/>
                <w:spacing w:val="3"/>
                <w:sz w:val="24"/>
                <w:szCs w:val="24"/>
              </w:rPr>
              <w:t>1996</w:t>
            </w:r>
            <w:r>
              <w:rPr>
                <w:rFonts w:ascii="Times New Roman" w:hAnsi="Times New Roman" w:cs="Times New Roman"/>
                <w:color w:val="auto"/>
                <w:spacing w:val="3"/>
                <w:sz w:val="24"/>
                <w:szCs w:val="24"/>
              </w:rPr>
              <w:t>）表</w:t>
            </w:r>
            <w:r>
              <w:rPr>
                <w:rFonts w:ascii="Times New Roman" w:hAnsi="Times New Roman" w:cs="Times New Roman"/>
                <w:color w:val="auto"/>
                <w:spacing w:val="-42"/>
                <w:sz w:val="24"/>
                <w:szCs w:val="24"/>
              </w:rPr>
              <w:t xml:space="preserve"> </w:t>
            </w:r>
            <w:r>
              <w:rPr>
                <w:rFonts w:ascii="Times New Roman" w:hAnsi="Times New Roman" w:eastAsia="Times New Roman" w:cs="Times New Roman"/>
                <w:color w:val="auto"/>
                <w:spacing w:val="3"/>
                <w:sz w:val="24"/>
                <w:szCs w:val="24"/>
              </w:rPr>
              <w:t>4</w:t>
            </w:r>
            <w:r>
              <w:rPr>
                <w:rFonts w:ascii="Times New Roman" w:hAnsi="Times New Roman" w:cs="Times New Roman"/>
                <w:color w:val="auto"/>
                <w:spacing w:val="3"/>
                <w:sz w:val="24"/>
                <w:szCs w:val="24"/>
              </w:rPr>
              <w:t>中三级标准</w:t>
            </w:r>
          </w:p>
        </w:tc>
      </w:tr>
      <w:tr w14:paraId="63D18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9" w:type="dxa"/>
            <w:vMerge w:val="continue"/>
            <w:vAlign w:val="center"/>
          </w:tcPr>
          <w:p w14:paraId="6FB5FA1D">
            <w:pPr>
              <w:adjustRightInd w:val="0"/>
              <w:snapToGrid w:val="0"/>
              <w:jc w:val="center"/>
              <w:rPr>
                <w:rFonts w:cs="宋体"/>
                <w:color w:val="auto"/>
                <w:sz w:val="24"/>
                <w:szCs w:val="24"/>
              </w:rPr>
            </w:pPr>
          </w:p>
        </w:tc>
        <w:tc>
          <w:tcPr>
            <w:tcW w:w="1701" w:type="dxa"/>
            <w:vAlign w:val="center"/>
          </w:tcPr>
          <w:p w14:paraId="701777A6">
            <w:pPr>
              <w:adjustRightInd w:val="0"/>
              <w:snapToGrid w:val="0"/>
              <w:jc w:val="center"/>
              <w:rPr>
                <w:rFonts w:cs="宋体"/>
                <w:color w:val="auto"/>
                <w:sz w:val="24"/>
                <w:szCs w:val="24"/>
              </w:rPr>
            </w:pPr>
            <w:r>
              <w:rPr>
                <w:rFonts w:hint="eastAsia" w:cs="宋体"/>
                <w:color w:val="auto"/>
                <w:sz w:val="24"/>
                <w:szCs w:val="24"/>
              </w:rPr>
              <w:t>冷却水</w:t>
            </w:r>
          </w:p>
        </w:tc>
        <w:tc>
          <w:tcPr>
            <w:tcW w:w="1417" w:type="dxa"/>
            <w:vAlign w:val="center"/>
          </w:tcPr>
          <w:p w14:paraId="41171BE4">
            <w:pPr>
              <w:adjustRightInd w:val="0"/>
              <w:snapToGrid w:val="0"/>
              <w:jc w:val="center"/>
              <w:rPr>
                <w:rFonts w:cs="宋体"/>
                <w:color w:val="auto"/>
                <w:sz w:val="24"/>
                <w:szCs w:val="24"/>
              </w:rPr>
            </w:pPr>
            <w:r>
              <w:rPr>
                <w:rFonts w:hint="eastAsia" w:cs="宋体"/>
                <w:color w:val="auto"/>
                <w:sz w:val="24"/>
                <w:szCs w:val="24"/>
              </w:rPr>
              <w:t>/</w:t>
            </w:r>
          </w:p>
        </w:tc>
        <w:tc>
          <w:tcPr>
            <w:tcW w:w="2552" w:type="dxa"/>
            <w:vAlign w:val="center"/>
          </w:tcPr>
          <w:p w14:paraId="3E258CC8">
            <w:pPr>
              <w:adjustRightInd w:val="0"/>
              <w:snapToGrid w:val="0"/>
              <w:jc w:val="center"/>
              <w:rPr>
                <w:rFonts w:cs="宋体"/>
                <w:color w:val="auto"/>
                <w:sz w:val="24"/>
                <w:szCs w:val="24"/>
              </w:rPr>
            </w:pPr>
            <w:r>
              <w:rPr>
                <w:rFonts w:eastAsiaTheme="minorEastAsia"/>
                <w:color w:val="auto"/>
                <w:kern w:val="0"/>
                <w:sz w:val="24"/>
                <w:szCs w:val="24"/>
                <w:lang w:bidi="ar"/>
              </w:rPr>
              <w:t>循环使用不外排</w:t>
            </w:r>
            <w:r>
              <w:rPr>
                <w:color w:val="auto"/>
                <w:kern w:val="0"/>
                <w:sz w:val="24"/>
                <w:szCs w:val="24"/>
              </w:rPr>
              <w:t>。</w:t>
            </w:r>
          </w:p>
        </w:tc>
        <w:tc>
          <w:tcPr>
            <w:tcW w:w="2301" w:type="dxa"/>
            <w:vAlign w:val="center"/>
          </w:tcPr>
          <w:p w14:paraId="68E50CAB">
            <w:pPr>
              <w:adjustRightInd w:val="0"/>
              <w:snapToGrid w:val="0"/>
              <w:jc w:val="center"/>
              <w:rPr>
                <w:rFonts w:cs="宋体"/>
                <w:color w:val="auto"/>
                <w:sz w:val="24"/>
                <w:szCs w:val="24"/>
              </w:rPr>
            </w:pPr>
            <w:r>
              <w:rPr>
                <w:rFonts w:hint="eastAsia" w:cs="宋体"/>
                <w:color w:val="auto"/>
                <w:sz w:val="24"/>
                <w:szCs w:val="24"/>
              </w:rPr>
              <w:t>/</w:t>
            </w:r>
          </w:p>
        </w:tc>
      </w:tr>
      <w:tr w14:paraId="1F71A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29" w:type="dxa"/>
            <w:vAlign w:val="center"/>
          </w:tcPr>
          <w:p w14:paraId="01B79DD4">
            <w:pPr>
              <w:adjustRightInd w:val="0"/>
              <w:snapToGrid w:val="0"/>
              <w:jc w:val="center"/>
              <w:rPr>
                <w:rFonts w:cs="宋体"/>
                <w:color w:val="auto"/>
                <w:sz w:val="24"/>
                <w:szCs w:val="24"/>
              </w:rPr>
            </w:pPr>
            <w:r>
              <w:rPr>
                <w:rFonts w:hint="eastAsia" w:cs="宋体"/>
                <w:color w:val="auto"/>
                <w:sz w:val="24"/>
                <w:szCs w:val="24"/>
              </w:rPr>
              <w:t>声环境</w:t>
            </w:r>
          </w:p>
        </w:tc>
        <w:tc>
          <w:tcPr>
            <w:tcW w:w="1701" w:type="dxa"/>
            <w:vAlign w:val="center"/>
          </w:tcPr>
          <w:p w14:paraId="4B0E7C16">
            <w:pPr>
              <w:adjustRightInd w:val="0"/>
              <w:snapToGrid w:val="0"/>
              <w:jc w:val="center"/>
              <w:rPr>
                <w:rFonts w:cs="宋体"/>
                <w:color w:val="auto"/>
                <w:sz w:val="24"/>
                <w:szCs w:val="24"/>
              </w:rPr>
            </w:pPr>
            <w:r>
              <w:rPr>
                <w:rFonts w:hint="eastAsia" w:cs="宋体"/>
                <w:color w:val="auto"/>
                <w:sz w:val="24"/>
                <w:szCs w:val="24"/>
              </w:rPr>
              <w:t>机械设备</w:t>
            </w:r>
          </w:p>
        </w:tc>
        <w:tc>
          <w:tcPr>
            <w:tcW w:w="1417" w:type="dxa"/>
            <w:vAlign w:val="center"/>
          </w:tcPr>
          <w:p w14:paraId="7A01B2E1">
            <w:pPr>
              <w:widowControl/>
              <w:tabs>
                <w:tab w:val="left" w:pos="0"/>
                <w:tab w:val="left" w:pos="2089"/>
              </w:tabs>
              <w:adjustRightInd w:val="0"/>
              <w:snapToGrid w:val="0"/>
              <w:jc w:val="center"/>
              <w:rPr>
                <w:color w:val="auto"/>
                <w:sz w:val="24"/>
                <w:szCs w:val="24"/>
              </w:rPr>
            </w:pPr>
            <w:r>
              <w:rPr>
                <w:color w:val="auto"/>
                <w:sz w:val="24"/>
                <w:szCs w:val="24"/>
              </w:rPr>
              <w:t>等效连续A声级</w:t>
            </w:r>
          </w:p>
        </w:tc>
        <w:tc>
          <w:tcPr>
            <w:tcW w:w="2552" w:type="dxa"/>
            <w:vAlign w:val="center"/>
          </w:tcPr>
          <w:p w14:paraId="5B683E9E">
            <w:pPr>
              <w:widowControl/>
              <w:tabs>
                <w:tab w:val="left" w:pos="0"/>
                <w:tab w:val="left" w:pos="2089"/>
              </w:tabs>
              <w:adjustRightInd w:val="0"/>
              <w:snapToGrid w:val="0"/>
              <w:jc w:val="center"/>
              <w:rPr>
                <w:color w:val="auto"/>
                <w:sz w:val="24"/>
                <w:szCs w:val="24"/>
              </w:rPr>
            </w:pPr>
            <w:r>
              <w:rPr>
                <w:rFonts w:hint="eastAsia"/>
                <w:color w:val="auto"/>
                <w:kern w:val="24"/>
                <w:sz w:val="24"/>
                <w:szCs w:val="24"/>
              </w:rPr>
              <w:t>选用低噪声设备，隔声、减振安装</w:t>
            </w:r>
            <w:r>
              <w:rPr>
                <w:rFonts w:hint="eastAsia"/>
                <w:color w:val="auto"/>
                <w:sz w:val="24"/>
                <w:szCs w:val="24"/>
              </w:rPr>
              <w:t>，</w:t>
            </w:r>
            <w:r>
              <w:rPr>
                <w:color w:val="auto"/>
                <w:sz w:val="24"/>
                <w:szCs w:val="24"/>
              </w:rPr>
              <w:t>设备定期维护保养</w:t>
            </w:r>
          </w:p>
        </w:tc>
        <w:tc>
          <w:tcPr>
            <w:tcW w:w="2301" w:type="dxa"/>
            <w:vAlign w:val="center"/>
          </w:tcPr>
          <w:p w14:paraId="1B986B20">
            <w:pPr>
              <w:adjustRightInd w:val="0"/>
              <w:snapToGrid w:val="0"/>
              <w:jc w:val="left"/>
              <w:rPr>
                <w:color w:val="auto"/>
                <w:sz w:val="24"/>
                <w:szCs w:val="24"/>
              </w:rPr>
            </w:pPr>
            <w:r>
              <w:rPr>
                <w:color w:val="auto"/>
                <w:sz w:val="24"/>
                <w:szCs w:val="24"/>
              </w:rPr>
              <w:t>《工业企业厂界环境噪声排放标准》（GB12348-2008）</w:t>
            </w:r>
            <w:r>
              <w:rPr>
                <w:rFonts w:hint="eastAsia"/>
                <w:color w:val="auto"/>
                <w:sz w:val="24"/>
                <w:szCs w:val="24"/>
              </w:rPr>
              <w:t>3</w:t>
            </w:r>
            <w:r>
              <w:rPr>
                <w:color w:val="auto"/>
                <w:sz w:val="24"/>
                <w:szCs w:val="24"/>
              </w:rPr>
              <w:t>类</w:t>
            </w:r>
          </w:p>
        </w:tc>
      </w:tr>
      <w:tr w14:paraId="02502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9" w:type="dxa"/>
            <w:vAlign w:val="center"/>
          </w:tcPr>
          <w:p w14:paraId="69868368">
            <w:pPr>
              <w:adjustRightInd w:val="0"/>
              <w:snapToGrid w:val="0"/>
              <w:jc w:val="center"/>
              <w:rPr>
                <w:rFonts w:cs="宋体"/>
                <w:color w:val="auto"/>
                <w:sz w:val="24"/>
                <w:szCs w:val="24"/>
              </w:rPr>
            </w:pPr>
            <w:r>
              <w:rPr>
                <w:rFonts w:hint="eastAsia" w:cs="宋体"/>
                <w:color w:val="auto"/>
                <w:sz w:val="24"/>
                <w:szCs w:val="24"/>
              </w:rPr>
              <w:t>电磁辐射</w:t>
            </w:r>
          </w:p>
        </w:tc>
        <w:tc>
          <w:tcPr>
            <w:tcW w:w="7971" w:type="dxa"/>
            <w:gridSpan w:val="4"/>
            <w:vAlign w:val="center"/>
          </w:tcPr>
          <w:p w14:paraId="30E72C0E">
            <w:pPr>
              <w:adjustRightInd w:val="0"/>
              <w:snapToGrid w:val="0"/>
              <w:jc w:val="center"/>
              <w:rPr>
                <w:rFonts w:cs="宋体"/>
                <w:color w:val="auto"/>
                <w:sz w:val="24"/>
                <w:szCs w:val="24"/>
              </w:rPr>
            </w:pPr>
            <w:r>
              <w:rPr>
                <w:rFonts w:cs="宋体"/>
                <w:color w:val="auto"/>
                <w:sz w:val="24"/>
                <w:szCs w:val="24"/>
              </w:rPr>
              <w:t>本项目不涉及电磁辐射</w:t>
            </w:r>
          </w:p>
        </w:tc>
      </w:tr>
      <w:tr w14:paraId="43872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29" w:type="dxa"/>
            <w:vMerge w:val="restart"/>
            <w:vAlign w:val="center"/>
          </w:tcPr>
          <w:p w14:paraId="4989A8E7">
            <w:pPr>
              <w:adjustRightInd w:val="0"/>
              <w:snapToGrid w:val="0"/>
              <w:jc w:val="center"/>
              <w:rPr>
                <w:rFonts w:cs="宋体"/>
                <w:color w:val="auto"/>
                <w:sz w:val="24"/>
                <w:szCs w:val="24"/>
              </w:rPr>
            </w:pPr>
            <w:r>
              <w:rPr>
                <w:rFonts w:hint="eastAsia" w:cs="宋体"/>
                <w:color w:val="auto"/>
                <w:sz w:val="24"/>
                <w:szCs w:val="24"/>
              </w:rPr>
              <w:t>固体废物</w:t>
            </w:r>
          </w:p>
        </w:tc>
        <w:tc>
          <w:tcPr>
            <w:tcW w:w="5670" w:type="dxa"/>
            <w:gridSpan w:val="3"/>
            <w:vMerge w:val="restart"/>
            <w:vAlign w:val="center"/>
          </w:tcPr>
          <w:p w14:paraId="6DC8D6D0">
            <w:pPr>
              <w:adjustRightInd w:val="0"/>
              <w:snapToGrid w:val="0"/>
              <w:spacing w:line="360" w:lineRule="auto"/>
              <w:jc w:val="left"/>
              <w:rPr>
                <w:color w:val="auto"/>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 1 \* GB3</w:instrText>
            </w:r>
            <w:r>
              <w:rPr>
                <w:color w:val="auto"/>
                <w:sz w:val="24"/>
                <w:szCs w:val="24"/>
              </w:rPr>
              <w:instrText xml:space="preserve"> </w:instrText>
            </w:r>
            <w:r>
              <w:rPr>
                <w:color w:val="auto"/>
                <w:sz w:val="24"/>
                <w:szCs w:val="24"/>
              </w:rPr>
              <w:fldChar w:fldCharType="separate"/>
            </w:r>
            <w:r>
              <w:rPr>
                <w:rFonts w:hint="eastAsia"/>
                <w:color w:val="auto"/>
                <w:sz w:val="24"/>
                <w:szCs w:val="24"/>
              </w:rPr>
              <w:t>①</w:t>
            </w:r>
            <w:r>
              <w:rPr>
                <w:color w:val="auto"/>
                <w:sz w:val="24"/>
                <w:szCs w:val="24"/>
              </w:rPr>
              <w:fldChar w:fldCharType="end"/>
            </w:r>
            <w:r>
              <w:rPr>
                <w:rFonts w:hint="eastAsia"/>
                <w:color w:val="auto"/>
                <w:sz w:val="24"/>
                <w:szCs w:val="24"/>
              </w:rPr>
              <w:t>生活垃圾：收集后由环卫部门统一清运；</w:t>
            </w:r>
          </w:p>
          <w:p w14:paraId="57953481">
            <w:pPr>
              <w:adjustRightInd w:val="0"/>
              <w:snapToGrid w:val="0"/>
              <w:spacing w:line="360" w:lineRule="auto"/>
              <w:jc w:val="left"/>
              <w:rPr>
                <w:color w:val="auto"/>
                <w:sz w:val="24"/>
                <w:szCs w:val="24"/>
              </w:rPr>
            </w:pPr>
            <w:r>
              <w:rPr>
                <w:rFonts w:hint="eastAsia"/>
                <w:color w:val="auto"/>
                <w:sz w:val="24"/>
                <w:szCs w:val="24"/>
              </w:rPr>
              <w:t>②一般工业固体废物：炉渣</w:t>
            </w:r>
            <w:r>
              <w:rPr>
                <w:color w:val="auto"/>
                <w:spacing w:val="7"/>
                <w:sz w:val="24"/>
                <w:szCs w:val="24"/>
              </w:rPr>
              <w:t>、</w:t>
            </w:r>
            <w:r>
              <w:rPr>
                <w:rFonts w:hint="eastAsia"/>
                <w:color w:val="auto"/>
                <w:spacing w:val="7"/>
                <w:sz w:val="24"/>
                <w:szCs w:val="24"/>
              </w:rPr>
              <w:t>废边角料、残次品及除尘灰</w:t>
            </w:r>
            <w:r>
              <w:rPr>
                <w:color w:val="auto"/>
                <w:spacing w:val="7"/>
                <w:sz w:val="24"/>
                <w:szCs w:val="24"/>
              </w:rPr>
              <w:t>集中</w:t>
            </w:r>
            <w:r>
              <w:rPr>
                <w:color w:val="auto"/>
                <w:spacing w:val="6"/>
                <w:sz w:val="24"/>
                <w:szCs w:val="24"/>
              </w:rPr>
              <w:t>收集后综合利用；废</w:t>
            </w:r>
            <w:r>
              <w:rPr>
                <w:rFonts w:hint="eastAsia"/>
                <w:color w:val="auto"/>
                <w:spacing w:val="6"/>
                <w:sz w:val="24"/>
                <w:szCs w:val="24"/>
              </w:rPr>
              <w:t>金属模具</w:t>
            </w:r>
            <w:r>
              <w:rPr>
                <w:color w:val="auto"/>
                <w:spacing w:val="8"/>
                <w:sz w:val="24"/>
                <w:szCs w:val="24"/>
              </w:rPr>
              <w:t>由原厂回收</w:t>
            </w:r>
            <w:r>
              <w:rPr>
                <w:rFonts w:hint="eastAsia"/>
                <w:color w:val="auto"/>
                <w:spacing w:val="8"/>
                <w:sz w:val="24"/>
                <w:szCs w:val="24"/>
              </w:rPr>
              <w:t>以旧换新</w:t>
            </w:r>
            <w:r>
              <w:rPr>
                <w:rFonts w:hint="eastAsia"/>
                <w:color w:val="auto"/>
                <w:spacing w:val="8"/>
                <w:sz w:val="24"/>
                <w:szCs w:val="24"/>
                <w:lang w:eastAsia="zh-CN"/>
              </w:rPr>
              <w:t>；</w:t>
            </w:r>
            <w:r>
              <w:rPr>
                <w:rFonts w:hint="eastAsia"/>
                <w:color w:val="auto"/>
                <w:sz w:val="24"/>
                <w:szCs w:val="24"/>
              </w:rPr>
              <w:t>脱模剂外包装</w:t>
            </w:r>
            <w:r>
              <w:rPr>
                <w:rFonts w:hint="eastAsia"/>
                <w:color w:val="auto"/>
                <w:sz w:val="24"/>
                <w:szCs w:val="24"/>
                <w:lang w:val="en-US" w:eastAsia="zh-CN"/>
              </w:rPr>
              <w:t>交由废品回收站处置</w:t>
            </w:r>
            <w:r>
              <w:rPr>
                <w:rFonts w:hint="eastAsia"/>
                <w:color w:val="auto"/>
                <w:sz w:val="24"/>
                <w:szCs w:val="24"/>
              </w:rPr>
              <w:t>。</w:t>
            </w:r>
          </w:p>
          <w:p w14:paraId="3F6E356C">
            <w:pPr>
              <w:adjustRightInd w:val="0"/>
              <w:snapToGrid w:val="0"/>
              <w:spacing w:line="360" w:lineRule="auto"/>
              <w:jc w:val="left"/>
              <w:rPr>
                <w:color w:val="auto"/>
                <w:sz w:val="24"/>
                <w:szCs w:val="24"/>
              </w:rPr>
            </w:pPr>
            <w:r>
              <w:rPr>
                <w:rFonts w:hint="eastAsia"/>
                <w:color w:val="auto"/>
                <w:sz w:val="24"/>
                <w:szCs w:val="24"/>
              </w:rPr>
              <w:t>③危险废物：废机油、废乳化液及废液压油按危废贮存要求储存，委托有相应资质单位处置。</w:t>
            </w:r>
          </w:p>
        </w:tc>
        <w:tc>
          <w:tcPr>
            <w:tcW w:w="2301" w:type="dxa"/>
            <w:vAlign w:val="center"/>
          </w:tcPr>
          <w:p w14:paraId="706AC88D">
            <w:pPr>
              <w:adjustRightInd w:val="0"/>
              <w:snapToGrid w:val="0"/>
              <w:spacing w:line="360" w:lineRule="auto"/>
              <w:jc w:val="both"/>
              <w:rPr>
                <w:color w:val="auto"/>
                <w:sz w:val="24"/>
                <w:szCs w:val="24"/>
              </w:rPr>
            </w:pPr>
            <w:r>
              <w:rPr>
                <w:color w:val="auto"/>
                <w:sz w:val="24"/>
                <w:szCs w:val="24"/>
                <w:lang w:bidi="ar"/>
              </w:rPr>
              <w:t>《一般工业固体废物贮存和填埋污染控制标准》（GB18599-2020）</w:t>
            </w:r>
          </w:p>
        </w:tc>
      </w:tr>
      <w:tr w14:paraId="764DD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29" w:type="dxa"/>
            <w:vMerge w:val="continue"/>
            <w:vAlign w:val="center"/>
          </w:tcPr>
          <w:p w14:paraId="24D76BA8">
            <w:pPr>
              <w:adjustRightInd w:val="0"/>
              <w:snapToGrid w:val="0"/>
              <w:spacing w:line="360" w:lineRule="auto"/>
              <w:jc w:val="left"/>
              <w:rPr>
                <w:color w:val="auto"/>
                <w:sz w:val="24"/>
                <w:szCs w:val="24"/>
              </w:rPr>
            </w:pPr>
          </w:p>
        </w:tc>
        <w:tc>
          <w:tcPr>
            <w:tcW w:w="5670" w:type="dxa"/>
            <w:gridSpan w:val="3"/>
            <w:vMerge w:val="continue"/>
            <w:vAlign w:val="center"/>
          </w:tcPr>
          <w:p w14:paraId="0CFF59F4">
            <w:pPr>
              <w:adjustRightInd w:val="0"/>
              <w:snapToGrid w:val="0"/>
              <w:spacing w:line="360" w:lineRule="auto"/>
              <w:jc w:val="left"/>
              <w:rPr>
                <w:color w:val="auto"/>
                <w:sz w:val="24"/>
                <w:szCs w:val="24"/>
              </w:rPr>
            </w:pPr>
          </w:p>
        </w:tc>
        <w:tc>
          <w:tcPr>
            <w:tcW w:w="2301" w:type="dxa"/>
            <w:vAlign w:val="center"/>
          </w:tcPr>
          <w:p w14:paraId="4695A958">
            <w:pPr>
              <w:adjustRightInd w:val="0"/>
              <w:snapToGrid w:val="0"/>
              <w:spacing w:line="360" w:lineRule="auto"/>
              <w:jc w:val="both"/>
              <w:rPr>
                <w:color w:val="auto"/>
                <w:sz w:val="24"/>
                <w:szCs w:val="24"/>
              </w:rPr>
            </w:pPr>
            <w:r>
              <w:rPr>
                <w:rFonts w:hint="eastAsia"/>
                <w:color w:val="auto"/>
                <w:sz w:val="24"/>
                <w:szCs w:val="24"/>
              </w:rPr>
              <w:t>《危险废物贮存污染控制标准》（</w:t>
            </w:r>
            <w:r>
              <w:rPr>
                <w:color w:val="auto"/>
                <w:sz w:val="24"/>
                <w:szCs w:val="24"/>
              </w:rPr>
              <w:t>GB18597-20</w:t>
            </w:r>
            <w:r>
              <w:rPr>
                <w:rFonts w:hint="eastAsia"/>
                <w:color w:val="auto"/>
                <w:sz w:val="24"/>
                <w:szCs w:val="24"/>
              </w:rPr>
              <w:t>23）</w:t>
            </w:r>
          </w:p>
        </w:tc>
      </w:tr>
      <w:tr w14:paraId="425BE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29" w:type="dxa"/>
            <w:vAlign w:val="center"/>
          </w:tcPr>
          <w:p w14:paraId="50A87A6B">
            <w:pPr>
              <w:adjustRightInd w:val="0"/>
              <w:snapToGrid w:val="0"/>
              <w:jc w:val="center"/>
              <w:rPr>
                <w:rFonts w:cs="宋体"/>
                <w:color w:val="auto"/>
                <w:sz w:val="24"/>
                <w:szCs w:val="24"/>
              </w:rPr>
            </w:pPr>
            <w:r>
              <w:rPr>
                <w:rFonts w:hint="eastAsia" w:cs="宋体"/>
                <w:color w:val="auto"/>
                <w:sz w:val="24"/>
                <w:szCs w:val="24"/>
              </w:rPr>
              <w:t>土壤及地下水</w:t>
            </w:r>
          </w:p>
          <w:p w14:paraId="41DA62AD">
            <w:pPr>
              <w:adjustRightInd w:val="0"/>
              <w:snapToGrid w:val="0"/>
              <w:jc w:val="center"/>
              <w:rPr>
                <w:rFonts w:cs="宋体"/>
                <w:color w:val="auto"/>
                <w:sz w:val="24"/>
                <w:szCs w:val="24"/>
              </w:rPr>
            </w:pPr>
            <w:r>
              <w:rPr>
                <w:rFonts w:hint="eastAsia" w:cs="宋体"/>
                <w:color w:val="auto"/>
                <w:sz w:val="24"/>
                <w:szCs w:val="24"/>
              </w:rPr>
              <w:t>污染防治措施</w:t>
            </w:r>
          </w:p>
        </w:tc>
        <w:tc>
          <w:tcPr>
            <w:tcW w:w="7971" w:type="dxa"/>
            <w:gridSpan w:val="4"/>
            <w:vAlign w:val="center"/>
          </w:tcPr>
          <w:p w14:paraId="1C70A9CE">
            <w:pPr>
              <w:adjustRightInd w:val="0"/>
              <w:snapToGrid w:val="0"/>
              <w:spacing w:line="360" w:lineRule="auto"/>
              <w:jc w:val="left"/>
              <w:rPr>
                <w:color w:val="auto"/>
                <w:sz w:val="24"/>
                <w:szCs w:val="24"/>
              </w:rPr>
            </w:pPr>
            <w:r>
              <w:rPr>
                <w:rFonts w:hint="eastAsia"/>
                <w:color w:val="auto"/>
                <w:sz w:val="24"/>
                <w:szCs w:val="24"/>
              </w:rPr>
              <w:t>重点防渗区：</w:t>
            </w:r>
            <w:r>
              <w:rPr>
                <w:rFonts w:hint="eastAsia"/>
                <w:color w:val="auto"/>
                <w:sz w:val="24"/>
                <w:szCs w:val="24"/>
                <w:lang w:val="en-US" w:eastAsia="zh-CN"/>
              </w:rPr>
              <w:t>危废暂存间</w:t>
            </w:r>
            <w:r>
              <w:rPr>
                <w:rFonts w:hint="eastAsia"/>
                <w:color w:val="auto"/>
                <w:sz w:val="24"/>
                <w:szCs w:val="24"/>
              </w:rPr>
              <w:t>；采用钢筋混凝土结构，并敷设2mm厚高密度聚乙烯土工膜 HDPE膜，防渗强度等效粘土防渗层Mb≥6.0m，K≤1×10</w:t>
            </w:r>
            <w:r>
              <w:rPr>
                <w:rFonts w:hint="eastAsia"/>
                <w:color w:val="auto"/>
                <w:sz w:val="24"/>
                <w:szCs w:val="24"/>
                <w:vertAlign w:val="superscript"/>
              </w:rPr>
              <w:t>-7</w:t>
            </w:r>
            <w:r>
              <w:rPr>
                <w:rFonts w:hint="eastAsia"/>
                <w:color w:val="auto"/>
                <w:sz w:val="24"/>
                <w:szCs w:val="24"/>
              </w:rPr>
              <w:t>cm/s。</w:t>
            </w:r>
          </w:p>
          <w:p w14:paraId="03194F9C">
            <w:pPr>
              <w:adjustRightInd w:val="0"/>
              <w:snapToGrid w:val="0"/>
              <w:spacing w:line="360" w:lineRule="auto"/>
              <w:jc w:val="left"/>
              <w:rPr>
                <w:color w:val="auto"/>
                <w:sz w:val="24"/>
                <w:szCs w:val="24"/>
              </w:rPr>
            </w:pPr>
            <w:r>
              <w:rPr>
                <w:rFonts w:hint="eastAsia"/>
                <w:color w:val="auto"/>
                <w:sz w:val="24"/>
                <w:szCs w:val="24"/>
              </w:rPr>
              <w:t>一般防渗区：生产车间</w:t>
            </w:r>
            <w:r>
              <w:rPr>
                <w:rFonts w:hint="eastAsia"/>
                <w:color w:val="auto"/>
                <w:sz w:val="24"/>
                <w:szCs w:val="24"/>
                <w:lang w:val="en-US" w:eastAsia="zh-CN"/>
              </w:rPr>
              <w:t>及循环水池</w:t>
            </w:r>
            <w:r>
              <w:rPr>
                <w:rFonts w:hint="eastAsia"/>
                <w:color w:val="auto"/>
                <w:spacing w:val="3"/>
                <w:sz w:val="24"/>
                <w:szCs w:val="24"/>
              </w:rPr>
              <w:t>；</w:t>
            </w:r>
            <w:r>
              <w:rPr>
                <w:rFonts w:hint="eastAsia"/>
                <w:color w:val="auto"/>
                <w:sz w:val="24"/>
                <w:szCs w:val="24"/>
              </w:rPr>
              <w:t>采取粘土铺底+抗渗混凝土进行防渗，使一般污染防治区各单元防渗层满足:等效黏土防护层Mb≥1.5m，K≤1×10</w:t>
            </w:r>
            <w:r>
              <w:rPr>
                <w:rFonts w:hint="eastAsia"/>
                <w:color w:val="auto"/>
                <w:sz w:val="24"/>
                <w:szCs w:val="24"/>
                <w:vertAlign w:val="superscript"/>
              </w:rPr>
              <w:t>-7</w:t>
            </w:r>
            <w:r>
              <w:rPr>
                <w:rFonts w:hint="eastAsia"/>
                <w:color w:val="auto"/>
                <w:sz w:val="24"/>
                <w:szCs w:val="24"/>
              </w:rPr>
              <w:t>cm/s。</w:t>
            </w:r>
          </w:p>
          <w:p w14:paraId="3654F9F9">
            <w:pPr>
              <w:adjustRightInd w:val="0"/>
              <w:snapToGrid w:val="0"/>
              <w:spacing w:line="360" w:lineRule="auto"/>
              <w:jc w:val="left"/>
              <w:rPr>
                <w:rFonts w:cs="宋体"/>
                <w:color w:val="auto"/>
                <w:sz w:val="24"/>
                <w:szCs w:val="24"/>
              </w:rPr>
            </w:pPr>
            <w:r>
              <w:rPr>
                <w:rFonts w:hint="eastAsia"/>
                <w:color w:val="auto"/>
                <w:sz w:val="24"/>
                <w:szCs w:val="24"/>
              </w:rPr>
              <w:t>简单防渗区：</w:t>
            </w:r>
            <w:r>
              <w:rPr>
                <w:rFonts w:hint="eastAsia" w:asciiTheme="minorEastAsia" w:hAnsiTheme="minorEastAsia" w:eastAsiaTheme="minorEastAsia"/>
                <w:color w:val="auto"/>
                <w:spacing w:val="5"/>
                <w:sz w:val="24"/>
                <w:szCs w:val="24"/>
              </w:rPr>
              <w:t>生活区、</w:t>
            </w:r>
            <w:r>
              <w:rPr>
                <w:color w:val="auto"/>
                <w:spacing w:val="7"/>
                <w:sz w:val="24"/>
                <w:szCs w:val="24"/>
              </w:rPr>
              <w:t>厂区道路等其他厂区地面</w:t>
            </w:r>
            <w:r>
              <w:rPr>
                <w:rFonts w:hint="eastAsia"/>
                <w:color w:val="auto"/>
                <w:spacing w:val="7"/>
                <w:sz w:val="24"/>
                <w:szCs w:val="24"/>
              </w:rPr>
              <w:t>；</w:t>
            </w:r>
            <w:r>
              <w:rPr>
                <w:rFonts w:hint="eastAsia"/>
                <w:color w:val="auto"/>
                <w:sz w:val="24"/>
                <w:szCs w:val="24"/>
              </w:rPr>
              <w:t>简单地面硬化。</w:t>
            </w:r>
          </w:p>
        </w:tc>
      </w:tr>
      <w:tr w14:paraId="37812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9" w:type="dxa"/>
            <w:vAlign w:val="center"/>
          </w:tcPr>
          <w:p w14:paraId="0C2C1379">
            <w:pPr>
              <w:adjustRightInd w:val="0"/>
              <w:snapToGrid w:val="0"/>
              <w:jc w:val="center"/>
              <w:rPr>
                <w:rFonts w:cs="宋体"/>
                <w:color w:val="auto"/>
                <w:sz w:val="24"/>
                <w:szCs w:val="24"/>
              </w:rPr>
            </w:pPr>
            <w:r>
              <w:rPr>
                <w:rFonts w:hint="eastAsia" w:cs="宋体"/>
                <w:color w:val="auto"/>
                <w:sz w:val="24"/>
                <w:szCs w:val="24"/>
              </w:rPr>
              <w:t>生态保护措施</w:t>
            </w:r>
          </w:p>
        </w:tc>
        <w:tc>
          <w:tcPr>
            <w:tcW w:w="7971" w:type="dxa"/>
            <w:gridSpan w:val="4"/>
            <w:vAlign w:val="center"/>
          </w:tcPr>
          <w:p w14:paraId="3FA91F31">
            <w:pPr>
              <w:adjustRightInd w:val="0"/>
              <w:snapToGrid w:val="0"/>
              <w:spacing w:line="360" w:lineRule="auto"/>
              <w:rPr>
                <w:rFonts w:cs="宋体"/>
                <w:color w:val="auto"/>
                <w:sz w:val="24"/>
                <w:szCs w:val="24"/>
              </w:rPr>
            </w:pPr>
            <w:r>
              <w:rPr>
                <w:rFonts w:hint="eastAsia" w:cs="宋体"/>
                <w:color w:val="auto"/>
                <w:sz w:val="24"/>
                <w:szCs w:val="24"/>
              </w:rPr>
              <w:t>规范废气、废水、噪声、固体废物污染防治措施管理。</w:t>
            </w:r>
          </w:p>
        </w:tc>
      </w:tr>
      <w:tr w14:paraId="0D234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29" w:type="dxa"/>
            <w:vAlign w:val="center"/>
          </w:tcPr>
          <w:p w14:paraId="784700CF">
            <w:pPr>
              <w:adjustRightInd w:val="0"/>
              <w:snapToGrid w:val="0"/>
              <w:jc w:val="center"/>
              <w:rPr>
                <w:rFonts w:cs="宋体"/>
                <w:color w:val="auto"/>
                <w:spacing w:val="-8"/>
                <w:sz w:val="24"/>
                <w:szCs w:val="24"/>
              </w:rPr>
            </w:pPr>
            <w:r>
              <w:rPr>
                <w:rFonts w:hint="eastAsia" w:cs="宋体"/>
                <w:color w:val="auto"/>
                <w:spacing w:val="-8"/>
                <w:sz w:val="24"/>
                <w:szCs w:val="24"/>
              </w:rPr>
              <w:t>环境风险</w:t>
            </w:r>
          </w:p>
          <w:p w14:paraId="6C5EA92F">
            <w:pPr>
              <w:adjustRightInd w:val="0"/>
              <w:snapToGrid w:val="0"/>
              <w:jc w:val="center"/>
              <w:rPr>
                <w:rFonts w:cs="宋体"/>
                <w:color w:val="auto"/>
                <w:spacing w:val="-8"/>
                <w:sz w:val="24"/>
                <w:szCs w:val="24"/>
              </w:rPr>
            </w:pPr>
            <w:r>
              <w:rPr>
                <w:rFonts w:hint="eastAsia" w:cs="宋体"/>
                <w:color w:val="auto"/>
                <w:spacing w:val="-8"/>
                <w:sz w:val="24"/>
                <w:szCs w:val="24"/>
              </w:rPr>
              <w:t>防范措施</w:t>
            </w:r>
          </w:p>
        </w:tc>
        <w:tc>
          <w:tcPr>
            <w:tcW w:w="7971" w:type="dxa"/>
            <w:gridSpan w:val="4"/>
            <w:vAlign w:val="center"/>
          </w:tcPr>
          <w:p w14:paraId="706CB8F9">
            <w:pPr>
              <w:adjustRightInd w:val="0"/>
              <w:snapToGrid w:val="0"/>
              <w:spacing w:line="360" w:lineRule="auto"/>
              <w:jc w:val="left"/>
              <w:rPr>
                <w:color w:val="auto"/>
                <w:sz w:val="24"/>
                <w:szCs w:val="24"/>
              </w:rPr>
            </w:pPr>
            <w:r>
              <w:rPr>
                <w:rFonts w:hint="eastAsia"/>
                <w:color w:val="auto"/>
                <w:sz w:val="24"/>
                <w:szCs w:val="24"/>
              </w:rPr>
              <w:t>①本项目要进行合理设计和规划，各相关设施的布置应符合相关防火距离的要求，投产前要检查厂房的消防设施，物料贮存区应设有较完善的消防系统及火灾报警系统；</w:t>
            </w:r>
          </w:p>
          <w:p w14:paraId="2C47C9F7">
            <w:pPr>
              <w:adjustRightInd w:val="0"/>
              <w:snapToGrid w:val="0"/>
              <w:spacing w:line="360" w:lineRule="auto"/>
              <w:jc w:val="left"/>
              <w:rPr>
                <w:rFonts w:cs="宋体"/>
                <w:color w:val="auto"/>
                <w:sz w:val="24"/>
                <w:szCs w:val="24"/>
              </w:rPr>
            </w:pPr>
            <w:r>
              <w:rPr>
                <w:rFonts w:hint="eastAsia" w:cs="宋体"/>
                <w:color w:val="auto"/>
                <w:sz w:val="24"/>
                <w:szCs w:val="24"/>
              </w:rPr>
              <w:t>②严格岗位管理，确保废气处理设施正常运行，加强废气处理设施的运行管理和日常维护，若发现废气处理设施运行异常应立即检修，必要情况下停止生产；</w:t>
            </w:r>
          </w:p>
          <w:p w14:paraId="04046D53">
            <w:pPr>
              <w:adjustRightInd w:val="0"/>
              <w:snapToGrid w:val="0"/>
              <w:spacing w:line="360" w:lineRule="auto"/>
              <w:jc w:val="left"/>
              <w:rPr>
                <w:rFonts w:cs="宋体"/>
                <w:color w:val="auto"/>
                <w:sz w:val="24"/>
                <w:szCs w:val="24"/>
              </w:rPr>
            </w:pPr>
            <w:r>
              <w:rPr>
                <w:rFonts w:hint="eastAsia" w:cs="宋体"/>
                <w:color w:val="auto"/>
                <w:sz w:val="24"/>
                <w:szCs w:val="24"/>
              </w:rPr>
              <w:t>③根据《建设项目竣工环境保护验收暂行办法》的规定，建设项 目竣工后，建设单位应当自行开展竣工环境保护工作，编制验收监测报告，经验收合格后方可投入使用。</w:t>
            </w:r>
          </w:p>
          <w:p w14:paraId="2138D5A5">
            <w:pPr>
              <w:adjustRightInd w:val="0"/>
              <w:snapToGrid w:val="0"/>
              <w:spacing w:line="360" w:lineRule="auto"/>
              <w:jc w:val="left"/>
              <w:rPr>
                <w:rFonts w:cs="宋体"/>
                <w:color w:val="auto"/>
                <w:sz w:val="24"/>
                <w:szCs w:val="24"/>
              </w:rPr>
            </w:pPr>
            <w:r>
              <w:rPr>
                <w:rFonts w:hint="eastAsia" w:cs="宋体"/>
                <w:color w:val="auto"/>
                <w:sz w:val="24"/>
                <w:szCs w:val="24"/>
              </w:rPr>
              <w:t>④根据《企业事业单位环境信息公开办法》定期公布企业环境保护相关信息。</w:t>
            </w:r>
          </w:p>
        </w:tc>
      </w:tr>
      <w:tr w14:paraId="4705F8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Align w:val="center"/>
          </w:tcPr>
          <w:p w14:paraId="370F6D56">
            <w:pPr>
              <w:adjustRightInd w:val="0"/>
              <w:snapToGrid w:val="0"/>
              <w:jc w:val="center"/>
              <w:rPr>
                <w:rFonts w:cs="宋体"/>
                <w:color w:val="auto"/>
                <w:spacing w:val="-8"/>
                <w:sz w:val="24"/>
                <w:szCs w:val="24"/>
              </w:rPr>
            </w:pPr>
            <w:r>
              <w:rPr>
                <w:rFonts w:hint="eastAsia" w:cs="宋体"/>
                <w:color w:val="auto"/>
                <w:spacing w:val="-8"/>
                <w:sz w:val="24"/>
                <w:szCs w:val="24"/>
              </w:rPr>
              <w:t>其他环境</w:t>
            </w:r>
          </w:p>
          <w:p w14:paraId="20C504C5">
            <w:pPr>
              <w:adjustRightInd w:val="0"/>
              <w:snapToGrid w:val="0"/>
              <w:jc w:val="center"/>
              <w:rPr>
                <w:rFonts w:cs="宋体"/>
                <w:color w:val="auto"/>
                <w:spacing w:val="-8"/>
                <w:sz w:val="24"/>
                <w:szCs w:val="24"/>
              </w:rPr>
            </w:pPr>
            <w:r>
              <w:rPr>
                <w:rFonts w:hint="eastAsia" w:cs="宋体"/>
                <w:color w:val="auto"/>
                <w:spacing w:val="-8"/>
                <w:sz w:val="24"/>
                <w:szCs w:val="24"/>
              </w:rPr>
              <w:t>管理要求</w:t>
            </w:r>
          </w:p>
        </w:tc>
        <w:tc>
          <w:tcPr>
            <w:tcW w:w="7971" w:type="dxa"/>
            <w:gridSpan w:val="4"/>
            <w:vAlign w:val="center"/>
          </w:tcPr>
          <w:p w14:paraId="2545DC1A">
            <w:pPr>
              <w:adjustRightInd w:val="0"/>
              <w:snapToGrid w:val="0"/>
              <w:spacing w:line="360" w:lineRule="auto"/>
              <w:jc w:val="left"/>
              <w:rPr>
                <w:rFonts w:cs="宋体"/>
                <w:color w:val="auto"/>
                <w:sz w:val="24"/>
                <w:szCs w:val="24"/>
              </w:rPr>
            </w:pPr>
            <w:r>
              <w:rPr>
                <w:rFonts w:hint="eastAsia" w:cs="宋体"/>
                <w:color w:val="auto"/>
                <w:sz w:val="24"/>
                <w:szCs w:val="24"/>
              </w:rPr>
              <w:t>①建立完善的安全、环境管理制度，设立专门安环部门；制定环境管理制度体系；建立环境管理台账；</w:t>
            </w:r>
          </w:p>
          <w:p w14:paraId="2D7CEEAD">
            <w:pPr>
              <w:adjustRightInd w:val="0"/>
              <w:snapToGrid w:val="0"/>
              <w:spacing w:line="360" w:lineRule="auto"/>
              <w:jc w:val="left"/>
              <w:rPr>
                <w:rFonts w:cs="宋体"/>
                <w:color w:val="auto"/>
                <w:sz w:val="24"/>
                <w:szCs w:val="24"/>
              </w:rPr>
            </w:pPr>
            <w:r>
              <w:rPr>
                <w:rFonts w:hint="eastAsia" w:cs="宋体"/>
                <w:color w:val="auto"/>
                <w:sz w:val="24"/>
                <w:szCs w:val="24"/>
              </w:rPr>
              <w:t>②建立完善的环境监测制度，按照环境监测计划对项目废气、废水、厂界噪声等定期进行监测；</w:t>
            </w:r>
          </w:p>
          <w:p w14:paraId="659D1032">
            <w:pPr>
              <w:adjustRightInd w:val="0"/>
              <w:snapToGrid w:val="0"/>
              <w:spacing w:line="360" w:lineRule="auto"/>
              <w:jc w:val="left"/>
              <w:rPr>
                <w:rFonts w:cs="宋体"/>
                <w:color w:val="auto"/>
                <w:sz w:val="24"/>
                <w:szCs w:val="24"/>
              </w:rPr>
            </w:pPr>
            <w:r>
              <w:rPr>
                <w:rFonts w:hint="eastAsia" w:cs="宋体"/>
                <w:color w:val="auto"/>
                <w:sz w:val="24"/>
                <w:szCs w:val="24"/>
              </w:rPr>
              <w:t>③按照要求设置在线检测设施；</w:t>
            </w:r>
          </w:p>
          <w:p w14:paraId="42C283B0">
            <w:pPr>
              <w:adjustRightInd w:val="0"/>
              <w:snapToGrid w:val="0"/>
              <w:spacing w:line="360" w:lineRule="auto"/>
              <w:jc w:val="left"/>
              <w:rPr>
                <w:rFonts w:cs="宋体"/>
                <w:color w:val="auto"/>
                <w:sz w:val="24"/>
                <w:szCs w:val="24"/>
              </w:rPr>
            </w:pPr>
            <w:r>
              <w:rPr>
                <w:rFonts w:hint="eastAsia" w:cs="宋体"/>
                <w:color w:val="auto"/>
                <w:sz w:val="24"/>
                <w:szCs w:val="24"/>
              </w:rPr>
              <w:t>④按照《固定污染源排污许可分类管理名录》（2019 年版），严格落实排污许可制度；</w:t>
            </w:r>
          </w:p>
          <w:p w14:paraId="0C35B5D1">
            <w:pPr>
              <w:adjustRightInd w:val="0"/>
              <w:snapToGrid w:val="0"/>
              <w:spacing w:line="360" w:lineRule="auto"/>
              <w:jc w:val="left"/>
              <w:rPr>
                <w:color w:val="auto"/>
                <w:sz w:val="24"/>
                <w:szCs w:val="24"/>
              </w:rPr>
            </w:pPr>
            <w:r>
              <w:rPr>
                <w:rFonts w:hint="eastAsia" w:cs="宋体"/>
                <w:color w:val="auto"/>
                <w:sz w:val="24"/>
                <w:szCs w:val="24"/>
              </w:rPr>
              <w:t>⑤落实环保资金，强化责任意识，加强员工安全培训和开展应急演练。</w:t>
            </w:r>
          </w:p>
          <w:p w14:paraId="71C3C22B">
            <w:pPr>
              <w:rPr>
                <w:color w:val="auto"/>
                <w:sz w:val="24"/>
                <w:szCs w:val="24"/>
              </w:rPr>
            </w:pPr>
          </w:p>
        </w:tc>
      </w:tr>
    </w:tbl>
    <w:p w14:paraId="1387E0F2">
      <w:pPr>
        <w:pStyle w:val="19"/>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74A4D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1A50E41E">
            <w:pPr>
              <w:pStyle w:val="104"/>
              <w:spacing w:line="360" w:lineRule="auto"/>
              <w:ind w:firstLine="480" w:firstLineChars="200"/>
              <w:rPr>
                <w:rFonts w:ascii="宋体" w:cs="宋体"/>
                <w:color w:val="auto"/>
                <w:sz w:val="24"/>
              </w:rPr>
            </w:pPr>
            <w:r>
              <w:rPr>
                <w:rFonts w:hint="eastAsia" w:ascii="宋体" w:hAnsi="宋体"/>
                <w:color w:val="auto"/>
                <w:sz w:val="24"/>
                <w:szCs w:val="24"/>
              </w:rPr>
              <w:t>本项目采取“三废”及噪声的治理措施经济技术可行，措施有效，在严格落实报告中各项措施后对周围环境质量影响较小。</w:t>
            </w:r>
            <w:r>
              <w:rPr>
                <w:rFonts w:hint="eastAsia" w:ascii="宋体" w:hAnsi="宋体"/>
                <w:color w:val="auto"/>
                <w:spacing w:val="2"/>
                <w:sz w:val="24"/>
                <w:szCs w:val="24"/>
              </w:rPr>
              <w:t>建设单</w:t>
            </w:r>
            <w:r>
              <w:rPr>
                <w:rFonts w:hint="eastAsia" w:ascii="宋体" w:hAnsi="宋体"/>
                <w:color w:val="auto"/>
                <w:spacing w:val="3"/>
                <w:sz w:val="24"/>
                <w:szCs w:val="24"/>
              </w:rPr>
              <w:t>位严格遵守环境保护</w:t>
            </w:r>
            <w:r>
              <w:rPr>
                <w:color w:val="auto"/>
                <w:spacing w:val="3"/>
                <w:sz w:val="24"/>
                <w:szCs w:val="24"/>
              </w:rPr>
              <w:t>“</w:t>
            </w:r>
            <w:r>
              <w:rPr>
                <w:rFonts w:hint="eastAsia" w:ascii="宋体" w:hAnsi="宋体"/>
                <w:color w:val="auto"/>
                <w:spacing w:val="3"/>
                <w:sz w:val="24"/>
                <w:szCs w:val="24"/>
              </w:rPr>
              <w:t>三同时</w:t>
            </w:r>
            <w:r>
              <w:rPr>
                <w:color w:val="auto"/>
                <w:spacing w:val="3"/>
                <w:sz w:val="24"/>
                <w:szCs w:val="24"/>
              </w:rPr>
              <w:t>”</w:t>
            </w:r>
            <w:r>
              <w:rPr>
                <w:color w:val="auto"/>
                <w:spacing w:val="-41"/>
                <w:sz w:val="24"/>
                <w:szCs w:val="24"/>
              </w:rPr>
              <w:t xml:space="preserve"> </w:t>
            </w:r>
            <w:r>
              <w:rPr>
                <w:rFonts w:hint="eastAsia" w:ascii="宋体" w:hAnsi="宋体"/>
                <w:color w:val="auto"/>
                <w:spacing w:val="3"/>
                <w:sz w:val="24"/>
                <w:szCs w:val="24"/>
              </w:rPr>
              <w:t>管理制度，切实落</w:t>
            </w:r>
            <w:r>
              <w:rPr>
                <w:rFonts w:hint="eastAsia" w:ascii="宋体" w:hAnsi="宋体"/>
                <w:color w:val="auto"/>
                <w:spacing w:val="2"/>
                <w:sz w:val="24"/>
                <w:szCs w:val="24"/>
              </w:rPr>
              <w:t>实本评价提出的各项环境保护措施，加强环境管理，认真对待和解决环境问题，做好环境保护工作，使各类污染</w:t>
            </w:r>
            <w:r>
              <w:rPr>
                <w:rFonts w:ascii="宋体" w:hAnsi="宋体"/>
                <w:color w:val="auto"/>
                <w:spacing w:val="-1"/>
                <w:sz w:val="24"/>
                <w:szCs w:val="24"/>
              </w:rPr>
              <w:t>物做到达标排放，</w:t>
            </w:r>
            <w:r>
              <w:rPr>
                <w:rFonts w:hint="eastAsia" w:ascii="宋体" w:cs="宋体"/>
                <w:color w:val="auto"/>
                <w:sz w:val="24"/>
              </w:rPr>
              <w:t>从环境保护角度而言，建设项目环境影响可行。</w:t>
            </w:r>
          </w:p>
          <w:p w14:paraId="398CDA67">
            <w:pPr>
              <w:spacing w:line="560" w:lineRule="exact"/>
              <w:ind w:firstLine="480" w:firstLineChars="200"/>
              <w:rPr>
                <w:rFonts w:ascii="宋体" w:cs="宋体"/>
                <w:color w:val="auto"/>
                <w:sz w:val="24"/>
              </w:rPr>
            </w:pPr>
          </w:p>
          <w:p w14:paraId="340522C2">
            <w:pPr>
              <w:spacing w:line="560" w:lineRule="exact"/>
              <w:ind w:firstLine="480" w:firstLineChars="200"/>
              <w:rPr>
                <w:rFonts w:ascii="宋体" w:cs="宋体"/>
                <w:color w:val="auto"/>
                <w:sz w:val="24"/>
              </w:rPr>
            </w:pPr>
          </w:p>
        </w:tc>
      </w:tr>
    </w:tbl>
    <w:p w14:paraId="35154328">
      <w:pPr>
        <w:rPr>
          <w:rFonts w:ascii="宋体"/>
          <w:color w:val="auto"/>
        </w:rPr>
        <w:sectPr>
          <w:pgSz w:w="11905" w:h="16838"/>
          <w:pgMar w:top="1701" w:right="1531" w:bottom="2126" w:left="1531" w:header="851" w:footer="850" w:gutter="0"/>
          <w:pgBorders>
            <w:top w:val="none" w:sz="0" w:space="0"/>
            <w:left w:val="none" w:sz="0" w:space="0"/>
            <w:bottom w:val="none" w:sz="0" w:space="0"/>
            <w:right w:val="none" w:sz="0" w:space="0"/>
          </w:pgBorders>
          <w:cols w:space="0" w:num="1"/>
          <w:docGrid w:linePitch="312" w:charSpace="0"/>
        </w:sectPr>
      </w:pPr>
    </w:p>
    <w:p w14:paraId="0238BDE3">
      <w:pPr>
        <w:pStyle w:val="18"/>
        <w:spacing w:after="0" w:line="240" w:lineRule="atLeast"/>
        <w:rPr>
          <w:b/>
          <w:bCs/>
          <w:color w:val="auto"/>
          <w:highlight w:val="yellow"/>
        </w:rPr>
      </w:pPr>
      <w:r>
        <w:rPr>
          <w:rFonts w:hint="eastAsia"/>
          <w:b/>
          <w:bCs/>
          <w:color w:val="auto"/>
        </w:rPr>
        <w:t>附表</w:t>
      </w:r>
    </w:p>
    <w:p w14:paraId="267D6294">
      <w:pPr>
        <w:spacing w:line="240" w:lineRule="atLeast"/>
        <w:ind w:firstLine="4819" w:firstLineChars="1500"/>
        <w:rPr>
          <w:rFonts w:ascii="方正小标宋_GBK" w:hAnsi="黑体" w:eastAsia="方正小标宋_GBK"/>
          <w:b/>
          <w:bCs/>
          <w:snapToGrid w:val="0"/>
          <w:color w:val="auto"/>
          <w:szCs w:val="38"/>
        </w:rPr>
      </w:pPr>
      <w:r>
        <w:rPr>
          <w:rFonts w:hint="eastAsia"/>
          <w:b/>
          <w:bCs/>
          <w:color w:val="auto"/>
          <w:sz w:val="32"/>
          <w:szCs w:val="32"/>
        </w:rPr>
        <w:t>建设项目污染物排放量汇总表</w:t>
      </w:r>
    </w:p>
    <w:tbl>
      <w:tblPr>
        <w:tblStyle w:val="24"/>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451"/>
        <w:gridCol w:w="1498"/>
        <w:gridCol w:w="1145"/>
        <w:gridCol w:w="1537"/>
        <w:gridCol w:w="1590"/>
        <w:gridCol w:w="1514"/>
        <w:gridCol w:w="1848"/>
        <w:gridCol w:w="1331"/>
      </w:tblGrid>
      <w:tr w14:paraId="0C1761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9" w:type="pct"/>
            <w:tcBorders>
              <w:tl2br w:val="single" w:color="auto" w:sz="4" w:space="0"/>
            </w:tcBorders>
            <w:tcMar>
              <w:left w:w="28" w:type="dxa"/>
              <w:right w:w="28" w:type="dxa"/>
            </w:tcMar>
            <w:vAlign w:val="center"/>
          </w:tcPr>
          <w:p w14:paraId="48CF2459">
            <w:pPr>
              <w:pStyle w:val="42"/>
              <w:spacing w:beforeLines="0" w:afterLines="0" w:line="240" w:lineRule="auto"/>
              <w:rPr>
                <w:rFonts w:ascii="Times New Roman" w:cs="宋体"/>
                <w:snapToGrid w:val="0"/>
                <w:color w:val="auto"/>
                <w:spacing w:val="-6"/>
                <w:kern w:val="21"/>
                <w:szCs w:val="21"/>
              </w:rPr>
            </w:pPr>
            <w:r>
              <w:rPr>
                <w:rFonts w:hint="eastAsia" w:ascii="Times New Roman" w:cs="宋体"/>
                <w:snapToGrid w:val="0"/>
                <w:color w:val="auto"/>
                <w:spacing w:val="-6"/>
                <w:kern w:val="21"/>
                <w:szCs w:val="21"/>
              </w:rPr>
              <w:t xml:space="preserve">      项目</w:t>
            </w:r>
          </w:p>
          <w:p w14:paraId="34CC170A">
            <w:pPr>
              <w:pStyle w:val="42"/>
              <w:spacing w:beforeLines="0" w:afterLines="0" w:line="240" w:lineRule="auto"/>
              <w:jc w:val="both"/>
              <w:rPr>
                <w:rFonts w:ascii="Times New Roman" w:cs="宋体"/>
                <w:snapToGrid w:val="0"/>
                <w:color w:val="auto"/>
                <w:spacing w:val="-6"/>
                <w:kern w:val="21"/>
                <w:szCs w:val="21"/>
              </w:rPr>
            </w:pPr>
            <w:r>
              <w:rPr>
                <w:rFonts w:hint="eastAsia" w:ascii="Times New Roman" w:cs="宋体"/>
                <w:snapToGrid w:val="0"/>
                <w:color w:val="auto"/>
                <w:spacing w:val="-6"/>
                <w:kern w:val="21"/>
                <w:szCs w:val="21"/>
              </w:rPr>
              <w:t>分类</w:t>
            </w:r>
          </w:p>
        </w:tc>
        <w:tc>
          <w:tcPr>
            <w:tcW w:w="555" w:type="pct"/>
            <w:tcMar>
              <w:left w:w="28" w:type="dxa"/>
              <w:right w:w="28" w:type="dxa"/>
            </w:tcMar>
            <w:vAlign w:val="center"/>
          </w:tcPr>
          <w:p w14:paraId="0F8D890E">
            <w:pPr>
              <w:pStyle w:val="42"/>
              <w:spacing w:beforeLines="0" w:afterLines="0" w:line="240" w:lineRule="auto"/>
              <w:rPr>
                <w:rFonts w:ascii="Times New Roman" w:cs="宋体"/>
                <w:snapToGrid w:val="0"/>
                <w:color w:val="auto"/>
                <w:spacing w:val="-6"/>
                <w:kern w:val="21"/>
                <w:szCs w:val="21"/>
              </w:rPr>
            </w:pPr>
            <w:r>
              <w:rPr>
                <w:rFonts w:hint="eastAsia" w:ascii="Times New Roman" w:cs="宋体"/>
                <w:snapToGrid w:val="0"/>
                <w:color w:val="auto"/>
                <w:spacing w:val="-6"/>
                <w:kern w:val="21"/>
                <w:szCs w:val="21"/>
              </w:rPr>
              <w:t>污染物名称</w:t>
            </w:r>
          </w:p>
        </w:tc>
        <w:tc>
          <w:tcPr>
            <w:tcW w:w="573" w:type="pct"/>
            <w:tcMar>
              <w:left w:w="28" w:type="dxa"/>
              <w:right w:w="28" w:type="dxa"/>
            </w:tcMar>
            <w:vAlign w:val="center"/>
          </w:tcPr>
          <w:p w14:paraId="523ACB73">
            <w:pPr>
              <w:pStyle w:val="4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现有工程</w:t>
            </w:r>
          </w:p>
          <w:p w14:paraId="09C5C1FE">
            <w:pPr>
              <w:pStyle w:val="4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排放量（固</w:t>
            </w:r>
            <w:r>
              <w:rPr>
                <w:rFonts w:hint="eastAsia" w:ascii="Times New Roman"/>
                <w:snapToGrid w:val="0"/>
                <w:color w:val="auto"/>
                <w:spacing w:val="-6"/>
                <w:kern w:val="21"/>
                <w:szCs w:val="21"/>
              </w:rPr>
              <w:t>体</w:t>
            </w:r>
            <w:r>
              <w:rPr>
                <w:rFonts w:ascii="Times New Roman"/>
                <w:snapToGrid w:val="0"/>
                <w:color w:val="auto"/>
                <w:spacing w:val="-6"/>
                <w:kern w:val="21"/>
                <w:szCs w:val="21"/>
              </w:rPr>
              <w:t>废</w:t>
            </w:r>
            <w:r>
              <w:rPr>
                <w:rFonts w:hint="eastAsia" w:ascii="Times New Roman"/>
                <w:snapToGrid w:val="0"/>
                <w:color w:val="auto"/>
                <w:spacing w:val="-6"/>
                <w:kern w:val="21"/>
                <w:szCs w:val="21"/>
              </w:rPr>
              <w:t>物</w:t>
            </w:r>
            <w:r>
              <w:rPr>
                <w:rFonts w:ascii="Times New Roman"/>
                <w:snapToGrid w:val="0"/>
                <w:color w:val="auto"/>
                <w:spacing w:val="-6"/>
                <w:kern w:val="21"/>
                <w:szCs w:val="21"/>
              </w:rPr>
              <w:t>产生量）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ascii="Times New Roman" w:cs="宋体"/>
                <w:color w:val="auto"/>
                <w:kern w:val="2"/>
                <w:szCs w:val="21"/>
              </w:rPr>
              <w:t>①</w:t>
            </w:r>
            <w:r>
              <w:rPr>
                <w:rFonts w:ascii="Times New Roman"/>
                <w:snapToGrid w:val="0"/>
                <w:color w:val="auto"/>
                <w:spacing w:val="-6"/>
                <w:kern w:val="21"/>
                <w:szCs w:val="21"/>
              </w:rPr>
              <w:fldChar w:fldCharType="end"/>
            </w:r>
          </w:p>
        </w:tc>
        <w:tc>
          <w:tcPr>
            <w:tcW w:w="438" w:type="pct"/>
            <w:tcMar>
              <w:left w:w="28" w:type="dxa"/>
              <w:right w:w="28" w:type="dxa"/>
            </w:tcMar>
            <w:vAlign w:val="center"/>
          </w:tcPr>
          <w:p w14:paraId="1BE0A575">
            <w:pPr>
              <w:pStyle w:val="4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现有工程</w:t>
            </w:r>
          </w:p>
          <w:p w14:paraId="1285EC66">
            <w:pPr>
              <w:pStyle w:val="4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许可排放量</w:t>
            </w:r>
          </w:p>
          <w:p w14:paraId="384254CF">
            <w:pPr>
              <w:pStyle w:val="42"/>
              <w:spacing w:beforeLines="0" w:afterLines="0"/>
              <w:rPr>
                <w:rFonts w:ascii="Times New Roman"/>
                <w:snapToGrid w:val="0"/>
                <w:color w:val="auto"/>
                <w:spacing w:val="-6"/>
                <w:kern w:val="21"/>
                <w:szCs w:val="21"/>
              </w:rPr>
            </w:pP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2 \* GB3 \* MERGEFORMAT </w:instrText>
            </w:r>
            <w:r>
              <w:rPr>
                <w:rFonts w:ascii="Times New Roman"/>
                <w:snapToGrid w:val="0"/>
                <w:color w:val="auto"/>
                <w:spacing w:val="-6"/>
                <w:kern w:val="21"/>
                <w:szCs w:val="21"/>
              </w:rPr>
              <w:fldChar w:fldCharType="separate"/>
            </w:r>
            <w:r>
              <w:rPr>
                <w:rFonts w:hint="eastAsia" w:ascii="Times New Roman" w:cs="宋体"/>
                <w:snapToGrid w:val="0"/>
                <w:color w:val="auto"/>
                <w:spacing w:val="-6"/>
                <w:kern w:val="21"/>
                <w:szCs w:val="21"/>
              </w:rPr>
              <w:t>②</w:t>
            </w:r>
            <w:r>
              <w:rPr>
                <w:rFonts w:ascii="Times New Roman"/>
                <w:snapToGrid w:val="0"/>
                <w:color w:val="auto"/>
                <w:spacing w:val="-6"/>
                <w:kern w:val="21"/>
                <w:szCs w:val="21"/>
              </w:rPr>
              <w:fldChar w:fldCharType="end"/>
            </w:r>
          </w:p>
        </w:tc>
        <w:tc>
          <w:tcPr>
            <w:tcW w:w="588" w:type="pct"/>
            <w:tcMar>
              <w:left w:w="28" w:type="dxa"/>
              <w:right w:w="28" w:type="dxa"/>
            </w:tcMar>
            <w:vAlign w:val="center"/>
          </w:tcPr>
          <w:p w14:paraId="6FCA15B7">
            <w:pPr>
              <w:pStyle w:val="4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在建工程</w:t>
            </w:r>
          </w:p>
          <w:p w14:paraId="66078DA4">
            <w:pPr>
              <w:pStyle w:val="4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排放量（固</w:t>
            </w:r>
            <w:r>
              <w:rPr>
                <w:rFonts w:hint="eastAsia" w:ascii="Times New Roman"/>
                <w:snapToGrid w:val="0"/>
                <w:color w:val="auto"/>
                <w:spacing w:val="-6"/>
                <w:kern w:val="21"/>
                <w:szCs w:val="21"/>
              </w:rPr>
              <w:t>体</w:t>
            </w:r>
            <w:r>
              <w:rPr>
                <w:rFonts w:ascii="Times New Roman"/>
                <w:snapToGrid w:val="0"/>
                <w:color w:val="auto"/>
                <w:spacing w:val="-6"/>
                <w:kern w:val="21"/>
                <w:szCs w:val="21"/>
              </w:rPr>
              <w:t>废</w:t>
            </w:r>
            <w:r>
              <w:rPr>
                <w:rFonts w:hint="eastAsia" w:ascii="Times New Roman"/>
                <w:snapToGrid w:val="0"/>
                <w:color w:val="auto"/>
                <w:spacing w:val="-6"/>
                <w:kern w:val="21"/>
                <w:szCs w:val="21"/>
              </w:rPr>
              <w:t>物</w:t>
            </w:r>
            <w:r>
              <w:rPr>
                <w:rFonts w:ascii="Times New Roman"/>
                <w:snapToGrid w:val="0"/>
                <w:color w:val="auto"/>
                <w:spacing w:val="-6"/>
                <w:kern w:val="21"/>
                <w:szCs w:val="21"/>
              </w:rPr>
              <w:t>产生量）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hint="eastAsia" w:ascii="Times New Roman" w:cs="宋体"/>
                <w:color w:val="auto"/>
                <w:kern w:val="2"/>
                <w:szCs w:val="21"/>
              </w:rPr>
              <w:t>③</w:t>
            </w:r>
            <w:r>
              <w:rPr>
                <w:rFonts w:ascii="Times New Roman"/>
                <w:snapToGrid w:val="0"/>
                <w:color w:val="auto"/>
                <w:spacing w:val="-6"/>
                <w:kern w:val="21"/>
                <w:szCs w:val="21"/>
              </w:rPr>
              <w:fldChar w:fldCharType="end"/>
            </w:r>
          </w:p>
        </w:tc>
        <w:tc>
          <w:tcPr>
            <w:tcW w:w="608" w:type="pct"/>
            <w:tcMar>
              <w:left w:w="28" w:type="dxa"/>
              <w:right w:w="28" w:type="dxa"/>
            </w:tcMar>
            <w:vAlign w:val="center"/>
          </w:tcPr>
          <w:p w14:paraId="3BF0D2FA">
            <w:pPr>
              <w:pStyle w:val="4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本项目</w:t>
            </w:r>
          </w:p>
          <w:p w14:paraId="5909F651">
            <w:pPr>
              <w:pStyle w:val="4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排放量（固</w:t>
            </w:r>
            <w:r>
              <w:rPr>
                <w:rFonts w:hint="eastAsia" w:ascii="Times New Roman"/>
                <w:snapToGrid w:val="0"/>
                <w:color w:val="auto"/>
                <w:spacing w:val="-6"/>
                <w:kern w:val="21"/>
                <w:szCs w:val="21"/>
              </w:rPr>
              <w:t>体</w:t>
            </w:r>
            <w:r>
              <w:rPr>
                <w:rFonts w:ascii="Times New Roman"/>
                <w:snapToGrid w:val="0"/>
                <w:color w:val="auto"/>
                <w:spacing w:val="-6"/>
                <w:kern w:val="21"/>
                <w:szCs w:val="21"/>
              </w:rPr>
              <w:t>废</w:t>
            </w:r>
            <w:r>
              <w:rPr>
                <w:rFonts w:hint="eastAsia" w:ascii="Times New Roman"/>
                <w:snapToGrid w:val="0"/>
                <w:color w:val="auto"/>
                <w:spacing w:val="-6"/>
                <w:kern w:val="21"/>
                <w:szCs w:val="21"/>
              </w:rPr>
              <w:t>物</w:t>
            </w:r>
            <w:r>
              <w:rPr>
                <w:rFonts w:ascii="Times New Roman"/>
                <w:snapToGrid w:val="0"/>
                <w:color w:val="auto"/>
                <w:spacing w:val="-6"/>
                <w:kern w:val="21"/>
                <w:szCs w:val="21"/>
              </w:rPr>
              <w:t>产生量）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hint="eastAsia" w:ascii="Times New Roman" w:cs="宋体"/>
                <w:color w:val="auto"/>
                <w:kern w:val="2"/>
                <w:szCs w:val="21"/>
              </w:rPr>
              <w:t>④</w:t>
            </w:r>
            <w:r>
              <w:rPr>
                <w:rFonts w:ascii="Times New Roman"/>
                <w:snapToGrid w:val="0"/>
                <w:color w:val="auto"/>
                <w:spacing w:val="-6"/>
                <w:kern w:val="21"/>
                <w:szCs w:val="21"/>
              </w:rPr>
              <w:fldChar w:fldCharType="end"/>
            </w:r>
          </w:p>
        </w:tc>
        <w:tc>
          <w:tcPr>
            <w:tcW w:w="579" w:type="pct"/>
            <w:tcMar>
              <w:left w:w="28" w:type="dxa"/>
              <w:right w:w="28" w:type="dxa"/>
            </w:tcMar>
            <w:vAlign w:val="center"/>
          </w:tcPr>
          <w:p w14:paraId="4D279F2E">
            <w:pPr>
              <w:pStyle w:val="42"/>
              <w:spacing w:beforeLines="0" w:afterLines="0" w:line="240" w:lineRule="auto"/>
              <w:rPr>
                <w:rFonts w:ascii="Times New Roman"/>
                <w:snapToGrid w:val="0"/>
                <w:color w:val="auto"/>
                <w:spacing w:val="-16"/>
                <w:kern w:val="21"/>
                <w:szCs w:val="21"/>
              </w:rPr>
            </w:pPr>
            <w:r>
              <w:rPr>
                <w:rFonts w:ascii="Times New Roman"/>
                <w:snapToGrid w:val="0"/>
                <w:color w:val="auto"/>
                <w:spacing w:val="-16"/>
                <w:kern w:val="21"/>
                <w:szCs w:val="21"/>
              </w:rPr>
              <w:t>以新带老削减量</w:t>
            </w:r>
          </w:p>
          <w:p w14:paraId="255CFAA3">
            <w:pPr>
              <w:pStyle w:val="42"/>
              <w:spacing w:beforeLines="0" w:afterLines="0" w:line="240" w:lineRule="auto"/>
              <w:rPr>
                <w:rFonts w:ascii="Times New Roman"/>
                <w:snapToGrid w:val="0"/>
                <w:color w:val="auto"/>
                <w:spacing w:val="-16"/>
                <w:kern w:val="21"/>
                <w:szCs w:val="21"/>
              </w:rPr>
            </w:pPr>
            <w:r>
              <w:rPr>
                <w:rFonts w:ascii="Times New Roman"/>
                <w:snapToGrid w:val="0"/>
                <w:color w:val="auto"/>
                <w:spacing w:val="-16"/>
                <w:kern w:val="21"/>
                <w:szCs w:val="21"/>
              </w:rPr>
              <w:t>（新建项目不填）</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hint="eastAsia" w:ascii="Times New Roman" w:cs="宋体"/>
                <w:color w:val="auto"/>
                <w:kern w:val="2"/>
                <w:szCs w:val="21"/>
              </w:rPr>
              <w:t>⑤</w:t>
            </w:r>
            <w:r>
              <w:rPr>
                <w:rFonts w:ascii="Times New Roman"/>
                <w:snapToGrid w:val="0"/>
                <w:color w:val="auto"/>
                <w:spacing w:val="-16"/>
                <w:kern w:val="21"/>
                <w:szCs w:val="21"/>
              </w:rPr>
              <w:fldChar w:fldCharType="end"/>
            </w:r>
          </w:p>
        </w:tc>
        <w:tc>
          <w:tcPr>
            <w:tcW w:w="707" w:type="pct"/>
            <w:tcMar>
              <w:left w:w="28" w:type="dxa"/>
              <w:right w:w="28" w:type="dxa"/>
            </w:tcMar>
            <w:vAlign w:val="center"/>
          </w:tcPr>
          <w:p w14:paraId="356432D9">
            <w:pPr>
              <w:pStyle w:val="42"/>
              <w:spacing w:beforeLines="0" w:afterLines="0" w:line="240" w:lineRule="auto"/>
              <w:rPr>
                <w:rFonts w:ascii="Times New Roman"/>
                <w:snapToGrid w:val="0"/>
                <w:color w:val="auto"/>
                <w:spacing w:val="-16"/>
                <w:kern w:val="21"/>
                <w:szCs w:val="21"/>
              </w:rPr>
            </w:pPr>
            <w:r>
              <w:rPr>
                <w:rFonts w:ascii="Times New Roman"/>
                <w:snapToGrid w:val="0"/>
                <w:color w:val="auto"/>
                <w:spacing w:val="-16"/>
                <w:kern w:val="21"/>
                <w:szCs w:val="21"/>
              </w:rPr>
              <w:t>本项目建成后</w:t>
            </w:r>
          </w:p>
          <w:p w14:paraId="5E93D10F">
            <w:pPr>
              <w:pStyle w:val="42"/>
              <w:spacing w:beforeLines="0" w:afterLines="0" w:line="240" w:lineRule="auto"/>
              <w:rPr>
                <w:rFonts w:ascii="Times New Roman"/>
                <w:snapToGrid w:val="0"/>
                <w:color w:val="auto"/>
                <w:spacing w:val="-16"/>
                <w:kern w:val="21"/>
                <w:szCs w:val="21"/>
              </w:rPr>
            </w:pPr>
            <w:r>
              <w:rPr>
                <w:rFonts w:hint="eastAsia" w:ascii="Times New Roman"/>
                <w:snapToGrid w:val="0"/>
                <w:color w:val="auto"/>
                <w:spacing w:val="-16"/>
                <w:kern w:val="21"/>
                <w:szCs w:val="21"/>
              </w:rPr>
              <w:t>全厂</w:t>
            </w:r>
            <w:r>
              <w:rPr>
                <w:rFonts w:ascii="Times New Roman"/>
                <w:snapToGrid w:val="0"/>
                <w:color w:val="auto"/>
                <w:spacing w:val="-16"/>
                <w:kern w:val="21"/>
                <w:szCs w:val="21"/>
              </w:rPr>
              <w:t>排放量（固</w:t>
            </w:r>
            <w:r>
              <w:rPr>
                <w:rFonts w:hint="eastAsia" w:ascii="Times New Roman"/>
                <w:snapToGrid w:val="0"/>
                <w:color w:val="auto"/>
                <w:spacing w:val="-16"/>
                <w:kern w:val="21"/>
                <w:szCs w:val="21"/>
              </w:rPr>
              <w:t>体</w:t>
            </w:r>
            <w:r>
              <w:rPr>
                <w:rFonts w:ascii="Times New Roman"/>
                <w:snapToGrid w:val="0"/>
                <w:color w:val="auto"/>
                <w:spacing w:val="-16"/>
                <w:kern w:val="21"/>
                <w:szCs w:val="21"/>
              </w:rPr>
              <w:t>废</w:t>
            </w:r>
            <w:r>
              <w:rPr>
                <w:rFonts w:hint="eastAsia" w:ascii="Times New Roman"/>
                <w:snapToGrid w:val="0"/>
                <w:color w:val="auto"/>
                <w:spacing w:val="-16"/>
                <w:kern w:val="21"/>
                <w:szCs w:val="21"/>
              </w:rPr>
              <w:t>物</w:t>
            </w:r>
            <w:r>
              <w:rPr>
                <w:rFonts w:ascii="Times New Roman"/>
                <w:snapToGrid w:val="0"/>
                <w:color w:val="auto"/>
                <w:spacing w:val="-16"/>
                <w:kern w:val="21"/>
                <w:szCs w:val="21"/>
              </w:rPr>
              <w:t>产生量）</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ascii="Times New Roman" w:cs="宋体"/>
                <w:color w:val="auto"/>
                <w:kern w:val="2"/>
                <w:szCs w:val="21"/>
              </w:rPr>
              <w:t>⑥</w:t>
            </w:r>
            <w:r>
              <w:rPr>
                <w:rFonts w:ascii="Times New Roman"/>
                <w:snapToGrid w:val="0"/>
                <w:color w:val="auto"/>
                <w:spacing w:val="-16"/>
                <w:kern w:val="21"/>
                <w:szCs w:val="21"/>
              </w:rPr>
              <w:fldChar w:fldCharType="end"/>
            </w:r>
          </w:p>
        </w:tc>
        <w:tc>
          <w:tcPr>
            <w:tcW w:w="509" w:type="pct"/>
            <w:tcMar>
              <w:left w:w="28" w:type="dxa"/>
              <w:right w:w="28" w:type="dxa"/>
            </w:tcMar>
            <w:vAlign w:val="center"/>
          </w:tcPr>
          <w:p w14:paraId="1D47C193">
            <w:pPr>
              <w:pStyle w:val="4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变化量</w:t>
            </w:r>
          </w:p>
          <w:p w14:paraId="78CB2F9D">
            <w:pPr>
              <w:pStyle w:val="4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hint="eastAsia" w:ascii="Times New Roman" w:cs="宋体"/>
                <w:color w:val="auto"/>
                <w:kern w:val="2"/>
                <w:szCs w:val="21"/>
              </w:rPr>
              <w:t>⑦</w:t>
            </w:r>
            <w:r>
              <w:rPr>
                <w:rFonts w:ascii="Times New Roman"/>
                <w:snapToGrid w:val="0"/>
                <w:color w:val="auto"/>
                <w:spacing w:val="-6"/>
                <w:kern w:val="21"/>
                <w:szCs w:val="21"/>
              </w:rPr>
              <w:fldChar w:fldCharType="end"/>
            </w:r>
          </w:p>
        </w:tc>
      </w:tr>
      <w:tr w14:paraId="1A11F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Align w:val="center"/>
          </w:tcPr>
          <w:p w14:paraId="55BE0C9C">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废气</w:t>
            </w:r>
          </w:p>
        </w:tc>
        <w:tc>
          <w:tcPr>
            <w:tcW w:w="555" w:type="pct"/>
            <w:vAlign w:val="center"/>
          </w:tcPr>
          <w:p w14:paraId="2415B6D8">
            <w:pPr>
              <w:pStyle w:val="4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颗粒物</w:t>
            </w:r>
          </w:p>
        </w:tc>
        <w:tc>
          <w:tcPr>
            <w:tcW w:w="573" w:type="pct"/>
            <w:vAlign w:val="center"/>
          </w:tcPr>
          <w:p w14:paraId="28A112B8">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438" w:type="pct"/>
            <w:vAlign w:val="center"/>
          </w:tcPr>
          <w:p w14:paraId="4DFDC87E">
            <w:pPr>
              <w:jc w:val="center"/>
              <w:rPr>
                <w:color w:val="auto"/>
              </w:rPr>
            </w:pPr>
            <w:r>
              <w:rPr>
                <w:rFonts w:hint="eastAsia" w:cs="宋体"/>
                <w:snapToGrid w:val="0"/>
                <w:color w:val="auto"/>
                <w:kern w:val="21"/>
                <w:szCs w:val="21"/>
              </w:rPr>
              <w:t>/</w:t>
            </w:r>
          </w:p>
        </w:tc>
        <w:tc>
          <w:tcPr>
            <w:tcW w:w="588" w:type="pct"/>
            <w:vAlign w:val="center"/>
          </w:tcPr>
          <w:p w14:paraId="6B72D4B3">
            <w:pPr>
              <w:jc w:val="center"/>
              <w:rPr>
                <w:color w:val="auto"/>
              </w:rPr>
            </w:pPr>
            <w:r>
              <w:rPr>
                <w:rFonts w:hint="eastAsia" w:cs="宋体"/>
                <w:snapToGrid w:val="0"/>
                <w:color w:val="auto"/>
                <w:kern w:val="21"/>
                <w:szCs w:val="21"/>
              </w:rPr>
              <w:t>/</w:t>
            </w:r>
          </w:p>
        </w:tc>
        <w:tc>
          <w:tcPr>
            <w:tcW w:w="608" w:type="pct"/>
            <w:vAlign w:val="center"/>
          </w:tcPr>
          <w:p w14:paraId="62DD57D2">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lang w:val="en-US" w:eastAsia="zh-CN"/>
              </w:rPr>
              <w:t>8.1</w:t>
            </w:r>
            <w:r>
              <w:rPr>
                <w:rFonts w:hint="eastAsia" w:ascii="Times New Roman" w:cs="宋体"/>
                <w:snapToGrid w:val="0"/>
                <w:color w:val="auto"/>
                <w:kern w:val="21"/>
                <w:szCs w:val="21"/>
              </w:rPr>
              <w:t>t/a</w:t>
            </w:r>
          </w:p>
        </w:tc>
        <w:tc>
          <w:tcPr>
            <w:tcW w:w="579" w:type="pct"/>
            <w:vAlign w:val="center"/>
          </w:tcPr>
          <w:p w14:paraId="1D0B9E6D">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707" w:type="pct"/>
            <w:vAlign w:val="center"/>
          </w:tcPr>
          <w:p w14:paraId="674EED62">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lang w:val="en-US" w:eastAsia="zh-CN"/>
              </w:rPr>
              <w:t>8.1</w:t>
            </w:r>
            <w:r>
              <w:rPr>
                <w:rFonts w:hint="eastAsia" w:ascii="Times New Roman" w:cs="宋体"/>
                <w:snapToGrid w:val="0"/>
                <w:color w:val="auto"/>
                <w:kern w:val="21"/>
                <w:szCs w:val="21"/>
              </w:rPr>
              <w:t>t/a</w:t>
            </w:r>
          </w:p>
        </w:tc>
        <w:tc>
          <w:tcPr>
            <w:tcW w:w="509" w:type="pct"/>
            <w:vAlign w:val="center"/>
          </w:tcPr>
          <w:p w14:paraId="62F197DE">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r>
              <w:rPr>
                <w:rFonts w:hint="eastAsia" w:ascii="Times New Roman" w:cs="宋体"/>
                <w:snapToGrid w:val="0"/>
                <w:color w:val="auto"/>
                <w:kern w:val="21"/>
                <w:szCs w:val="21"/>
                <w:lang w:val="en-US" w:eastAsia="zh-CN"/>
              </w:rPr>
              <w:t>8.1</w:t>
            </w:r>
            <w:r>
              <w:rPr>
                <w:rFonts w:hint="eastAsia" w:ascii="Times New Roman" w:cs="宋体"/>
                <w:snapToGrid w:val="0"/>
                <w:color w:val="auto"/>
                <w:kern w:val="21"/>
                <w:szCs w:val="21"/>
              </w:rPr>
              <w:t>t/a</w:t>
            </w:r>
          </w:p>
        </w:tc>
      </w:tr>
      <w:tr w14:paraId="22AA9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restart"/>
            <w:vAlign w:val="center"/>
          </w:tcPr>
          <w:p w14:paraId="57555477">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废水</w:t>
            </w:r>
          </w:p>
        </w:tc>
        <w:tc>
          <w:tcPr>
            <w:tcW w:w="555" w:type="pct"/>
            <w:vAlign w:val="center"/>
          </w:tcPr>
          <w:p w14:paraId="573D942F">
            <w:pPr>
              <w:pStyle w:val="4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化学需氧量</w:t>
            </w:r>
          </w:p>
        </w:tc>
        <w:tc>
          <w:tcPr>
            <w:tcW w:w="573" w:type="pct"/>
            <w:vAlign w:val="center"/>
          </w:tcPr>
          <w:p w14:paraId="0613EC87">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438" w:type="pct"/>
            <w:vAlign w:val="center"/>
          </w:tcPr>
          <w:p w14:paraId="01A38AE7">
            <w:pPr>
              <w:jc w:val="center"/>
              <w:rPr>
                <w:color w:val="auto"/>
              </w:rPr>
            </w:pPr>
            <w:r>
              <w:rPr>
                <w:rFonts w:hint="eastAsia" w:cs="宋体"/>
                <w:snapToGrid w:val="0"/>
                <w:color w:val="auto"/>
                <w:kern w:val="21"/>
                <w:szCs w:val="21"/>
              </w:rPr>
              <w:t>/</w:t>
            </w:r>
          </w:p>
        </w:tc>
        <w:tc>
          <w:tcPr>
            <w:tcW w:w="588" w:type="pct"/>
            <w:vAlign w:val="center"/>
          </w:tcPr>
          <w:p w14:paraId="3CD8ABC6">
            <w:pPr>
              <w:jc w:val="center"/>
              <w:rPr>
                <w:color w:val="auto"/>
              </w:rPr>
            </w:pPr>
            <w:r>
              <w:rPr>
                <w:rFonts w:hint="eastAsia" w:cs="宋体"/>
                <w:snapToGrid w:val="0"/>
                <w:color w:val="auto"/>
                <w:kern w:val="21"/>
                <w:szCs w:val="21"/>
              </w:rPr>
              <w:t>/</w:t>
            </w:r>
          </w:p>
        </w:tc>
        <w:tc>
          <w:tcPr>
            <w:tcW w:w="608" w:type="pct"/>
            <w:vAlign w:val="center"/>
          </w:tcPr>
          <w:p w14:paraId="2D058A15">
            <w:pPr>
              <w:jc w:val="center"/>
              <w:rPr>
                <w:rFonts w:cs="宋体"/>
                <w:color w:val="auto"/>
                <w:szCs w:val="21"/>
              </w:rPr>
            </w:pPr>
            <w:r>
              <w:rPr>
                <w:rFonts w:hint="eastAsia"/>
                <w:color w:val="auto"/>
                <w:szCs w:val="21"/>
              </w:rPr>
              <w:t>0.5625t/a</w:t>
            </w:r>
          </w:p>
        </w:tc>
        <w:tc>
          <w:tcPr>
            <w:tcW w:w="579" w:type="pct"/>
            <w:vAlign w:val="center"/>
          </w:tcPr>
          <w:p w14:paraId="48F13BA2">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707" w:type="pct"/>
            <w:vAlign w:val="center"/>
          </w:tcPr>
          <w:p w14:paraId="5C0E519B">
            <w:pPr>
              <w:jc w:val="center"/>
              <w:rPr>
                <w:rFonts w:cs="宋体"/>
                <w:color w:val="auto"/>
                <w:szCs w:val="21"/>
              </w:rPr>
            </w:pPr>
            <w:r>
              <w:rPr>
                <w:rFonts w:hint="eastAsia"/>
                <w:color w:val="auto"/>
                <w:szCs w:val="21"/>
              </w:rPr>
              <w:t>0.5625t/a</w:t>
            </w:r>
          </w:p>
        </w:tc>
        <w:tc>
          <w:tcPr>
            <w:tcW w:w="509" w:type="pct"/>
            <w:vAlign w:val="center"/>
          </w:tcPr>
          <w:p w14:paraId="67C9CE9D">
            <w:pPr>
              <w:jc w:val="center"/>
              <w:rPr>
                <w:rFonts w:cs="宋体"/>
                <w:color w:val="auto"/>
                <w:szCs w:val="21"/>
              </w:rPr>
            </w:pPr>
            <w:r>
              <w:rPr>
                <w:rFonts w:hint="eastAsia"/>
                <w:color w:val="auto"/>
                <w:szCs w:val="21"/>
              </w:rPr>
              <w:t>+0.5625t/a</w:t>
            </w:r>
          </w:p>
        </w:tc>
      </w:tr>
      <w:tr w14:paraId="2CE72E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continue"/>
            <w:vAlign w:val="center"/>
          </w:tcPr>
          <w:p w14:paraId="5D3C8E1A">
            <w:pPr>
              <w:pStyle w:val="42"/>
              <w:spacing w:beforeLines="0" w:afterLines="0" w:line="240" w:lineRule="auto"/>
              <w:rPr>
                <w:rFonts w:ascii="Times New Roman" w:cs="宋体"/>
                <w:snapToGrid w:val="0"/>
                <w:color w:val="auto"/>
                <w:kern w:val="21"/>
                <w:szCs w:val="21"/>
              </w:rPr>
            </w:pPr>
          </w:p>
        </w:tc>
        <w:tc>
          <w:tcPr>
            <w:tcW w:w="555" w:type="pct"/>
            <w:vAlign w:val="center"/>
          </w:tcPr>
          <w:p w14:paraId="4ACCA161">
            <w:pPr>
              <w:pStyle w:val="4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五日生化需 氧量</w:t>
            </w:r>
          </w:p>
        </w:tc>
        <w:tc>
          <w:tcPr>
            <w:tcW w:w="573" w:type="pct"/>
            <w:vAlign w:val="center"/>
          </w:tcPr>
          <w:p w14:paraId="09BB8126">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438" w:type="pct"/>
            <w:vAlign w:val="center"/>
          </w:tcPr>
          <w:p w14:paraId="3D1DDCD4">
            <w:pPr>
              <w:jc w:val="center"/>
              <w:rPr>
                <w:color w:val="auto"/>
              </w:rPr>
            </w:pPr>
            <w:r>
              <w:rPr>
                <w:rFonts w:hint="eastAsia" w:cs="宋体"/>
                <w:snapToGrid w:val="0"/>
                <w:color w:val="auto"/>
                <w:kern w:val="21"/>
                <w:szCs w:val="21"/>
              </w:rPr>
              <w:t>/</w:t>
            </w:r>
          </w:p>
        </w:tc>
        <w:tc>
          <w:tcPr>
            <w:tcW w:w="588" w:type="pct"/>
            <w:vAlign w:val="center"/>
          </w:tcPr>
          <w:p w14:paraId="17D6C412">
            <w:pPr>
              <w:jc w:val="center"/>
              <w:rPr>
                <w:color w:val="auto"/>
              </w:rPr>
            </w:pPr>
            <w:r>
              <w:rPr>
                <w:rFonts w:hint="eastAsia" w:cs="宋体"/>
                <w:snapToGrid w:val="0"/>
                <w:color w:val="auto"/>
                <w:kern w:val="21"/>
                <w:szCs w:val="21"/>
              </w:rPr>
              <w:t>/</w:t>
            </w:r>
          </w:p>
        </w:tc>
        <w:tc>
          <w:tcPr>
            <w:tcW w:w="608" w:type="pct"/>
            <w:vAlign w:val="center"/>
          </w:tcPr>
          <w:p w14:paraId="604D39F4">
            <w:pPr>
              <w:jc w:val="center"/>
              <w:rPr>
                <w:rFonts w:cs="宋体"/>
                <w:color w:val="auto"/>
                <w:szCs w:val="21"/>
              </w:rPr>
            </w:pPr>
            <w:r>
              <w:rPr>
                <w:rFonts w:hint="eastAsia"/>
                <w:color w:val="auto"/>
                <w:szCs w:val="21"/>
              </w:rPr>
              <w:t>0.3375t/a</w:t>
            </w:r>
          </w:p>
        </w:tc>
        <w:tc>
          <w:tcPr>
            <w:tcW w:w="579" w:type="pct"/>
            <w:vAlign w:val="center"/>
          </w:tcPr>
          <w:p w14:paraId="466763EF">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707" w:type="pct"/>
            <w:vAlign w:val="center"/>
          </w:tcPr>
          <w:p w14:paraId="0F53CFC9">
            <w:pPr>
              <w:jc w:val="center"/>
              <w:rPr>
                <w:rFonts w:cs="宋体"/>
                <w:color w:val="auto"/>
                <w:szCs w:val="21"/>
              </w:rPr>
            </w:pPr>
            <w:r>
              <w:rPr>
                <w:rFonts w:hint="eastAsia"/>
                <w:color w:val="auto"/>
                <w:szCs w:val="21"/>
              </w:rPr>
              <w:t>0.3375t/a</w:t>
            </w:r>
          </w:p>
        </w:tc>
        <w:tc>
          <w:tcPr>
            <w:tcW w:w="509" w:type="pct"/>
            <w:vAlign w:val="center"/>
          </w:tcPr>
          <w:p w14:paraId="2B7B7EEC">
            <w:pPr>
              <w:jc w:val="center"/>
              <w:rPr>
                <w:rFonts w:cs="宋体"/>
                <w:color w:val="auto"/>
                <w:szCs w:val="21"/>
              </w:rPr>
            </w:pPr>
            <w:r>
              <w:rPr>
                <w:rFonts w:hint="eastAsia"/>
                <w:color w:val="auto"/>
                <w:szCs w:val="21"/>
              </w:rPr>
              <w:t>+0.3375t/a</w:t>
            </w:r>
          </w:p>
        </w:tc>
      </w:tr>
      <w:tr w14:paraId="64E10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continue"/>
            <w:vAlign w:val="center"/>
          </w:tcPr>
          <w:p w14:paraId="68AC0B6F">
            <w:pPr>
              <w:pStyle w:val="42"/>
              <w:spacing w:beforeLines="0" w:afterLines="0" w:line="240" w:lineRule="auto"/>
              <w:rPr>
                <w:rFonts w:ascii="Times New Roman" w:cs="宋体"/>
                <w:snapToGrid w:val="0"/>
                <w:color w:val="auto"/>
                <w:kern w:val="21"/>
                <w:szCs w:val="21"/>
              </w:rPr>
            </w:pPr>
          </w:p>
        </w:tc>
        <w:tc>
          <w:tcPr>
            <w:tcW w:w="555" w:type="pct"/>
            <w:vAlign w:val="center"/>
          </w:tcPr>
          <w:p w14:paraId="562637A6">
            <w:pPr>
              <w:pStyle w:val="4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悬浮物</w:t>
            </w:r>
          </w:p>
        </w:tc>
        <w:tc>
          <w:tcPr>
            <w:tcW w:w="573" w:type="pct"/>
            <w:vAlign w:val="center"/>
          </w:tcPr>
          <w:p w14:paraId="51238A54">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438" w:type="pct"/>
            <w:vAlign w:val="center"/>
          </w:tcPr>
          <w:p w14:paraId="3A318AEB">
            <w:pPr>
              <w:jc w:val="center"/>
              <w:rPr>
                <w:color w:val="auto"/>
              </w:rPr>
            </w:pPr>
            <w:r>
              <w:rPr>
                <w:rFonts w:hint="eastAsia" w:cs="宋体"/>
                <w:snapToGrid w:val="0"/>
                <w:color w:val="auto"/>
                <w:kern w:val="21"/>
                <w:szCs w:val="21"/>
              </w:rPr>
              <w:t>/</w:t>
            </w:r>
          </w:p>
        </w:tc>
        <w:tc>
          <w:tcPr>
            <w:tcW w:w="588" w:type="pct"/>
            <w:vAlign w:val="center"/>
          </w:tcPr>
          <w:p w14:paraId="285070E4">
            <w:pPr>
              <w:jc w:val="center"/>
              <w:rPr>
                <w:color w:val="auto"/>
              </w:rPr>
            </w:pPr>
            <w:r>
              <w:rPr>
                <w:rFonts w:hint="eastAsia" w:cs="宋体"/>
                <w:snapToGrid w:val="0"/>
                <w:color w:val="auto"/>
                <w:kern w:val="21"/>
                <w:szCs w:val="21"/>
              </w:rPr>
              <w:t>/</w:t>
            </w:r>
          </w:p>
        </w:tc>
        <w:tc>
          <w:tcPr>
            <w:tcW w:w="608" w:type="pct"/>
            <w:vAlign w:val="center"/>
          </w:tcPr>
          <w:p w14:paraId="3E05EC68">
            <w:pPr>
              <w:jc w:val="center"/>
              <w:rPr>
                <w:rFonts w:cs="宋体"/>
                <w:color w:val="auto"/>
                <w:szCs w:val="21"/>
              </w:rPr>
            </w:pPr>
            <w:r>
              <w:rPr>
                <w:rFonts w:hint="eastAsia"/>
                <w:color w:val="auto"/>
                <w:szCs w:val="21"/>
              </w:rPr>
              <w:t>0.0675t/a</w:t>
            </w:r>
          </w:p>
        </w:tc>
        <w:tc>
          <w:tcPr>
            <w:tcW w:w="579" w:type="pct"/>
            <w:vAlign w:val="center"/>
          </w:tcPr>
          <w:p w14:paraId="4CA41C12">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707" w:type="pct"/>
            <w:vAlign w:val="center"/>
          </w:tcPr>
          <w:p w14:paraId="34204D2A">
            <w:pPr>
              <w:jc w:val="center"/>
              <w:rPr>
                <w:rFonts w:cs="宋体"/>
                <w:color w:val="auto"/>
                <w:szCs w:val="21"/>
              </w:rPr>
            </w:pPr>
            <w:r>
              <w:rPr>
                <w:rFonts w:hint="eastAsia"/>
                <w:color w:val="auto"/>
                <w:szCs w:val="21"/>
              </w:rPr>
              <w:t>0.0675t/a</w:t>
            </w:r>
          </w:p>
        </w:tc>
        <w:tc>
          <w:tcPr>
            <w:tcW w:w="509" w:type="pct"/>
            <w:vAlign w:val="center"/>
          </w:tcPr>
          <w:p w14:paraId="21E96817">
            <w:pPr>
              <w:jc w:val="center"/>
              <w:rPr>
                <w:rFonts w:cs="宋体"/>
                <w:color w:val="auto"/>
                <w:szCs w:val="21"/>
              </w:rPr>
            </w:pPr>
            <w:r>
              <w:rPr>
                <w:rFonts w:hint="eastAsia"/>
                <w:color w:val="auto"/>
                <w:szCs w:val="21"/>
              </w:rPr>
              <w:t>+0.0675t/a</w:t>
            </w:r>
          </w:p>
        </w:tc>
      </w:tr>
      <w:tr w14:paraId="4FA31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continue"/>
            <w:vAlign w:val="center"/>
          </w:tcPr>
          <w:p w14:paraId="216145EB">
            <w:pPr>
              <w:pStyle w:val="42"/>
              <w:spacing w:beforeLines="0" w:afterLines="0" w:line="240" w:lineRule="auto"/>
              <w:rPr>
                <w:rFonts w:ascii="Times New Roman" w:cs="宋体"/>
                <w:snapToGrid w:val="0"/>
                <w:color w:val="auto"/>
                <w:kern w:val="21"/>
                <w:szCs w:val="21"/>
              </w:rPr>
            </w:pPr>
          </w:p>
        </w:tc>
        <w:tc>
          <w:tcPr>
            <w:tcW w:w="555" w:type="pct"/>
            <w:vAlign w:val="center"/>
          </w:tcPr>
          <w:p w14:paraId="11E1B5D6">
            <w:pPr>
              <w:pStyle w:val="4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氨氮</w:t>
            </w:r>
          </w:p>
        </w:tc>
        <w:tc>
          <w:tcPr>
            <w:tcW w:w="573" w:type="pct"/>
            <w:vAlign w:val="center"/>
          </w:tcPr>
          <w:p w14:paraId="496083C9">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438" w:type="pct"/>
            <w:vAlign w:val="center"/>
          </w:tcPr>
          <w:p w14:paraId="26DC224C">
            <w:pPr>
              <w:jc w:val="center"/>
              <w:rPr>
                <w:color w:val="auto"/>
              </w:rPr>
            </w:pPr>
            <w:r>
              <w:rPr>
                <w:rFonts w:hint="eastAsia" w:cs="宋体"/>
                <w:snapToGrid w:val="0"/>
                <w:color w:val="auto"/>
                <w:kern w:val="21"/>
                <w:szCs w:val="21"/>
              </w:rPr>
              <w:t>/</w:t>
            </w:r>
          </w:p>
        </w:tc>
        <w:tc>
          <w:tcPr>
            <w:tcW w:w="588" w:type="pct"/>
            <w:vAlign w:val="center"/>
          </w:tcPr>
          <w:p w14:paraId="21E5A0F2">
            <w:pPr>
              <w:jc w:val="center"/>
              <w:rPr>
                <w:color w:val="auto"/>
              </w:rPr>
            </w:pPr>
            <w:r>
              <w:rPr>
                <w:rFonts w:hint="eastAsia" w:cs="宋体"/>
                <w:snapToGrid w:val="0"/>
                <w:color w:val="auto"/>
                <w:kern w:val="21"/>
                <w:szCs w:val="21"/>
              </w:rPr>
              <w:t>/</w:t>
            </w:r>
          </w:p>
        </w:tc>
        <w:tc>
          <w:tcPr>
            <w:tcW w:w="608" w:type="pct"/>
            <w:vAlign w:val="center"/>
          </w:tcPr>
          <w:p w14:paraId="3215A8A6">
            <w:pPr>
              <w:jc w:val="center"/>
              <w:rPr>
                <w:rFonts w:cs="宋体"/>
                <w:color w:val="auto"/>
                <w:szCs w:val="21"/>
              </w:rPr>
            </w:pPr>
            <w:r>
              <w:rPr>
                <w:rFonts w:hint="eastAsia"/>
                <w:color w:val="auto"/>
                <w:szCs w:val="21"/>
              </w:rPr>
              <w:t>0.45t/a</w:t>
            </w:r>
          </w:p>
        </w:tc>
        <w:tc>
          <w:tcPr>
            <w:tcW w:w="579" w:type="pct"/>
            <w:vAlign w:val="center"/>
          </w:tcPr>
          <w:p w14:paraId="68D7CD67">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707" w:type="pct"/>
            <w:vAlign w:val="center"/>
          </w:tcPr>
          <w:p w14:paraId="1C6B5B4A">
            <w:pPr>
              <w:jc w:val="center"/>
              <w:rPr>
                <w:rFonts w:cs="宋体"/>
                <w:color w:val="auto"/>
                <w:szCs w:val="21"/>
              </w:rPr>
            </w:pPr>
            <w:r>
              <w:rPr>
                <w:rFonts w:hint="eastAsia"/>
                <w:color w:val="auto"/>
                <w:szCs w:val="21"/>
              </w:rPr>
              <w:t>0.45t/a</w:t>
            </w:r>
          </w:p>
        </w:tc>
        <w:tc>
          <w:tcPr>
            <w:tcW w:w="509" w:type="pct"/>
            <w:vAlign w:val="center"/>
          </w:tcPr>
          <w:p w14:paraId="1434D9BA">
            <w:pPr>
              <w:jc w:val="center"/>
              <w:rPr>
                <w:rFonts w:cs="宋体"/>
                <w:color w:val="auto"/>
                <w:szCs w:val="21"/>
              </w:rPr>
            </w:pPr>
            <w:r>
              <w:rPr>
                <w:rFonts w:hint="eastAsia"/>
                <w:color w:val="auto"/>
                <w:szCs w:val="21"/>
              </w:rPr>
              <w:t>+0.45t/a</w:t>
            </w:r>
          </w:p>
        </w:tc>
      </w:tr>
      <w:tr w14:paraId="1C2F5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restart"/>
            <w:vAlign w:val="center"/>
          </w:tcPr>
          <w:p w14:paraId="298E3014">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一般工业</w:t>
            </w:r>
          </w:p>
          <w:p w14:paraId="1E1D9B53">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固体废物</w:t>
            </w:r>
          </w:p>
        </w:tc>
        <w:tc>
          <w:tcPr>
            <w:tcW w:w="555" w:type="pct"/>
            <w:vAlign w:val="center"/>
          </w:tcPr>
          <w:p w14:paraId="42165C79">
            <w:pPr>
              <w:pStyle w:val="42"/>
              <w:spacing w:beforeLines="0" w:afterLines="0" w:line="240" w:lineRule="auto"/>
              <w:rPr>
                <w:rFonts w:ascii="Times New Roman"/>
                <w:snapToGrid w:val="0"/>
                <w:color w:val="auto"/>
                <w:spacing w:val="-6"/>
                <w:kern w:val="21"/>
                <w:szCs w:val="21"/>
              </w:rPr>
            </w:pPr>
            <w:r>
              <w:rPr>
                <w:rFonts w:hint="eastAsia" w:ascii="Times New Roman"/>
                <w:snapToGrid w:val="0"/>
                <w:color w:val="auto"/>
                <w:spacing w:val="-6"/>
                <w:kern w:val="21"/>
                <w:szCs w:val="21"/>
              </w:rPr>
              <w:t>废边角料</w:t>
            </w:r>
          </w:p>
        </w:tc>
        <w:tc>
          <w:tcPr>
            <w:tcW w:w="573" w:type="pct"/>
            <w:vAlign w:val="center"/>
          </w:tcPr>
          <w:p w14:paraId="62BA3A70">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438" w:type="pct"/>
            <w:vAlign w:val="center"/>
          </w:tcPr>
          <w:p w14:paraId="4FEEAFCC">
            <w:pPr>
              <w:jc w:val="center"/>
              <w:rPr>
                <w:color w:val="auto"/>
              </w:rPr>
            </w:pPr>
            <w:r>
              <w:rPr>
                <w:rFonts w:hint="eastAsia" w:cs="宋体"/>
                <w:snapToGrid w:val="0"/>
                <w:color w:val="auto"/>
                <w:kern w:val="21"/>
                <w:szCs w:val="21"/>
              </w:rPr>
              <w:t>/</w:t>
            </w:r>
          </w:p>
        </w:tc>
        <w:tc>
          <w:tcPr>
            <w:tcW w:w="588" w:type="pct"/>
            <w:vAlign w:val="center"/>
          </w:tcPr>
          <w:p w14:paraId="5303230C">
            <w:pPr>
              <w:jc w:val="center"/>
              <w:rPr>
                <w:color w:val="auto"/>
              </w:rPr>
            </w:pPr>
            <w:r>
              <w:rPr>
                <w:rFonts w:hint="eastAsia" w:cs="宋体"/>
                <w:snapToGrid w:val="0"/>
                <w:color w:val="auto"/>
                <w:kern w:val="21"/>
                <w:szCs w:val="21"/>
              </w:rPr>
              <w:t>/</w:t>
            </w:r>
          </w:p>
        </w:tc>
        <w:tc>
          <w:tcPr>
            <w:tcW w:w="608" w:type="pct"/>
            <w:vAlign w:val="center"/>
          </w:tcPr>
          <w:p w14:paraId="7A815480">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450t/a</w:t>
            </w:r>
          </w:p>
        </w:tc>
        <w:tc>
          <w:tcPr>
            <w:tcW w:w="579" w:type="pct"/>
            <w:vAlign w:val="center"/>
          </w:tcPr>
          <w:p w14:paraId="39F77ADE">
            <w:pPr>
              <w:jc w:val="center"/>
              <w:rPr>
                <w:color w:val="auto"/>
              </w:rPr>
            </w:pPr>
            <w:r>
              <w:rPr>
                <w:rFonts w:hint="eastAsia" w:cs="宋体"/>
                <w:snapToGrid w:val="0"/>
                <w:color w:val="auto"/>
                <w:kern w:val="21"/>
                <w:szCs w:val="21"/>
              </w:rPr>
              <w:t>/</w:t>
            </w:r>
          </w:p>
        </w:tc>
        <w:tc>
          <w:tcPr>
            <w:tcW w:w="707" w:type="pct"/>
            <w:vAlign w:val="center"/>
          </w:tcPr>
          <w:p w14:paraId="4E4F69FD">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回用</w:t>
            </w:r>
          </w:p>
        </w:tc>
        <w:tc>
          <w:tcPr>
            <w:tcW w:w="509" w:type="pct"/>
            <w:vAlign w:val="center"/>
          </w:tcPr>
          <w:p w14:paraId="795C260E">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r>
      <w:tr w14:paraId="79A21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continue"/>
            <w:vAlign w:val="center"/>
          </w:tcPr>
          <w:p w14:paraId="3870D762">
            <w:pPr>
              <w:pStyle w:val="42"/>
              <w:spacing w:beforeLines="0" w:afterLines="0" w:line="240" w:lineRule="auto"/>
              <w:rPr>
                <w:rFonts w:ascii="Times New Roman" w:cs="宋体"/>
                <w:snapToGrid w:val="0"/>
                <w:color w:val="auto"/>
                <w:kern w:val="21"/>
                <w:szCs w:val="21"/>
              </w:rPr>
            </w:pPr>
          </w:p>
        </w:tc>
        <w:tc>
          <w:tcPr>
            <w:tcW w:w="555" w:type="pct"/>
            <w:vAlign w:val="center"/>
          </w:tcPr>
          <w:p w14:paraId="68695F67">
            <w:pPr>
              <w:pStyle w:val="42"/>
              <w:spacing w:beforeLines="0" w:afterLines="0" w:line="240" w:lineRule="auto"/>
              <w:rPr>
                <w:rFonts w:ascii="Times New Roman"/>
                <w:snapToGrid w:val="0"/>
                <w:color w:val="auto"/>
                <w:spacing w:val="-6"/>
                <w:kern w:val="21"/>
                <w:szCs w:val="21"/>
              </w:rPr>
            </w:pPr>
            <w:r>
              <w:rPr>
                <w:rFonts w:hint="eastAsia" w:ascii="Times New Roman"/>
                <w:snapToGrid w:val="0"/>
                <w:color w:val="auto"/>
                <w:spacing w:val="-6"/>
                <w:kern w:val="21"/>
                <w:szCs w:val="21"/>
              </w:rPr>
              <w:t>废金属模具</w:t>
            </w:r>
          </w:p>
        </w:tc>
        <w:tc>
          <w:tcPr>
            <w:tcW w:w="573" w:type="pct"/>
            <w:vAlign w:val="center"/>
          </w:tcPr>
          <w:p w14:paraId="04485A43">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438" w:type="pct"/>
            <w:vAlign w:val="center"/>
          </w:tcPr>
          <w:p w14:paraId="16BC20A3">
            <w:pPr>
              <w:jc w:val="center"/>
              <w:rPr>
                <w:color w:val="auto"/>
              </w:rPr>
            </w:pPr>
            <w:r>
              <w:rPr>
                <w:rFonts w:hint="eastAsia" w:cs="宋体"/>
                <w:snapToGrid w:val="0"/>
                <w:color w:val="auto"/>
                <w:kern w:val="21"/>
                <w:szCs w:val="21"/>
              </w:rPr>
              <w:t>/</w:t>
            </w:r>
          </w:p>
        </w:tc>
        <w:tc>
          <w:tcPr>
            <w:tcW w:w="588" w:type="pct"/>
            <w:vAlign w:val="center"/>
          </w:tcPr>
          <w:p w14:paraId="24EFFB29">
            <w:pPr>
              <w:jc w:val="center"/>
              <w:rPr>
                <w:color w:val="auto"/>
              </w:rPr>
            </w:pPr>
            <w:r>
              <w:rPr>
                <w:rFonts w:hint="eastAsia" w:cs="宋体"/>
                <w:snapToGrid w:val="0"/>
                <w:color w:val="auto"/>
                <w:kern w:val="21"/>
                <w:szCs w:val="21"/>
              </w:rPr>
              <w:t>/</w:t>
            </w:r>
          </w:p>
        </w:tc>
        <w:tc>
          <w:tcPr>
            <w:tcW w:w="608" w:type="pct"/>
            <w:vAlign w:val="center"/>
          </w:tcPr>
          <w:p w14:paraId="4089F38D">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100t/a</w:t>
            </w:r>
          </w:p>
        </w:tc>
        <w:tc>
          <w:tcPr>
            <w:tcW w:w="579" w:type="pct"/>
            <w:vAlign w:val="center"/>
          </w:tcPr>
          <w:p w14:paraId="10D8D1F4">
            <w:pPr>
              <w:jc w:val="center"/>
              <w:rPr>
                <w:color w:val="auto"/>
              </w:rPr>
            </w:pPr>
            <w:r>
              <w:rPr>
                <w:rFonts w:hint="eastAsia" w:cs="宋体"/>
                <w:snapToGrid w:val="0"/>
                <w:color w:val="auto"/>
                <w:kern w:val="21"/>
                <w:szCs w:val="21"/>
              </w:rPr>
              <w:t>/</w:t>
            </w:r>
          </w:p>
        </w:tc>
        <w:tc>
          <w:tcPr>
            <w:tcW w:w="707" w:type="pct"/>
            <w:vAlign w:val="center"/>
          </w:tcPr>
          <w:p w14:paraId="5FD6683A">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厂家回收</w:t>
            </w:r>
          </w:p>
        </w:tc>
        <w:tc>
          <w:tcPr>
            <w:tcW w:w="509" w:type="pct"/>
            <w:vAlign w:val="center"/>
          </w:tcPr>
          <w:p w14:paraId="31EFA6A5">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r>
      <w:tr w14:paraId="61757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continue"/>
            <w:vAlign w:val="center"/>
          </w:tcPr>
          <w:p w14:paraId="5D563CD5">
            <w:pPr>
              <w:pStyle w:val="42"/>
              <w:spacing w:beforeLines="0" w:afterLines="0" w:line="240" w:lineRule="auto"/>
              <w:rPr>
                <w:rFonts w:ascii="Times New Roman" w:cs="宋体"/>
                <w:snapToGrid w:val="0"/>
                <w:color w:val="auto"/>
                <w:kern w:val="21"/>
                <w:szCs w:val="21"/>
              </w:rPr>
            </w:pPr>
          </w:p>
        </w:tc>
        <w:tc>
          <w:tcPr>
            <w:tcW w:w="555" w:type="pct"/>
            <w:vAlign w:val="center"/>
          </w:tcPr>
          <w:p w14:paraId="3902FDEE">
            <w:pPr>
              <w:pStyle w:val="42"/>
              <w:spacing w:beforeLines="0" w:afterLines="0" w:line="240" w:lineRule="auto"/>
              <w:rPr>
                <w:rFonts w:ascii="Times New Roman"/>
                <w:snapToGrid w:val="0"/>
                <w:color w:val="auto"/>
                <w:spacing w:val="-6"/>
                <w:kern w:val="21"/>
                <w:szCs w:val="21"/>
              </w:rPr>
            </w:pPr>
            <w:r>
              <w:rPr>
                <w:rFonts w:hint="eastAsia" w:ascii="Times New Roman"/>
                <w:snapToGrid w:val="0"/>
                <w:color w:val="auto"/>
                <w:spacing w:val="-6"/>
                <w:kern w:val="21"/>
                <w:szCs w:val="21"/>
              </w:rPr>
              <w:t>炉渣</w:t>
            </w:r>
          </w:p>
        </w:tc>
        <w:tc>
          <w:tcPr>
            <w:tcW w:w="573" w:type="pct"/>
            <w:vAlign w:val="center"/>
          </w:tcPr>
          <w:p w14:paraId="4CE66546">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438" w:type="pct"/>
            <w:vAlign w:val="center"/>
          </w:tcPr>
          <w:p w14:paraId="1730D43B">
            <w:pPr>
              <w:jc w:val="center"/>
              <w:rPr>
                <w:rFonts w:cs="宋体"/>
                <w:snapToGrid w:val="0"/>
                <w:color w:val="auto"/>
                <w:kern w:val="21"/>
                <w:szCs w:val="21"/>
              </w:rPr>
            </w:pPr>
            <w:r>
              <w:rPr>
                <w:rFonts w:hint="eastAsia" w:cs="宋体"/>
                <w:snapToGrid w:val="0"/>
                <w:color w:val="auto"/>
                <w:kern w:val="21"/>
                <w:szCs w:val="21"/>
              </w:rPr>
              <w:t>/</w:t>
            </w:r>
          </w:p>
        </w:tc>
        <w:tc>
          <w:tcPr>
            <w:tcW w:w="588" w:type="pct"/>
            <w:vAlign w:val="center"/>
          </w:tcPr>
          <w:p w14:paraId="083B0C64">
            <w:pPr>
              <w:jc w:val="center"/>
              <w:rPr>
                <w:rFonts w:cs="宋体"/>
                <w:snapToGrid w:val="0"/>
                <w:color w:val="auto"/>
                <w:kern w:val="21"/>
                <w:szCs w:val="21"/>
              </w:rPr>
            </w:pPr>
            <w:r>
              <w:rPr>
                <w:rFonts w:hint="eastAsia" w:cs="宋体"/>
                <w:snapToGrid w:val="0"/>
                <w:color w:val="auto"/>
                <w:kern w:val="21"/>
                <w:szCs w:val="21"/>
              </w:rPr>
              <w:t>/</w:t>
            </w:r>
          </w:p>
        </w:tc>
        <w:tc>
          <w:tcPr>
            <w:tcW w:w="608" w:type="pct"/>
            <w:vAlign w:val="center"/>
          </w:tcPr>
          <w:p w14:paraId="7D54A7DC">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200t/a</w:t>
            </w:r>
          </w:p>
        </w:tc>
        <w:tc>
          <w:tcPr>
            <w:tcW w:w="579" w:type="pct"/>
            <w:vAlign w:val="center"/>
          </w:tcPr>
          <w:p w14:paraId="31F61482">
            <w:pPr>
              <w:jc w:val="center"/>
              <w:rPr>
                <w:rFonts w:cs="宋体"/>
                <w:snapToGrid w:val="0"/>
                <w:color w:val="auto"/>
                <w:kern w:val="21"/>
                <w:szCs w:val="21"/>
              </w:rPr>
            </w:pPr>
            <w:r>
              <w:rPr>
                <w:rFonts w:hint="eastAsia" w:cs="宋体"/>
                <w:snapToGrid w:val="0"/>
                <w:color w:val="auto"/>
                <w:kern w:val="21"/>
                <w:szCs w:val="21"/>
              </w:rPr>
              <w:t>/</w:t>
            </w:r>
          </w:p>
        </w:tc>
        <w:tc>
          <w:tcPr>
            <w:tcW w:w="707" w:type="pct"/>
            <w:vAlign w:val="center"/>
          </w:tcPr>
          <w:p w14:paraId="25199FFE">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回用</w:t>
            </w:r>
          </w:p>
        </w:tc>
        <w:tc>
          <w:tcPr>
            <w:tcW w:w="509" w:type="pct"/>
            <w:vAlign w:val="center"/>
          </w:tcPr>
          <w:p w14:paraId="5A9AF7EC">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r>
      <w:tr w14:paraId="0C998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continue"/>
            <w:vAlign w:val="center"/>
          </w:tcPr>
          <w:p w14:paraId="47701C74">
            <w:pPr>
              <w:pStyle w:val="42"/>
              <w:spacing w:beforeLines="0" w:afterLines="0" w:line="240" w:lineRule="auto"/>
              <w:rPr>
                <w:rFonts w:ascii="Times New Roman" w:cs="宋体"/>
                <w:snapToGrid w:val="0"/>
                <w:color w:val="auto"/>
                <w:kern w:val="21"/>
                <w:szCs w:val="21"/>
              </w:rPr>
            </w:pPr>
          </w:p>
        </w:tc>
        <w:tc>
          <w:tcPr>
            <w:tcW w:w="555" w:type="pct"/>
            <w:vAlign w:val="center"/>
          </w:tcPr>
          <w:p w14:paraId="563E7604">
            <w:pPr>
              <w:pStyle w:val="42"/>
              <w:spacing w:beforeLines="0" w:afterLines="0" w:line="240" w:lineRule="auto"/>
              <w:rPr>
                <w:rFonts w:ascii="Times New Roman"/>
                <w:snapToGrid w:val="0"/>
                <w:color w:val="auto"/>
                <w:spacing w:val="-6"/>
                <w:kern w:val="21"/>
                <w:szCs w:val="21"/>
              </w:rPr>
            </w:pPr>
            <w:r>
              <w:rPr>
                <w:rFonts w:hint="eastAsia" w:ascii="Times New Roman"/>
                <w:snapToGrid w:val="0"/>
                <w:color w:val="auto"/>
                <w:spacing w:val="-6"/>
                <w:kern w:val="21"/>
                <w:szCs w:val="21"/>
              </w:rPr>
              <w:t>残次品</w:t>
            </w:r>
          </w:p>
        </w:tc>
        <w:tc>
          <w:tcPr>
            <w:tcW w:w="573" w:type="pct"/>
            <w:vAlign w:val="center"/>
          </w:tcPr>
          <w:p w14:paraId="463CF62E">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438" w:type="pct"/>
            <w:vAlign w:val="center"/>
          </w:tcPr>
          <w:p w14:paraId="51010EE9">
            <w:pPr>
              <w:jc w:val="center"/>
              <w:rPr>
                <w:rFonts w:cs="宋体"/>
                <w:snapToGrid w:val="0"/>
                <w:color w:val="auto"/>
                <w:kern w:val="21"/>
                <w:szCs w:val="21"/>
              </w:rPr>
            </w:pPr>
            <w:r>
              <w:rPr>
                <w:rFonts w:hint="eastAsia" w:cs="宋体"/>
                <w:snapToGrid w:val="0"/>
                <w:color w:val="auto"/>
                <w:kern w:val="21"/>
                <w:szCs w:val="21"/>
              </w:rPr>
              <w:t>/</w:t>
            </w:r>
          </w:p>
        </w:tc>
        <w:tc>
          <w:tcPr>
            <w:tcW w:w="588" w:type="pct"/>
            <w:vAlign w:val="center"/>
          </w:tcPr>
          <w:p w14:paraId="488CED5C">
            <w:pPr>
              <w:jc w:val="center"/>
              <w:rPr>
                <w:rFonts w:cs="宋体"/>
                <w:snapToGrid w:val="0"/>
                <w:color w:val="auto"/>
                <w:kern w:val="21"/>
                <w:szCs w:val="21"/>
              </w:rPr>
            </w:pPr>
            <w:r>
              <w:rPr>
                <w:rFonts w:hint="eastAsia" w:cs="宋体"/>
                <w:snapToGrid w:val="0"/>
                <w:color w:val="auto"/>
                <w:kern w:val="21"/>
                <w:szCs w:val="21"/>
              </w:rPr>
              <w:t>/</w:t>
            </w:r>
          </w:p>
        </w:tc>
        <w:tc>
          <w:tcPr>
            <w:tcW w:w="608" w:type="pct"/>
            <w:vAlign w:val="center"/>
          </w:tcPr>
          <w:p w14:paraId="4687FB1A">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250t/a</w:t>
            </w:r>
          </w:p>
        </w:tc>
        <w:tc>
          <w:tcPr>
            <w:tcW w:w="579" w:type="pct"/>
            <w:vAlign w:val="center"/>
          </w:tcPr>
          <w:p w14:paraId="7EADA484">
            <w:pPr>
              <w:jc w:val="center"/>
              <w:rPr>
                <w:rFonts w:cs="宋体"/>
                <w:snapToGrid w:val="0"/>
                <w:color w:val="auto"/>
                <w:kern w:val="21"/>
                <w:szCs w:val="21"/>
              </w:rPr>
            </w:pPr>
            <w:r>
              <w:rPr>
                <w:rFonts w:hint="eastAsia" w:cs="宋体"/>
                <w:snapToGrid w:val="0"/>
                <w:color w:val="auto"/>
                <w:kern w:val="21"/>
                <w:szCs w:val="21"/>
              </w:rPr>
              <w:t>/</w:t>
            </w:r>
          </w:p>
        </w:tc>
        <w:tc>
          <w:tcPr>
            <w:tcW w:w="707" w:type="pct"/>
            <w:vAlign w:val="center"/>
          </w:tcPr>
          <w:p w14:paraId="4B9738EA">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回用</w:t>
            </w:r>
          </w:p>
        </w:tc>
        <w:tc>
          <w:tcPr>
            <w:tcW w:w="509" w:type="pct"/>
            <w:vAlign w:val="center"/>
          </w:tcPr>
          <w:p w14:paraId="59D52413">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r>
      <w:tr w14:paraId="6ACE5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continue"/>
            <w:vAlign w:val="center"/>
          </w:tcPr>
          <w:p w14:paraId="6528648E">
            <w:pPr>
              <w:pStyle w:val="42"/>
              <w:spacing w:beforeLines="0" w:afterLines="0" w:line="240" w:lineRule="auto"/>
              <w:rPr>
                <w:rFonts w:ascii="Times New Roman" w:cs="宋体"/>
                <w:snapToGrid w:val="0"/>
                <w:color w:val="auto"/>
                <w:kern w:val="21"/>
                <w:szCs w:val="21"/>
              </w:rPr>
            </w:pPr>
          </w:p>
        </w:tc>
        <w:tc>
          <w:tcPr>
            <w:tcW w:w="555" w:type="pct"/>
            <w:vAlign w:val="center"/>
          </w:tcPr>
          <w:p w14:paraId="57D3D777">
            <w:pPr>
              <w:pStyle w:val="42"/>
              <w:spacing w:beforeLines="0" w:afterLines="0" w:line="240" w:lineRule="auto"/>
              <w:rPr>
                <w:rFonts w:ascii="Times New Roman"/>
                <w:snapToGrid w:val="0"/>
                <w:color w:val="auto"/>
                <w:spacing w:val="-6"/>
                <w:kern w:val="21"/>
                <w:szCs w:val="21"/>
                <w:highlight w:val="none"/>
              </w:rPr>
            </w:pPr>
            <w:r>
              <w:rPr>
                <w:rFonts w:hint="eastAsia" w:ascii="Times New Roman"/>
                <w:snapToGrid w:val="0"/>
                <w:color w:val="auto"/>
                <w:spacing w:val="-6"/>
                <w:kern w:val="21"/>
                <w:szCs w:val="21"/>
                <w:highlight w:val="none"/>
              </w:rPr>
              <w:t>除尘灰</w:t>
            </w:r>
          </w:p>
        </w:tc>
        <w:tc>
          <w:tcPr>
            <w:tcW w:w="573" w:type="pct"/>
            <w:vAlign w:val="center"/>
          </w:tcPr>
          <w:p w14:paraId="55D80E71">
            <w:pPr>
              <w:pStyle w:val="42"/>
              <w:spacing w:beforeLines="0" w:afterLines="0" w:line="240" w:lineRule="auto"/>
              <w:rPr>
                <w:rFonts w:ascii="Times New Roman" w:cs="宋体"/>
                <w:snapToGrid w:val="0"/>
                <w:color w:val="auto"/>
                <w:kern w:val="21"/>
                <w:szCs w:val="21"/>
                <w:highlight w:val="none"/>
              </w:rPr>
            </w:pPr>
            <w:r>
              <w:rPr>
                <w:rFonts w:hint="eastAsia" w:ascii="Times New Roman" w:cs="宋体"/>
                <w:snapToGrid w:val="0"/>
                <w:color w:val="auto"/>
                <w:kern w:val="21"/>
                <w:szCs w:val="21"/>
                <w:highlight w:val="none"/>
              </w:rPr>
              <w:t>/</w:t>
            </w:r>
          </w:p>
        </w:tc>
        <w:tc>
          <w:tcPr>
            <w:tcW w:w="438" w:type="pct"/>
            <w:vAlign w:val="center"/>
          </w:tcPr>
          <w:p w14:paraId="6E60A96A">
            <w:pPr>
              <w:jc w:val="center"/>
              <w:rPr>
                <w:rFonts w:cs="宋体"/>
                <w:snapToGrid w:val="0"/>
                <w:color w:val="auto"/>
                <w:kern w:val="21"/>
                <w:szCs w:val="21"/>
                <w:highlight w:val="none"/>
              </w:rPr>
            </w:pPr>
            <w:r>
              <w:rPr>
                <w:rFonts w:hint="eastAsia" w:cs="宋体"/>
                <w:snapToGrid w:val="0"/>
                <w:color w:val="auto"/>
                <w:kern w:val="21"/>
                <w:szCs w:val="21"/>
                <w:highlight w:val="none"/>
              </w:rPr>
              <w:t>/</w:t>
            </w:r>
          </w:p>
        </w:tc>
        <w:tc>
          <w:tcPr>
            <w:tcW w:w="588" w:type="pct"/>
            <w:vAlign w:val="center"/>
          </w:tcPr>
          <w:p w14:paraId="47B8E9F9">
            <w:pPr>
              <w:jc w:val="center"/>
              <w:rPr>
                <w:rFonts w:cs="宋体"/>
                <w:snapToGrid w:val="0"/>
                <w:color w:val="auto"/>
                <w:kern w:val="21"/>
                <w:szCs w:val="21"/>
                <w:highlight w:val="none"/>
              </w:rPr>
            </w:pPr>
            <w:r>
              <w:rPr>
                <w:rFonts w:hint="eastAsia" w:cs="宋体"/>
                <w:snapToGrid w:val="0"/>
                <w:color w:val="auto"/>
                <w:kern w:val="21"/>
                <w:szCs w:val="21"/>
                <w:highlight w:val="none"/>
              </w:rPr>
              <w:t>/</w:t>
            </w:r>
          </w:p>
        </w:tc>
        <w:tc>
          <w:tcPr>
            <w:tcW w:w="608" w:type="pct"/>
            <w:vAlign w:val="center"/>
          </w:tcPr>
          <w:p w14:paraId="5F2E08B9">
            <w:pPr>
              <w:pStyle w:val="42"/>
              <w:spacing w:beforeLines="0" w:afterLines="0" w:line="240" w:lineRule="auto"/>
              <w:rPr>
                <w:rFonts w:ascii="Times New Roman" w:cs="宋体"/>
                <w:snapToGrid w:val="0"/>
                <w:color w:val="auto"/>
                <w:kern w:val="21"/>
                <w:szCs w:val="21"/>
                <w:highlight w:val="none"/>
              </w:rPr>
            </w:pPr>
            <w:r>
              <w:rPr>
                <w:rFonts w:hint="eastAsia" w:ascii="Times New Roman" w:cs="宋体"/>
                <w:snapToGrid w:val="0"/>
                <w:color w:val="auto"/>
                <w:kern w:val="21"/>
                <w:szCs w:val="21"/>
                <w:highlight w:val="none"/>
                <w:lang w:val="en-US" w:eastAsia="zh-CN"/>
              </w:rPr>
              <w:t>50.5</w:t>
            </w:r>
            <w:r>
              <w:rPr>
                <w:rFonts w:hint="eastAsia" w:ascii="Times New Roman" w:cs="宋体"/>
                <w:snapToGrid w:val="0"/>
                <w:color w:val="auto"/>
                <w:kern w:val="21"/>
                <w:szCs w:val="21"/>
                <w:highlight w:val="none"/>
              </w:rPr>
              <w:t>t/a</w:t>
            </w:r>
          </w:p>
        </w:tc>
        <w:tc>
          <w:tcPr>
            <w:tcW w:w="579" w:type="pct"/>
            <w:vAlign w:val="center"/>
          </w:tcPr>
          <w:p w14:paraId="0120D392">
            <w:pPr>
              <w:jc w:val="center"/>
              <w:rPr>
                <w:rFonts w:cs="宋体"/>
                <w:snapToGrid w:val="0"/>
                <w:color w:val="auto"/>
                <w:kern w:val="21"/>
                <w:szCs w:val="21"/>
              </w:rPr>
            </w:pPr>
            <w:r>
              <w:rPr>
                <w:rFonts w:hint="eastAsia" w:cs="宋体"/>
                <w:snapToGrid w:val="0"/>
                <w:color w:val="auto"/>
                <w:kern w:val="21"/>
                <w:szCs w:val="21"/>
              </w:rPr>
              <w:t>/</w:t>
            </w:r>
          </w:p>
        </w:tc>
        <w:tc>
          <w:tcPr>
            <w:tcW w:w="707" w:type="pct"/>
            <w:vAlign w:val="center"/>
          </w:tcPr>
          <w:p w14:paraId="6C6B0767">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回用</w:t>
            </w:r>
          </w:p>
        </w:tc>
        <w:tc>
          <w:tcPr>
            <w:tcW w:w="509" w:type="pct"/>
            <w:vAlign w:val="center"/>
          </w:tcPr>
          <w:p w14:paraId="5E503E28">
            <w:pPr>
              <w:pStyle w:val="42"/>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r>
      <w:tr w14:paraId="4B03C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continue"/>
            <w:vAlign w:val="center"/>
          </w:tcPr>
          <w:p w14:paraId="088667C7">
            <w:pPr>
              <w:pStyle w:val="42"/>
              <w:spacing w:beforeLines="0" w:afterLines="0" w:line="240" w:lineRule="auto"/>
              <w:rPr>
                <w:rFonts w:hint="eastAsia" w:ascii="Times New Roman" w:eastAsia="宋体" w:cs="宋体"/>
                <w:snapToGrid w:val="0"/>
                <w:color w:val="auto"/>
                <w:kern w:val="21"/>
                <w:szCs w:val="21"/>
                <w:lang w:val="en-US" w:eastAsia="zh-CN"/>
              </w:rPr>
            </w:pPr>
          </w:p>
        </w:tc>
        <w:tc>
          <w:tcPr>
            <w:tcW w:w="555" w:type="pct"/>
            <w:vAlign w:val="center"/>
          </w:tcPr>
          <w:p w14:paraId="4BC041CA">
            <w:pPr>
              <w:pStyle w:val="42"/>
              <w:spacing w:beforeLines="0" w:afterLines="0" w:line="240" w:lineRule="auto"/>
              <w:rPr>
                <w:rFonts w:hint="default" w:ascii="Times New Roman" w:eastAsia="宋体"/>
                <w:snapToGrid w:val="0"/>
                <w:color w:val="auto"/>
                <w:spacing w:val="-6"/>
                <w:kern w:val="21"/>
                <w:szCs w:val="21"/>
                <w:highlight w:val="none"/>
                <w:lang w:val="en-US" w:eastAsia="zh-CN"/>
              </w:rPr>
            </w:pPr>
            <w:r>
              <w:rPr>
                <w:rFonts w:hint="eastAsia" w:ascii="Times New Roman"/>
                <w:snapToGrid w:val="0"/>
                <w:color w:val="auto"/>
                <w:spacing w:val="-6"/>
                <w:kern w:val="21"/>
                <w:szCs w:val="21"/>
                <w:highlight w:val="none"/>
                <w:lang w:val="en-US" w:eastAsia="zh-CN"/>
              </w:rPr>
              <w:t>脱模剂外包装</w:t>
            </w:r>
          </w:p>
        </w:tc>
        <w:tc>
          <w:tcPr>
            <w:tcW w:w="573" w:type="pct"/>
            <w:vAlign w:val="center"/>
          </w:tcPr>
          <w:p w14:paraId="2E9FB633">
            <w:pPr>
              <w:pStyle w:val="42"/>
              <w:spacing w:beforeLines="0" w:afterLines="0" w:line="240" w:lineRule="auto"/>
              <w:rPr>
                <w:rFonts w:hint="eastAsia" w:ascii="Times New Roman" w:eastAsia="宋体" w:cs="宋体"/>
                <w:snapToGrid w:val="0"/>
                <w:color w:val="auto"/>
                <w:kern w:val="21"/>
                <w:szCs w:val="21"/>
                <w:highlight w:val="none"/>
                <w:lang w:val="en-US" w:eastAsia="zh-CN"/>
              </w:rPr>
            </w:pPr>
            <w:r>
              <w:rPr>
                <w:rFonts w:hint="eastAsia" w:ascii="Times New Roman" w:cs="宋体"/>
                <w:snapToGrid w:val="0"/>
                <w:color w:val="auto"/>
                <w:kern w:val="21"/>
                <w:szCs w:val="21"/>
                <w:highlight w:val="none"/>
                <w:lang w:val="en-US" w:eastAsia="zh-CN"/>
              </w:rPr>
              <w:t>/</w:t>
            </w:r>
          </w:p>
        </w:tc>
        <w:tc>
          <w:tcPr>
            <w:tcW w:w="438" w:type="pct"/>
            <w:vAlign w:val="center"/>
          </w:tcPr>
          <w:p w14:paraId="1A5210F7">
            <w:pPr>
              <w:jc w:val="center"/>
              <w:rPr>
                <w:rFonts w:hint="eastAsia" w:eastAsia="宋体" w:cs="宋体"/>
                <w:snapToGrid w:val="0"/>
                <w:color w:val="auto"/>
                <w:kern w:val="21"/>
                <w:szCs w:val="21"/>
                <w:highlight w:val="none"/>
                <w:lang w:val="en-US" w:eastAsia="zh-CN"/>
              </w:rPr>
            </w:pPr>
            <w:r>
              <w:rPr>
                <w:rFonts w:hint="eastAsia" w:cs="宋体"/>
                <w:snapToGrid w:val="0"/>
                <w:color w:val="auto"/>
                <w:kern w:val="21"/>
                <w:szCs w:val="21"/>
                <w:highlight w:val="none"/>
                <w:lang w:val="en-US" w:eastAsia="zh-CN"/>
              </w:rPr>
              <w:t>/</w:t>
            </w:r>
          </w:p>
        </w:tc>
        <w:tc>
          <w:tcPr>
            <w:tcW w:w="588" w:type="pct"/>
            <w:vAlign w:val="center"/>
          </w:tcPr>
          <w:p w14:paraId="3F386DE6">
            <w:pPr>
              <w:jc w:val="center"/>
              <w:rPr>
                <w:rFonts w:hint="eastAsia" w:eastAsia="宋体" w:cs="宋体"/>
                <w:snapToGrid w:val="0"/>
                <w:color w:val="auto"/>
                <w:kern w:val="21"/>
                <w:szCs w:val="21"/>
                <w:highlight w:val="none"/>
                <w:lang w:val="en-US" w:eastAsia="zh-CN"/>
              </w:rPr>
            </w:pPr>
            <w:r>
              <w:rPr>
                <w:rFonts w:hint="eastAsia" w:cs="宋体"/>
                <w:snapToGrid w:val="0"/>
                <w:color w:val="auto"/>
                <w:kern w:val="21"/>
                <w:szCs w:val="21"/>
                <w:highlight w:val="none"/>
                <w:lang w:val="en-US" w:eastAsia="zh-CN"/>
              </w:rPr>
              <w:t>/</w:t>
            </w:r>
          </w:p>
        </w:tc>
        <w:tc>
          <w:tcPr>
            <w:tcW w:w="608" w:type="pct"/>
            <w:vAlign w:val="center"/>
          </w:tcPr>
          <w:p w14:paraId="3993BE73">
            <w:pPr>
              <w:pStyle w:val="42"/>
              <w:spacing w:beforeLines="0" w:afterLines="0" w:line="240" w:lineRule="auto"/>
              <w:rPr>
                <w:rFonts w:hint="default" w:ascii="Times New Roman" w:cs="宋体"/>
                <w:snapToGrid w:val="0"/>
                <w:color w:val="auto"/>
                <w:kern w:val="21"/>
                <w:szCs w:val="21"/>
                <w:highlight w:val="none"/>
                <w:lang w:val="en-US" w:eastAsia="zh-CN"/>
              </w:rPr>
            </w:pPr>
            <w:r>
              <w:rPr>
                <w:rFonts w:hint="eastAsia" w:ascii="Times New Roman" w:cs="宋体"/>
                <w:snapToGrid w:val="0"/>
                <w:color w:val="auto"/>
                <w:kern w:val="21"/>
                <w:szCs w:val="21"/>
                <w:highlight w:val="none"/>
                <w:lang w:val="en-US" w:eastAsia="zh-CN"/>
              </w:rPr>
              <w:t>0.3</w:t>
            </w:r>
            <w:r>
              <w:rPr>
                <w:rFonts w:hint="eastAsia" w:ascii="Times New Roman" w:cs="宋体"/>
                <w:snapToGrid w:val="0"/>
                <w:color w:val="auto"/>
                <w:kern w:val="21"/>
                <w:szCs w:val="21"/>
                <w:highlight w:val="none"/>
              </w:rPr>
              <w:t>t/a</w:t>
            </w:r>
          </w:p>
        </w:tc>
        <w:tc>
          <w:tcPr>
            <w:tcW w:w="579" w:type="pct"/>
            <w:vAlign w:val="center"/>
          </w:tcPr>
          <w:p w14:paraId="2E4A24A2">
            <w:pPr>
              <w:jc w:val="center"/>
              <w:rPr>
                <w:rFonts w:hint="eastAsia" w:eastAsia="宋体" w:cs="宋体"/>
                <w:snapToGrid w:val="0"/>
                <w:color w:val="auto"/>
                <w:kern w:val="21"/>
                <w:szCs w:val="21"/>
                <w:lang w:val="en-US" w:eastAsia="zh-CN"/>
              </w:rPr>
            </w:pPr>
            <w:r>
              <w:rPr>
                <w:rFonts w:hint="eastAsia" w:cs="宋体"/>
                <w:snapToGrid w:val="0"/>
                <w:color w:val="auto"/>
                <w:kern w:val="21"/>
                <w:szCs w:val="21"/>
                <w:lang w:val="en-US" w:eastAsia="zh-CN"/>
              </w:rPr>
              <w:t>/</w:t>
            </w:r>
          </w:p>
        </w:tc>
        <w:tc>
          <w:tcPr>
            <w:tcW w:w="707" w:type="pct"/>
            <w:vAlign w:val="center"/>
          </w:tcPr>
          <w:p w14:paraId="432F3CDB">
            <w:pPr>
              <w:pStyle w:val="42"/>
              <w:spacing w:beforeLines="0" w:afterLines="0" w:line="240" w:lineRule="auto"/>
              <w:rPr>
                <w:rFonts w:hint="default" w:ascii="Times New Roman" w:eastAsia="宋体" w:cs="宋体"/>
                <w:snapToGrid w:val="0"/>
                <w:color w:val="auto"/>
                <w:kern w:val="21"/>
                <w:szCs w:val="21"/>
                <w:lang w:val="en-US" w:eastAsia="zh-CN"/>
              </w:rPr>
            </w:pPr>
            <w:r>
              <w:rPr>
                <w:rFonts w:hint="eastAsia" w:ascii="Times New Roman" w:cs="宋体"/>
                <w:snapToGrid w:val="0"/>
                <w:color w:val="auto"/>
                <w:kern w:val="21"/>
                <w:szCs w:val="21"/>
                <w:lang w:val="en-US" w:eastAsia="zh-CN"/>
              </w:rPr>
              <w:t>废品回收站处置</w:t>
            </w:r>
          </w:p>
        </w:tc>
        <w:tc>
          <w:tcPr>
            <w:tcW w:w="509" w:type="pct"/>
            <w:vAlign w:val="center"/>
          </w:tcPr>
          <w:p w14:paraId="4F87E480">
            <w:pPr>
              <w:pStyle w:val="42"/>
              <w:spacing w:beforeLines="0" w:afterLines="0" w:line="240" w:lineRule="auto"/>
              <w:rPr>
                <w:rFonts w:hint="eastAsia" w:ascii="Times New Roman" w:eastAsia="宋体" w:cs="宋体"/>
                <w:snapToGrid w:val="0"/>
                <w:color w:val="auto"/>
                <w:kern w:val="21"/>
                <w:szCs w:val="21"/>
                <w:lang w:val="en-US" w:eastAsia="zh-CN"/>
              </w:rPr>
            </w:pPr>
            <w:r>
              <w:rPr>
                <w:rFonts w:hint="eastAsia" w:ascii="Times New Roman" w:cs="宋体"/>
                <w:snapToGrid w:val="0"/>
                <w:color w:val="auto"/>
                <w:kern w:val="21"/>
                <w:szCs w:val="21"/>
                <w:lang w:val="en-US" w:eastAsia="zh-CN"/>
              </w:rPr>
              <w:t>/</w:t>
            </w:r>
          </w:p>
        </w:tc>
      </w:tr>
      <w:tr w14:paraId="45C3E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restart"/>
            <w:vAlign w:val="center"/>
          </w:tcPr>
          <w:p w14:paraId="2C1E4050">
            <w:pPr>
              <w:pStyle w:val="42"/>
              <w:spacing w:beforeLines="0" w:afterLines="0" w:line="240" w:lineRule="auto"/>
              <w:rPr>
                <w:rFonts w:hint="eastAsia" w:ascii="Times New Roman" w:cs="宋体"/>
                <w:snapToGrid w:val="0"/>
                <w:color w:val="auto"/>
                <w:kern w:val="21"/>
                <w:szCs w:val="21"/>
                <w:lang w:val="en-US" w:eastAsia="zh-CN"/>
              </w:rPr>
            </w:pPr>
            <w:r>
              <w:rPr>
                <w:rFonts w:hint="eastAsia" w:ascii="Times New Roman" w:cs="宋体"/>
                <w:snapToGrid w:val="0"/>
                <w:color w:val="auto"/>
                <w:kern w:val="21"/>
                <w:szCs w:val="21"/>
                <w:lang w:val="en-US" w:eastAsia="zh-CN"/>
              </w:rPr>
              <w:t>危险废物</w:t>
            </w:r>
          </w:p>
        </w:tc>
        <w:tc>
          <w:tcPr>
            <w:tcW w:w="555" w:type="pct"/>
            <w:vAlign w:val="center"/>
          </w:tcPr>
          <w:p w14:paraId="68B507CA">
            <w:pPr>
              <w:pStyle w:val="42"/>
              <w:spacing w:beforeLines="0" w:afterLines="0" w:line="240" w:lineRule="auto"/>
              <w:rPr>
                <w:rFonts w:hint="default" w:ascii="Times New Roman"/>
                <w:snapToGrid w:val="0"/>
                <w:color w:val="auto"/>
                <w:spacing w:val="-6"/>
                <w:kern w:val="21"/>
                <w:szCs w:val="21"/>
                <w:highlight w:val="none"/>
                <w:lang w:val="en-US" w:eastAsia="zh-CN"/>
              </w:rPr>
            </w:pPr>
            <w:r>
              <w:rPr>
                <w:rFonts w:hint="eastAsia" w:ascii="Times New Roman"/>
                <w:snapToGrid w:val="0"/>
                <w:color w:val="auto"/>
                <w:spacing w:val="-6"/>
                <w:kern w:val="21"/>
                <w:szCs w:val="21"/>
                <w:highlight w:val="none"/>
                <w:lang w:val="en-US" w:eastAsia="zh-CN"/>
              </w:rPr>
              <w:t>废机油</w:t>
            </w:r>
          </w:p>
        </w:tc>
        <w:tc>
          <w:tcPr>
            <w:tcW w:w="573" w:type="pct"/>
            <w:vAlign w:val="center"/>
          </w:tcPr>
          <w:p w14:paraId="396739BF">
            <w:pPr>
              <w:pStyle w:val="42"/>
              <w:spacing w:beforeLines="0" w:afterLines="0" w:line="240" w:lineRule="auto"/>
              <w:rPr>
                <w:rFonts w:hint="default" w:ascii="Times New Roman" w:cs="宋体"/>
                <w:snapToGrid w:val="0"/>
                <w:color w:val="auto"/>
                <w:kern w:val="21"/>
                <w:szCs w:val="21"/>
                <w:highlight w:val="none"/>
                <w:lang w:val="en-US" w:eastAsia="zh-CN"/>
              </w:rPr>
            </w:pPr>
            <w:r>
              <w:rPr>
                <w:rFonts w:hint="eastAsia" w:ascii="Times New Roman" w:cs="宋体"/>
                <w:snapToGrid w:val="0"/>
                <w:color w:val="auto"/>
                <w:kern w:val="21"/>
                <w:szCs w:val="21"/>
                <w:highlight w:val="none"/>
                <w:lang w:val="en-US" w:eastAsia="zh-CN"/>
              </w:rPr>
              <w:t>/</w:t>
            </w:r>
          </w:p>
        </w:tc>
        <w:tc>
          <w:tcPr>
            <w:tcW w:w="438" w:type="pct"/>
            <w:vAlign w:val="center"/>
          </w:tcPr>
          <w:p w14:paraId="4A3AABAE">
            <w:pPr>
              <w:jc w:val="center"/>
              <w:rPr>
                <w:rFonts w:hint="default" w:cs="宋体"/>
                <w:snapToGrid w:val="0"/>
                <w:color w:val="auto"/>
                <w:kern w:val="21"/>
                <w:szCs w:val="21"/>
                <w:highlight w:val="none"/>
                <w:lang w:val="en-US" w:eastAsia="zh-CN"/>
              </w:rPr>
            </w:pPr>
            <w:r>
              <w:rPr>
                <w:rFonts w:hint="eastAsia" w:cs="宋体"/>
                <w:snapToGrid w:val="0"/>
                <w:color w:val="auto"/>
                <w:kern w:val="21"/>
                <w:szCs w:val="21"/>
                <w:highlight w:val="none"/>
                <w:lang w:val="en-US" w:eastAsia="zh-CN"/>
              </w:rPr>
              <w:t>/</w:t>
            </w:r>
          </w:p>
        </w:tc>
        <w:tc>
          <w:tcPr>
            <w:tcW w:w="588" w:type="pct"/>
            <w:vAlign w:val="center"/>
          </w:tcPr>
          <w:p w14:paraId="582403BB">
            <w:pPr>
              <w:jc w:val="center"/>
              <w:rPr>
                <w:rFonts w:hint="default" w:cs="宋体"/>
                <w:snapToGrid w:val="0"/>
                <w:color w:val="auto"/>
                <w:kern w:val="21"/>
                <w:szCs w:val="21"/>
                <w:highlight w:val="none"/>
                <w:lang w:val="en-US" w:eastAsia="zh-CN"/>
              </w:rPr>
            </w:pPr>
            <w:r>
              <w:rPr>
                <w:rFonts w:hint="eastAsia" w:cs="宋体"/>
                <w:snapToGrid w:val="0"/>
                <w:color w:val="auto"/>
                <w:kern w:val="21"/>
                <w:szCs w:val="21"/>
                <w:highlight w:val="none"/>
                <w:lang w:val="en-US" w:eastAsia="zh-CN"/>
              </w:rPr>
              <w:t>/</w:t>
            </w:r>
          </w:p>
        </w:tc>
        <w:tc>
          <w:tcPr>
            <w:tcW w:w="608" w:type="pct"/>
            <w:vAlign w:val="center"/>
          </w:tcPr>
          <w:p w14:paraId="5B99C839">
            <w:pPr>
              <w:pStyle w:val="42"/>
              <w:spacing w:beforeLines="0" w:afterLines="0" w:line="240" w:lineRule="auto"/>
              <w:rPr>
                <w:rFonts w:hint="eastAsia" w:ascii="Times New Roman" w:cs="宋体"/>
                <w:snapToGrid w:val="0"/>
                <w:color w:val="auto"/>
                <w:kern w:val="21"/>
                <w:szCs w:val="21"/>
                <w:highlight w:val="none"/>
                <w:lang w:val="en-US" w:eastAsia="zh-CN"/>
              </w:rPr>
            </w:pPr>
            <w:r>
              <w:rPr>
                <w:rFonts w:hint="eastAsia" w:ascii="Times New Roman" w:cs="宋体"/>
                <w:snapToGrid w:val="0"/>
                <w:color w:val="auto"/>
                <w:kern w:val="21"/>
                <w:szCs w:val="21"/>
                <w:highlight w:val="none"/>
                <w:lang w:val="en-US" w:eastAsia="zh-CN"/>
              </w:rPr>
              <w:t>0.03</w:t>
            </w:r>
            <w:r>
              <w:rPr>
                <w:rFonts w:hint="eastAsia" w:ascii="Times New Roman" w:cs="宋体"/>
                <w:snapToGrid w:val="0"/>
                <w:color w:val="auto"/>
                <w:kern w:val="21"/>
                <w:szCs w:val="21"/>
                <w:highlight w:val="none"/>
              </w:rPr>
              <w:t>t/a</w:t>
            </w:r>
          </w:p>
        </w:tc>
        <w:tc>
          <w:tcPr>
            <w:tcW w:w="579" w:type="pct"/>
            <w:vAlign w:val="center"/>
          </w:tcPr>
          <w:p w14:paraId="5B04A748">
            <w:pPr>
              <w:jc w:val="center"/>
              <w:rPr>
                <w:rFonts w:hint="default" w:cs="宋体"/>
                <w:snapToGrid w:val="0"/>
                <w:color w:val="auto"/>
                <w:kern w:val="21"/>
                <w:szCs w:val="21"/>
                <w:lang w:val="en-US" w:eastAsia="zh-CN"/>
              </w:rPr>
            </w:pPr>
            <w:r>
              <w:rPr>
                <w:rFonts w:hint="eastAsia" w:cs="宋体"/>
                <w:snapToGrid w:val="0"/>
                <w:color w:val="auto"/>
                <w:kern w:val="21"/>
                <w:szCs w:val="21"/>
                <w:lang w:val="en-US" w:eastAsia="zh-CN"/>
              </w:rPr>
              <w:t>/</w:t>
            </w:r>
          </w:p>
        </w:tc>
        <w:tc>
          <w:tcPr>
            <w:tcW w:w="707" w:type="pct"/>
            <w:vMerge w:val="restart"/>
            <w:vAlign w:val="center"/>
          </w:tcPr>
          <w:p w14:paraId="2BBD2690">
            <w:pPr>
              <w:pStyle w:val="42"/>
              <w:spacing w:beforeLines="0" w:afterLines="0" w:line="240" w:lineRule="auto"/>
              <w:rPr>
                <w:rFonts w:hint="eastAsia" w:ascii="Times New Roman" w:cs="宋体"/>
                <w:snapToGrid w:val="0"/>
                <w:color w:val="auto"/>
                <w:kern w:val="21"/>
                <w:szCs w:val="21"/>
                <w:lang w:val="en-US" w:eastAsia="zh-CN"/>
              </w:rPr>
            </w:pPr>
            <w:r>
              <w:rPr>
                <w:rFonts w:hint="eastAsia" w:ascii="Times New Roman" w:cs="宋体"/>
                <w:snapToGrid w:val="0"/>
                <w:color w:val="auto"/>
                <w:kern w:val="21"/>
                <w:szCs w:val="21"/>
                <w:lang w:val="en-US" w:eastAsia="zh-CN"/>
              </w:rPr>
              <w:t>暂存于危废间，委托有资质单位处置</w:t>
            </w:r>
          </w:p>
        </w:tc>
        <w:tc>
          <w:tcPr>
            <w:tcW w:w="509" w:type="pct"/>
            <w:vAlign w:val="center"/>
          </w:tcPr>
          <w:p w14:paraId="47E1F764">
            <w:pPr>
              <w:pStyle w:val="42"/>
              <w:spacing w:beforeLines="0" w:afterLines="0" w:line="240" w:lineRule="auto"/>
              <w:rPr>
                <w:rFonts w:hint="default" w:ascii="Times New Roman" w:cs="宋体"/>
                <w:snapToGrid w:val="0"/>
                <w:color w:val="auto"/>
                <w:kern w:val="21"/>
                <w:szCs w:val="21"/>
                <w:lang w:val="en-US" w:eastAsia="zh-CN"/>
              </w:rPr>
            </w:pPr>
            <w:r>
              <w:rPr>
                <w:rFonts w:hint="eastAsia" w:ascii="Times New Roman" w:cs="宋体"/>
                <w:snapToGrid w:val="0"/>
                <w:color w:val="auto"/>
                <w:kern w:val="21"/>
                <w:szCs w:val="21"/>
                <w:lang w:val="en-US" w:eastAsia="zh-CN"/>
              </w:rPr>
              <w:t>/</w:t>
            </w:r>
          </w:p>
        </w:tc>
      </w:tr>
      <w:tr w14:paraId="6D97A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continue"/>
            <w:vAlign w:val="center"/>
          </w:tcPr>
          <w:p w14:paraId="6A912B4E">
            <w:pPr>
              <w:pStyle w:val="42"/>
              <w:spacing w:beforeLines="0" w:afterLines="0" w:line="240" w:lineRule="auto"/>
              <w:rPr>
                <w:rFonts w:hint="eastAsia" w:ascii="Times New Roman" w:cs="宋体"/>
                <w:snapToGrid w:val="0"/>
                <w:color w:val="auto"/>
                <w:kern w:val="21"/>
                <w:szCs w:val="21"/>
                <w:lang w:val="en-US" w:eastAsia="zh-CN"/>
              </w:rPr>
            </w:pPr>
          </w:p>
        </w:tc>
        <w:tc>
          <w:tcPr>
            <w:tcW w:w="555" w:type="pct"/>
            <w:vAlign w:val="center"/>
          </w:tcPr>
          <w:p w14:paraId="45EC0D66">
            <w:pPr>
              <w:pStyle w:val="42"/>
              <w:spacing w:beforeLines="0" w:afterLines="0" w:line="240" w:lineRule="auto"/>
              <w:rPr>
                <w:rFonts w:hint="default" w:ascii="Times New Roman"/>
                <w:snapToGrid w:val="0"/>
                <w:color w:val="auto"/>
                <w:spacing w:val="-6"/>
                <w:kern w:val="21"/>
                <w:szCs w:val="21"/>
                <w:highlight w:val="none"/>
                <w:lang w:val="en-US" w:eastAsia="zh-CN"/>
              </w:rPr>
            </w:pPr>
            <w:r>
              <w:rPr>
                <w:rFonts w:hint="eastAsia" w:ascii="Times New Roman"/>
                <w:snapToGrid w:val="0"/>
                <w:color w:val="auto"/>
                <w:spacing w:val="-6"/>
                <w:kern w:val="21"/>
                <w:szCs w:val="21"/>
                <w:highlight w:val="none"/>
                <w:lang w:val="en-US" w:eastAsia="zh-CN"/>
              </w:rPr>
              <w:t>废乳化液</w:t>
            </w:r>
          </w:p>
        </w:tc>
        <w:tc>
          <w:tcPr>
            <w:tcW w:w="573" w:type="pct"/>
            <w:vAlign w:val="center"/>
          </w:tcPr>
          <w:p w14:paraId="0DC94F54">
            <w:pPr>
              <w:pStyle w:val="42"/>
              <w:spacing w:beforeLines="0" w:afterLines="0" w:line="240" w:lineRule="auto"/>
              <w:rPr>
                <w:rFonts w:hint="default" w:ascii="Times New Roman" w:cs="宋体"/>
                <w:snapToGrid w:val="0"/>
                <w:color w:val="auto"/>
                <w:kern w:val="21"/>
                <w:szCs w:val="21"/>
                <w:highlight w:val="none"/>
                <w:lang w:val="en-US" w:eastAsia="zh-CN"/>
              </w:rPr>
            </w:pPr>
            <w:r>
              <w:rPr>
                <w:rFonts w:hint="eastAsia" w:ascii="Times New Roman" w:cs="宋体"/>
                <w:snapToGrid w:val="0"/>
                <w:color w:val="auto"/>
                <w:kern w:val="21"/>
                <w:szCs w:val="21"/>
                <w:highlight w:val="none"/>
                <w:lang w:val="en-US" w:eastAsia="zh-CN"/>
              </w:rPr>
              <w:t>/</w:t>
            </w:r>
          </w:p>
        </w:tc>
        <w:tc>
          <w:tcPr>
            <w:tcW w:w="438" w:type="pct"/>
            <w:vAlign w:val="center"/>
          </w:tcPr>
          <w:p w14:paraId="38536D95">
            <w:pPr>
              <w:jc w:val="center"/>
              <w:rPr>
                <w:rFonts w:hint="default" w:cs="宋体"/>
                <w:snapToGrid w:val="0"/>
                <w:color w:val="auto"/>
                <w:kern w:val="21"/>
                <w:szCs w:val="21"/>
                <w:highlight w:val="none"/>
                <w:lang w:val="en-US" w:eastAsia="zh-CN"/>
              </w:rPr>
            </w:pPr>
            <w:r>
              <w:rPr>
                <w:rFonts w:hint="eastAsia" w:cs="宋体"/>
                <w:snapToGrid w:val="0"/>
                <w:color w:val="auto"/>
                <w:kern w:val="21"/>
                <w:szCs w:val="21"/>
                <w:highlight w:val="none"/>
                <w:lang w:val="en-US" w:eastAsia="zh-CN"/>
              </w:rPr>
              <w:t>/</w:t>
            </w:r>
          </w:p>
        </w:tc>
        <w:tc>
          <w:tcPr>
            <w:tcW w:w="588" w:type="pct"/>
            <w:vAlign w:val="center"/>
          </w:tcPr>
          <w:p w14:paraId="7320DB93">
            <w:pPr>
              <w:jc w:val="center"/>
              <w:rPr>
                <w:rFonts w:hint="default" w:cs="宋体"/>
                <w:snapToGrid w:val="0"/>
                <w:color w:val="auto"/>
                <w:kern w:val="21"/>
                <w:szCs w:val="21"/>
                <w:highlight w:val="none"/>
                <w:lang w:val="en-US" w:eastAsia="zh-CN"/>
              </w:rPr>
            </w:pPr>
            <w:r>
              <w:rPr>
                <w:rFonts w:hint="eastAsia" w:cs="宋体"/>
                <w:snapToGrid w:val="0"/>
                <w:color w:val="auto"/>
                <w:kern w:val="21"/>
                <w:szCs w:val="21"/>
                <w:highlight w:val="none"/>
                <w:lang w:val="en-US" w:eastAsia="zh-CN"/>
              </w:rPr>
              <w:t>/</w:t>
            </w:r>
          </w:p>
        </w:tc>
        <w:tc>
          <w:tcPr>
            <w:tcW w:w="608" w:type="pct"/>
            <w:vAlign w:val="center"/>
          </w:tcPr>
          <w:p w14:paraId="14029FBF">
            <w:pPr>
              <w:pStyle w:val="42"/>
              <w:spacing w:beforeLines="0" w:afterLines="0" w:line="240" w:lineRule="auto"/>
              <w:rPr>
                <w:rFonts w:hint="eastAsia" w:ascii="Times New Roman" w:cs="宋体"/>
                <w:snapToGrid w:val="0"/>
                <w:color w:val="auto"/>
                <w:kern w:val="21"/>
                <w:szCs w:val="21"/>
                <w:highlight w:val="none"/>
                <w:lang w:val="en-US" w:eastAsia="zh-CN"/>
              </w:rPr>
            </w:pPr>
            <w:r>
              <w:rPr>
                <w:rFonts w:hint="eastAsia" w:ascii="Times New Roman" w:cs="宋体"/>
                <w:snapToGrid w:val="0"/>
                <w:color w:val="auto"/>
                <w:kern w:val="21"/>
                <w:szCs w:val="21"/>
                <w:highlight w:val="none"/>
                <w:lang w:val="en-US" w:eastAsia="zh-CN"/>
              </w:rPr>
              <w:t>1.2</w:t>
            </w:r>
            <w:r>
              <w:rPr>
                <w:rFonts w:hint="eastAsia" w:ascii="Times New Roman" w:cs="宋体"/>
                <w:snapToGrid w:val="0"/>
                <w:color w:val="auto"/>
                <w:kern w:val="21"/>
                <w:szCs w:val="21"/>
                <w:highlight w:val="none"/>
              </w:rPr>
              <w:t>t/a</w:t>
            </w:r>
          </w:p>
        </w:tc>
        <w:tc>
          <w:tcPr>
            <w:tcW w:w="579" w:type="pct"/>
            <w:vAlign w:val="center"/>
          </w:tcPr>
          <w:p w14:paraId="5F72E3ED">
            <w:pPr>
              <w:jc w:val="center"/>
              <w:rPr>
                <w:rFonts w:hint="default" w:cs="宋体"/>
                <w:snapToGrid w:val="0"/>
                <w:color w:val="auto"/>
                <w:kern w:val="21"/>
                <w:szCs w:val="21"/>
                <w:lang w:val="en-US" w:eastAsia="zh-CN"/>
              </w:rPr>
            </w:pPr>
            <w:r>
              <w:rPr>
                <w:rFonts w:hint="eastAsia" w:cs="宋体"/>
                <w:snapToGrid w:val="0"/>
                <w:color w:val="auto"/>
                <w:kern w:val="21"/>
                <w:szCs w:val="21"/>
                <w:lang w:val="en-US" w:eastAsia="zh-CN"/>
              </w:rPr>
              <w:t>/</w:t>
            </w:r>
          </w:p>
        </w:tc>
        <w:tc>
          <w:tcPr>
            <w:tcW w:w="707" w:type="pct"/>
            <w:vMerge w:val="continue"/>
            <w:vAlign w:val="center"/>
          </w:tcPr>
          <w:p w14:paraId="5C5262DC">
            <w:pPr>
              <w:pStyle w:val="42"/>
              <w:spacing w:beforeLines="0" w:afterLines="0" w:line="240" w:lineRule="auto"/>
              <w:rPr>
                <w:rFonts w:hint="eastAsia" w:ascii="Times New Roman" w:cs="宋体"/>
                <w:snapToGrid w:val="0"/>
                <w:color w:val="auto"/>
                <w:kern w:val="21"/>
                <w:szCs w:val="21"/>
                <w:lang w:val="en-US" w:eastAsia="zh-CN"/>
              </w:rPr>
            </w:pPr>
          </w:p>
        </w:tc>
        <w:tc>
          <w:tcPr>
            <w:tcW w:w="509" w:type="pct"/>
            <w:vAlign w:val="center"/>
          </w:tcPr>
          <w:p w14:paraId="237AA474">
            <w:pPr>
              <w:pStyle w:val="42"/>
              <w:spacing w:beforeLines="0" w:afterLines="0" w:line="240" w:lineRule="auto"/>
              <w:rPr>
                <w:rFonts w:hint="default" w:ascii="Times New Roman" w:cs="宋体"/>
                <w:snapToGrid w:val="0"/>
                <w:color w:val="auto"/>
                <w:kern w:val="21"/>
                <w:szCs w:val="21"/>
                <w:lang w:val="en-US" w:eastAsia="zh-CN"/>
              </w:rPr>
            </w:pPr>
            <w:r>
              <w:rPr>
                <w:rFonts w:hint="eastAsia" w:ascii="Times New Roman" w:cs="宋体"/>
                <w:snapToGrid w:val="0"/>
                <w:color w:val="auto"/>
                <w:kern w:val="21"/>
                <w:szCs w:val="21"/>
                <w:lang w:val="en-US" w:eastAsia="zh-CN"/>
              </w:rPr>
              <w:t>/</w:t>
            </w:r>
          </w:p>
        </w:tc>
      </w:tr>
      <w:tr w14:paraId="10FC5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continue"/>
            <w:vAlign w:val="center"/>
          </w:tcPr>
          <w:p w14:paraId="7686089D">
            <w:pPr>
              <w:pStyle w:val="42"/>
              <w:spacing w:beforeLines="0" w:afterLines="0" w:line="240" w:lineRule="auto"/>
              <w:rPr>
                <w:rFonts w:hint="eastAsia" w:ascii="Times New Roman" w:cs="宋体"/>
                <w:snapToGrid w:val="0"/>
                <w:color w:val="auto"/>
                <w:kern w:val="21"/>
                <w:szCs w:val="21"/>
                <w:lang w:val="en-US" w:eastAsia="zh-CN"/>
              </w:rPr>
            </w:pPr>
          </w:p>
        </w:tc>
        <w:tc>
          <w:tcPr>
            <w:tcW w:w="555" w:type="pct"/>
            <w:vAlign w:val="center"/>
          </w:tcPr>
          <w:p w14:paraId="412A4FA0">
            <w:pPr>
              <w:pStyle w:val="42"/>
              <w:spacing w:beforeLines="0" w:afterLines="0" w:line="240" w:lineRule="auto"/>
              <w:rPr>
                <w:rFonts w:hint="default" w:ascii="Times New Roman"/>
                <w:snapToGrid w:val="0"/>
                <w:color w:val="auto"/>
                <w:spacing w:val="-6"/>
                <w:kern w:val="21"/>
                <w:szCs w:val="21"/>
                <w:highlight w:val="none"/>
                <w:lang w:val="en-US" w:eastAsia="zh-CN"/>
              </w:rPr>
            </w:pPr>
            <w:r>
              <w:rPr>
                <w:rFonts w:hint="eastAsia" w:ascii="Times New Roman"/>
                <w:snapToGrid w:val="0"/>
                <w:color w:val="auto"/>
                <w:spacing w:val="-6"/>
                <w:kern w:val="21"/>
                <w:szCs w:val="21"/>
                <w:highlight w:val="none"/>
                <w:lang w:val="en-US" w:eastAsia="zh-CN"/>
              </w:rPr>
              <w:t>废液压油</w:t>
            </w:r>
          </w:p>
        </w:tc>
        <w:tc>
          <w:tcPr>
            <w:tcW w:w="573" w:type="pct"/>
            <w:vAlign w:val="center"/>
          </w:tcPr>
          <w:p w14:paraId="64691908">
            <w:pPr>
              <w:pStyle w:val="42"/>
              <w:spacing w:beforeLines="0" w:afterLines="0" w:line="240" w:lineRule="auto"/>
              <w:rPr>
                <w:rFonts w:hint="default" w:ascii="Times New Roman" w:cs="宋体"/>
                <w:snapToGrid w:val="0"/>
                <w:color w:val="auto"/>
                <w:kern w:val="21"/>
                <w:szCs w:val="21"/>
                <w:highlight w:val="none"/>
                <w:lang w:val="en-US" w:eastAsia="zh-CN"/>
              </w:rPr>
            </w:pPr>
            <w:r>
              <w:rPr>
                <w:rFonts w:hint="eastAsia" w:ascii="Times New Roman" w:cs="宋体"/>
                <w:snapToGrid w:val="0"/>
                <w:color w:val="auto"/>
                <w:kern w:val="21"/>
                <w:szCs w:val="21"/>
                <w:highlight w:val="none"/>
                <w:lang w:val="en-US" w:eastAsia="zh-CN"/>
              </w:rPr>
              <w:t>/</w:t>
            </w:r>
          </w:p>
        </w:tc>
        <w:tc>
          <w:tcPr>
            <w:tcW w:w="438" w:type="pct"/>
            <w:vAlign w:val="center"/>
          </w:tcPr>
          <w:p w14:paraId="72C7641E">
            <w:pPr>
              <w:jc w:val="center"/>
              <w:rPr>
                <w:rFonts w:hint="default" w:cs="宋体"/>
                <w:snapToGrid w:val="0"/>
                <w:color w:val="auto"/>
                <w:kern w:val="21"/>
                <w:szCs w:val="21"/>
                <w:highlight w:val="none"/>
                <w:lang w:val="en-US" w:eastAsia="zh-CN"/>
              </w:rPr>
            </w:pPr>
            <w:r>
              <w:rPr>
                <w:rFonts w:hint="eastAsia" w:cs="宋体"/>
                <w:snapToGrid w:val="0"/>
                <w:color w:val="auto"/>
                <w:kern w:val="21"/>
                <w:szCs w:val="21"/>
                <w:highlight w:val="none"/>
                <w:lang w:val="en-US" w:eastAsia="zh-CN"/>
              </w:rPr>
              <w:t>/</w:t>
            </w:r>
          </w:p>
        </w:tc>
        <w:tc>
          <w:tcPr>
            <w:tcW w:w="588" w:type="pct"/>
            <w:vAlign w:val="center"/>
          </w:tcPr>
          <w:p w14:paraId="52AFDBF5">
            <w:pPr>
              <w:jc w:val="center"/>
              <w:rPr>
                <w:rFonts w:hint="default" w:cs="宋体"/>
                <w:snapToGrid w:val="0"/>
                <w:color w:val="auto"/>
                <w:kern w:val="21"/>
                <w:szCs w:val="21"/>
                <w:highlight w:val="none"/>
                <w:lang w:val="en-US" w:eastAsia="zh-CN"/>
              </w:rPr>
            </w:pPr>
            <w:r>
              <w:rPr>
                <w:rFonts w:hint="eastAsia" w:cs="宋体"/>
                <w:snapToGrid w:val="0"/>
                <w:color w:val="auto"/>
                <w:kern w:val="21"/>
                <w:szCs w:val="21"/>
                <w:highlight w:val="none"/>
                <w:lang w:val="en-US" w:eastAsia="zh-CN"/>
              </w:rPr>
              <w:t>/</w:t>
            </w:r>
          </w:p>
        </w:tc>
        <w:tc>
          <w:tcPr>
            <w:tcW w:w="608" w:type="pct"/>
            <w:vAlign w:val="center"/>
          </w:tcPr>
          <w:p w14:paraId="7A1B7298">
            <w:pPr>
              <w:pStyle w:val="42"/>
              <w:spacing w:beforeLines="0" w:afterLines="0" w:line="240" w:lineRule="auto"/>
              <w:rPr>
                <w:rFonts w:hint="eastAsia" w:ascii="Times New Roman" w:cs="宋体"/>
                <w:snapToGrid w:val="0"/>
                <w:color w:val="auto"/>
                <w:kern w:val="21"/>
                <w:szCs w:val="21"/>
                <w:highlight w:val="none"/>
                <w:lang w:val="en-US" w:eastAsia="zh-CN"/>
              </w:rPr>
            </w:pPr>
            <w:r>
              <w:rPr>
                <w:rFonts w:hint="eastAsia" w:ascii="Times New Roman" w:cs="宋体"/>
                <w:snapToGrid w:val="0"/>
                <w:color w:val="auto"/>
                <w:kern w:val="21"/>
                <w:szCs w:val="21"/>
                <w:highlight w:val="none"/>
                <w:lang w:val="en-US" w:eastAsia="zh-CN"/>
              </w:rPr>
              <w:t>0.02</w:t>
            </w:r>
            <w:r>
              <w:rPr>
                <w:rFonts w:hint="eastAsia" w:ascii="Times New Roman" w:cs="宋体"/>
                <w:snapToGrid w:val="0"/>
                <w:color w:val="auto"/>
                <w:kern w:val="21"/>
                <w:szCs w:val="21"/>
                <w:highlight w:val="none"/>
              </w:rPr>
              <w:t>t/a</w:t>
            </w:r>
          </w:p>
        </w:tc>
        <w:tc>
          <w:tcPr>
            <w:tcW w:w="579" w:type="pct"/>
            <w:vAlign w:val="center"/>
          </w:tcPr>
          <w:p w14:paraId="112AEE63">
            <w:pPr>
              <w:jc w:val="center"/>
              <w:rPr>
                <w:rFonts w:hint="default" w:cs="宋体"/>
                <w:snapToGrid w:val="0"/>
                <w:color w:val="auto"/>
                <w:kern w:val="21"/>
                <w:szCs w:val="21"/>
                <w:lang w:val="en-US" w:eastAsia="zh-CN"/>
              </w:rPr>
            </w:pPr>
            <w:r>
              <w:rPr>
                <w:rFonts w:hint="eastAsia" w:cs="宋体"/>
                <w:snapToGrid w:val="0"/>
                <w:color w:val="auto"/>
                <w:kern w:val="21"/>
                <w:szCs w:val="21"/>
                <w:lang w:val="en-US" w:eastAsia="zh-CN"/>
              </w:rPr>
              <w:t>/</w:t>
            </w:r>
          </w:p>
        </w:tc>
        <w:tc>
          <w:tcPr>
            <w:tcW w:w="707" w:type="pct"/>
            <w:vMerge w:val="continue"/>
            <w:vAlign w:val="center"/>
          </w:tcPr>
          <w:p w14:paraId="470625D0">
            <w:pPr>
              <w:pStyle w:val="42"/>
              <w:spacing w:beforeLines="0" w:afterLines="0" w:line="240" w:lineRule="auto"/>
              <w:rPr>
                <w:rFonts w:hint="eastAsia" w:ascii="Times New Roman" w:cs="宋体"/>
                <w:snapToGrid w:val="0"/>
                <w:color w:val="auto"/>
                <w:kern w:val="21"/>
                <w:szCs w:val="21"/>
                <w:lang w:val="en-US" w:eastAsia="zh-CN"/>
              </w:rPr>
            </w:pPr>
          </w:p>
        </w:tc>
        <w:tc>
          <w:tcPr>
            <w:tcW w:w="509" w:type="pct"/>
            <w:vAlign w:val="center"/>
          </w:tcPr>
          <w:p w14:paraId="56DDD429">
            <w:pPr>
              <w:pStyle w:val="42"/>
              <w:spacing w:beforeLines="0" w:afterLines="0" w:line="240" w:lineRule="auto"/>
              <w:rPr>
                <w:rFonts w:hint="default" w:ascii="Times New Roman" w:cs="宋体"/>
                <w:snapToGrid w:val="0"/>
                <w:color w:val="auto"/>
                <w:kern w:val="21"/>
                <w:szCs w:val="21"/>
                <w:lang w:val="en-US" w:eastAsia="zh-CN"/>
              </w:rPr>
            </w:pPr>
            <w:r>
              <w:rPr>
                <w:rFonts w:hint="eastAsia" w:ascii="Times New Roman" w:cs="宋体"/>
                <w:snapToGrid w:val="0"/>
                <w:color w:val="auto"/>
                <w:kern w:val="21"/>
                <w:szCs w:val="21"/>
                <w:lang w:val="en-US" w:eastAsia="zh-CN"/>
              </w:rPr>
              <w:t>/</w:t>
            </w:r>
          </w:p>
        </w:tc>
      </w:tr>
    </w:tbl>
    <w:p w14:paraId="2F2AE9DB">
      <w:pPr>
        <w:pStyle w:val="42"/>
        <w:spacing w:before="192" w:beforeLines="80" w:after="24"/>
        <w:jc w:val="left"/>
        <w:rPr>
          <w:rFonts w:hAnsi="宋体" w:eastAsia="黑体"/>
          <w:color w:val="auto"/>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sectPr>
      <w:footerReference r:id="rId5" w:type="default"/>
      <w:pgSz w:w="16838" w:h="11905" w:orient="landscape"/>
      <w:pgMar w:top="1531" w:right="2126" w:bottom="1531" w:left="1701" w:header="851" w:footer="851"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oto Sans CJK JP Medium">
    <w:altName w:val="Segoe Print"/>
    <w:panose1 w:val="00000000000000000000"/>
    <w:charset w:val="00"/>
    <w:family w:val="swiss"/>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4B759">
    <w:pPr>
      <w:pStyle w:val="15"/>
      <w:framePr w:wrap="around" w:vAnchor="text" w:hAnchor="margin" w:xAlign="center" w:y="1"/>
      <w:rPr>
        <w:rStyle w:val="28"/>
      </w:rPr>
    </w:pPr>
    <w:r>
      <w:fldChar w:fldCharType="begin"/>
    </w:r>
    <w:r>
      <w:rPr>
        <w:rStyle w:val="28"/>
      </w:rPr>
      <w:instrText xml:space="preserve">PAGE  </w:instrText>
    </w:r>
    <w:r>
      <w:fldChar w:fldCharType="end"/>
    </w:r>
  </w:p>
  <w:p w14:paraId="353AB9A8">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6C82A">
    <w:pPr>
      <w:pStyle w:val="15"/>
      <w:framePr w:wrap="around" w:vAnchor="text" w:hAnchor="margin" w:xAlign="outside" w:y="1"/>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34</w:t>
    </w:r>
    <w:r>
      <w:rPr>
        <w:rStyle w:val="28"/>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p w14:paraId="104910C6">
    <w:pPr>
      <w:pStyle w:val="15"/>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4A67">
    <w:pPr>
      <w:pStyle w:val="15"/>
      <w:framePr w:wrap="around" w:vAnchor="text" w:hAnchor="margin" w:xAlign="outside" w:y="1"/>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98</w:t>
    </w:r>
    <w:r>
      <w:rPr>
        <w:rStyle w:val="28"/>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p w14:paraId="7D072B88">
    <w:pPr>
      <w:pStyle w:val="1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561A5"/>
    <w:multiLevelType w:val="singleLevel"/>
    <w:tmpl w:val="877561A5"/>
    <w:lvl w:ilvl="0" w:tentative="0">
      <w:start w:val="1"/>
      <w:numFmt w:val="decimal"/>
      <w:suff w:val="nothing"/>
      <w:lvlText w:val="%1、"/>
      <w:lvlJc w:val="left"/>
    </w:lvl>
  </w:abstractNum>
  <w:abstractNum w:abstractNumId="1">
    <w:nsid w:val="9E7B99AC"/>
    <w:multiLevelType w:val="singleLevel"/>
    <w:tmpl w:val="9E7B99AC"/>
    <w:lvl w:ilvl="0" w:tentative="0">
      <w:start w:val="3"/>
      <w:numFmt w:val="decimal"/>
      <w:suff w:val="nothing"/>
      <w:lvlText w:val="（%1）"/>
      <w:lvlJc w:val="left"/>
    </w:lvl>
  </w:abstractNum>
  <w:abstractNum w:abstractNumId="2">
    <w:nsid w:val="EF5AC518"/>
    <w:multiLevelType w:val="singleLevel"/>
    <w:tmpl w:val="EF5AC518"/>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3">
    <w:nsid w:val="3062B6E0"/>
    <w:multiLevelType w:val="multilevel"/>
    <w:tmpl w:val="3062B6E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3AC573C2"/>
    <w:multiLevelType w:val="singleLevel"/>
    <w:tmpl w:val="3AC573C2"/>
    <w:lvl w:ilvl="0" w:tentative="0">
      <w:start w:val="2"/>
      <w:numFmt w:val="decimal"/>
      <w:suff w:val="nothing"/>
      <w:lvlText w:val="（%1）"/>
      <w:lvlJc w:val="left"/>
    </w:lvl>
  </w:abstractNum>
  <w:abstractNum w:abstractNumId="5">
    <w:nsid w:val="5A58FDEC"/>
    <w:multiLevelType w:val="singleLevel"/>
    <w:tmpl w:val="5A58FDEC"/>
    <w:lvl w:ilvl="0" w:tentative="0">
      <w:start w:val="2"/>
      <w:numFmt w:val="decimal"/>
      <w:suff w:val="nothing"/>
      <w:lvlText w:val="（%1）"/>
      <w:lvlJc w:val="left"/>
    </w:lvl>
  </w:abstractNum>
  <w:abstractNum w:abstractNumId="6">
    <w:nsid w:val="7179F470"/>
    <w:multiLevelType w:val="singleLevel"/>
    <w:tmpl w:val="7179F470"/>
    <w:lvl w:ilvl="0" w:tentative="0">
      <w:start w:val="5"/>
      <w:numFmt w:val="decimal"/>
      <w:suff w:val="nothing"/>
      <w:lvlText w:val="（%1）"/>
      <w:lvlJc w:val="left"/>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zY4NTVmNWNkM2FiOTE3MzcxMWViN2E1MTkyMzYifQ=="/>
  </w:docVars>
  <w:rsids>
    <w:rsidRoot w:val="00172A27"/>
    <w:rsid w:val="00002789"/>
    <w:rsid w:val="00004049"/>
    <w:rsid w:val="00005802"/>
    <w:rsid w:val="00005C4E"/>
    <w:rsid w:val="000060B3"/>
    <w:rsid w:val="00006A57"/>
    <w:rsid w:val="00017F50"/>
    <w:rsid w:val="00017F96"/>
    <w:rsid w:val="0002769E"/>
    <w:rsid w:val="000301CC"/>
    <w:rsid w:val="000330DD"/>
    <w:rsid w:val="0003704E"/>
    <w:rsid w:val="00040947"/>
    <w:rsid w:val="00040F19"/>
    <w:rsid w:val="00041058"/>
    <w:rsid w:val="0004364B"/>
    <w:rsid w:val="00044D2D"/>
    <w:rsid w:val="00045D03"/>
    <w:rsid w:val="00046D05"/>
    <w:rsid w:val="00051313"/>
    <w:rsid w:val="000534C9"/>
    <w:rsid w:val="00055887"/>
    <w:rsid w:val="00057AEB"/>
    <w:rsid w:val="00060AE1"/>
    <w:rsid w:val="00061B1F"/>
    <w:rsid w:val="00064791"/>
    <w:rsid w:val="00072056"/>
    <w:rsid w:val="000733C4"/>
    <w:rsid w:val="000737DF"/>
    <w:rsid w:val="00074783"/>
    <w:rsid w:val="00074AF0"/>
    <w:rsid w:val="000751DD"/>
    <w:rsid w:val="00075B83"/>
    <w:rsid w:val="000763C5"/>
    <w:rsid w:val="000800E7"/>
    <w:rsid w:val="0008070B"/>
    <w:rsid w:val="000810AC"/>
    <w:rsid w:val="00081A02"/>
    <w:rsid w:val="00082231"/>
    <w:rsid w:val="00082C39"/>
    <w:rsid w:val="000846C2"/>
    <w:rsid w:val="00084976"/>
    <w:rsid w:val="00085312"/>
    <w:rsid w:val="0008597F"/>
    <w:rsid w:val="00085A4A"/>
    <w:rsid w:val="00087251"/>
    <w:rsid w:val="00087398"/>
    <w:rsid w:val="00090DA1"/>
    <w:rsid w:val="00091019"/>
    <w:rsid w:val="00091D2E"/>
    <w:rsid w:val="00092D38"/>
    <w:rsid w:val="0009377B"/>
    <w:rsid w:val="00095A85"/>
    <w:rsid w:val="00096F17"/>
    <w:rsid w:val="000973D3"/>
    <w:rsid w:val="000978DE"/>
    <w:rsid w:val="000A20C9"/>
    <w:rsid w:val="000A4693"/>
    <w:rsid w:val="000A5BC8"/>
    <w:rsid w:val="000B058F"/>
    <w:rsid w:val="000B210C"/>
    <w:rsid w:val="000B4467"/>
    <w:rsid w:val="000B4DB9"/>
    <w:rsid w:val="000B5B45"/>
    <w:rsid w:val="000B789B"/>
    <w:rsid w:val="000C09AC"/>
    <w:rsid w:val="000C0BCA"/>
    <w:rsid w:val="000C2853"/>
    <w:rsid w:val="000C2983"/>
    <w:rsid w:val="000C5339"/>
    <w:rsid w:val="000C54BF"/>
    <w:rsid w:val="000C767F"/>
    <w:rsid w:val="000D21EC"/>
    <w:rsid w:val="000D4E60"/>
    <w:rsid w:val="000D5A44"/>
    <w:rsid w:val="000E086A"/>
    <w:rsid w:val="000E3ED2"/>
    <w:rsid w:val="000E65F8"/>
    <w:rsid w:val="000E6BAA"/>
    <w:rsid w:val="000E7698"/>
    <w:rsid w:val="000F2954"/>
    <w:rsid w:val="000F58A3"/>
    <w:rsid w:val="0010151B"/>
    <w:rsid w:val="001018CF"/>
    <w:rsid w:val="001028CC"/>
    <w:rsid w:val="0010321D"/>
    <w:rsid w:val="0011235B"/>
    <w:rsid w:val="001127A9"/>
    <w:rsid w:val="00116ED6"/>
    <w:rsid w:val="001256A6"/>
    <w:rsid w:val="00126981"/>
    <w:rsid w:val="00131D69"/>
    <w:rsid w:val="00131F42"/>
    <w:rsid w:val="00132564"/>
    <w:rsid w:val="00132628"/>
    <w:rsid w:val="00133F88"/>
    <w:rsid w:val="00135556"/>
    <w:rsid w:val="001357F1"/>
    <w:rsid w:val="001377E3"/>
    <w:rsid w:val="00140FA8"/>
    <w:rsid w:val="00142371"/>
    <w:rsid w:val="00142FEB"/>
    <w:rsid w:val="00143A2D"/>
    <w:rsid w:val="00145A41"/>
    <w:rsid w:val="00145ADC"/>
    <w:rsid w:val="00146464"/>
    <w:rsid w:val="0014674F"/>
    <w:rsid w:val="00147CDC"/>
    <w:rsid w:val="001507F4"/>
    <w:rsid w:val="00151675"/>
    <w:rsid w:val="00153539"/>
    <w:rsid w:val="001546E6"/>
    <w:rsid w:val="00154FB9"/>
    <w:rsid w:val="0015726B"/>
    <w:rsid w:val="00157435"/>
    <w:rsid w:val="00161F7B"/>
    <w:rsid w:val="001630BC"/>
    <w:rsid w:val="001673BC"/>
    <w:rsid w:val="00171E24"/>
    <w:rsid w:val="00172A27"/>
    <w:rsid w:val="00172F12"/>
    <w:rsid w:val="001747A3"/>
    <w:rsid w:val="0017504D"/>
    <w:rsid w:val="001757B5"/>
    <w:rsid w:val="0017671A"/>
    <w:rsid w:val="00177422"/>
    <w:rsid w:val="00181C3D"/>
    <w:rsid w:val="0018286A"/>
    <w:rsid w:val="00184590"/>
    <w:rsid w:val="00184751"/>
    <w:rsid w:val="00184FC1"/>
    <w:rsid w:val="001870D1"/>
    <w:rsid w:val="0018781E"/>
    <w:rsid w:val="00187BF3"/>
    <w:rsid w:val="00190FA0"/>
    <w:rsid w:val="0019262D"/>
    <w:rsid w:val="00196646"/>
    <w:rsid w:val="001A1508"/>
    <w:rsid w:val="001A1B35"/>
    <w:rsid w:val="001A48A2"/>
    <w:rsid w:val="001A56C9"/>
    <w:rsid w:val="001A56F7"/>
    <w:rsid w:val="001A6F61"/>
    <w:rsid w:val="001A75B2"/>
    <w:rsid w:val="001B01B0"/>
    <w:rsid w:val="001B2932"/>
    <w:rsid w:val="001B4AAD"/>
    <w:rsid w:val="001B72B8"/>
    <w:rsid w:val="001B7E93"/>
    <w:rsid w:val="001C075A"/>
    <w:rsid w:val="001C1980"/>
    <w:rsid w:val="001C36CF"/>
    <w:rsid w:val="001C4BFA"/>
    <w:rsid w:val="001C50DD"/>
    <w:rsid w:val="001C61C3"/>
    <w:rsid w:val="001C69B3"/>
    <w:rsid w:val="001D1840"/>
    <w:rsid w:val="001D33B0"/>
    <w:rsid w:val="001D4594"/>
    <w:rsid w:val="001D5595"/>
    <w:rsid w:val="001D55E6"/>
    <w:rsid w:val="001D6DBA"/>
    <w:rsid w:val="001D754C"/>
    <w:rsid w:val="001D7874"/>
    <w:rsid w:val="001D7F22"/>
    <w:rsid w:val="001E7FCE"/>
    <w:rsid w:val="001F0611"/>
    <w:rsid w:val="001F0F17"/>
    <w:rsid w:val="001F1103"/>
    <w:rsid w:val="001F196E"/>
    <w:rsid w:val="001F2B93"/>
    <w:rsid w:val="001F3347"/>
    <w:rsid w:val="001F69E4"/>
    <w:rsid w:val="001F71DE"/>
    <w:rsid w:val="002019DC"/>
    <w:rsid w:val="002041CE"/>
    <w:rsid w:val="0020514A"/>
    <w:rsid w:val="00205EE3"/>
    <w:rsid w:val="002118FF"/>
    <w:rsid w:val="002125B4"/>
    <w:rsid w:val="002155B8"/>
    <w:rsid w:val="002158DB"/>
    <w:rsid w:val="00215B12"/>
    <w:rsid w:val="00223C5F"/>
    <w:rsid w:val="00224839"/>
    <w:rsid w:val="002249B2"/>
    <w:rsid w:val="0022556E"/>
    <w:rsid w:val="00226574"/>
    <w:rsid w:val="002278EC"/>
    <w:rsid w:val="00231A42"/>
    <w:rsid w:val="0023280E"/>
    <w:rsid w:val="002340BF"/>
    <w:rsid w:val="002348F4"/>
    <w:rsid w:val="0023764E"/>
    <w:rsid w:val="002377D1"/>
    <w:rsid w:val="00242206"/>
    <w:rsid w:val="002425DC"/>
    <w:rsid w:val="002427A0"/>
    <w:rsid w:val="00244406"/>
    <w:rsid w:val="00244451"/>
    <w:rsid w:val="00245F3E"/>
    <w:rsid w:val="0024630E"/>
    <w:rsid w:val="00246549"/>
    <w:rsid w:val="002506BC"/>
    <w:rsid w:val="00250C9D"/>
    <w:rsid w:val="0025173B"/>
    <w:rsid w:val="00254345"/>
    <w:rsid w:val="00257554"/>
    <w:rsid w:val="00260D10"/>
    <w:rsid w:val="00264557"/>
    <w:rsid w:val="00266781"/>
    <w:rsid w:val="00273755"/>
    <w:rsid w:val="00273BD5"/>
    <w:rsid w:val="00275E01"/>
    <w:rsid w:val="002805AB"/>
    <w:rsid w:val="00280E03"/>
    <w:rsid w:val="0028127B"/>
    <w:rsid w:val="00281A2C"/>
    <w:rsid w:val="002828F7"/>
    <w:rsid w:val="00283314"/>
    <w:rsid w:val="00284204"/>
    <w:rsid w:val="0028668F"/>
    <w:rsid w:val="0029013F"/>
    <w:rsid w:val="00290B41"/>
    <w:rsid w:val="00290DB8"/>
    <w:rsid w:val="0029173B"/>
    <w:rsid w:val="00291773"/>
    <w:rsid w:val="002941A0"/>
    <w:rsid w:val="002A155F"/>
    <w:rsid w:val="002A168C"/>
    <w:rsid w:val="002A176F"/>
    <w:rsid w:val="002A18F0"/>
    <w:rsid w:val="002A1BE1"/>
    <w:rsid w:val="002A3DC7"/>
    <w:rsid w:val="002A67E5"/>
    <w:rsid w:val="002A6C12"/>
    <w:rsid w:val="002B0C73"/>
    <w:rsid w:val="002B0C81"/>
    <w:rsid w:val="002B49E2"/>
    <w:rsid w:val="002B7B00"/>
    <w:rsid w:val="002B7C44"/>
    <w:rsid w:val="002C2B17"/>
    <w:rsid w:val="002C44C2"/>
    <w:rsid w:val="002C5FB1"/>
    <w:rsid w:val="002C651C"/>
    <w:rsid w:val="002C68C3"/>
    <w:rsid w:val="002C6A7D"/>
    <w:rsid w:val="002D01A4"/>
    <w:rsid w:val="002D0336"/>
    <w:rsid w:val="002D198E"/>
    <w:rsid w:val="002D2521"/>
    <w:rsid w:val="002D3603"/>
    <w:rsid w:val="002D3DD0"/>
    <w:rsid w:val="002D4B94"/>
    <w:rsid w:val="002E07C5"/>
    <w:rsid w:val="002E1276"/>
    <w:rsid w:val="002E1F3A"/>
    <w:rsid w:val="002E21C3"/>
    <w:rsid w:val="002E298A"/>
    <w:rsid w:val="002E3727"/>
    <w:rsid w:val="002E479D"/>
    <w:rsid w:val="002E5411"/>
    <w:rsid w:val="002E5C83"/>
    <w:rsid w:val="002F1AE8"/>
    <w:rsid w:val="002F6C5D"/>
    <w:rsid w:val="003011F3"/>
    <w:rsid w:val="00301377"/>
    <w:rsid w:val="00301978"/>
    <w:rsid w:val="00302962"/>
    <w:rsid w:val="0030332C"/>
    <w:rsid w:val="0030395B"/>
    <w:rsid w:val="00303CE1"/>
    <w:rsid w:val="00304890"/>
    <w:rsid w:val="003051C2"/>
    <w:rsid w:val="00305281"/>
    <w:rsid w:val="00306143"/>
    <w:rsid w:val="003061AF"/>
    <w:rsid w:val="003103BB"/>
    <w:rsid w:val="0031064E"/>
    <w:rsid w:val="003110B0"/>
    <w:rsid w:val="00312296"/>
    <w:rsid w:val="003147A2"/>
    <w:rsid w:val="00314F0E"/>
    <w:rsid w:val="00315B92"/>
    <w:rsid w:val="00316095"/>
    <w:rsid w:val="0031631A"/>
    <w:rsid w:val="0032127F"/>
    <w:rsid w:val="00321D8E"/>
    <w:rsid w:val="003252AB"/>
    <w:rsid w:val="00325928"/>
    <w:rsid w:val="003268E3"/>
    <w:rsid w:val="00332863"/>
    <w:rsid w:val="0033684D"/>
    <w:rsid w:val="00337B42"/>
    <w:rsid w:val="00341B42"/>
    <w:rsid w:val="0034348F"/>
    <w:rsid w:val="003434BD"/>
    <w:rsid w:val="003438F3"/>
    <w:rsid w:val="00344694"/>
    <w:rsid w:val="00351CAC"/>
    <w:rsid w:val="003552DA"/>
    <w:rsid w:val="00356653"/>
    <w:rsid w:val="003568D4"/>
    <w:rsid w:val="00356AC3"/>
    <w:rsid w:val="0035743F"/>
    <w:rsid w:val="00357BE2"/>
    <w:rsid w:val="00360D09"/>
    <w:rsid w:val="0036170C"/>
    <w:rsid w:val="00362ED3"/>
    <w:rsid w:val="0036364E"/>
    <w:rsid w:val="003647EB"/>
    <w:rsid w:val="00366E0F"/>
    <w:rsid w:val="00377C67"/>
    <w:rsid w:val="00381A72"/>
    <w:rsid w:val="00381B6D"/>
    <w:rsid w:val="00382532"/>
    <w:rsid w:val="003838EE"/>
    <w:rsid w:val="00383D1C"/>
    <w:rsid w:val="00383D66"/>
    <w:rsid w:val="00384676"/>
    <w:rsid w:val="003854D2"/>
    <w:rsid w:val="00386284"/>
    <w:rsid w:val="00386A69"/>
    <w:rsid w:val="00387050"/>
    <w:rsid w:val="003906FE"/>
    <w:rsid w:val="00390857"/>
    <w:rsid w:val="003924E1"/>
    <w:rsid w:val="0039353B"/>
    <w:rsid w:val="00393D4D"/>
    <w:rsid w:val="00394667"/>
    <w:rsid w:val="00396DE3"/>
    <w:rsid w:val="003A2814"/>
    <w:rsid w:val="003A3742"/>
    <w:rsid w:val="003A4BF3"/>
    <w:rsid w:val="003B018A"/>
    <w:rsid w:val="003B0A55"/>
    <w:rsid w:val="003B0BF8"/>
    <w:rsid w:val="003B1A47"/>
    <w:rsid w:val="003B420D"/>
    <w:rsid w:val="003B55EE"/>
    <w:rsid w:val="003C0921"/>
    <w:rsid w:val="003C218B"/>
    <w:rsid w:val="003C3D06"/>
    <w:rsid w:val="003C6C16"/>
    <w:rsid w:val="003D031E"/>
    <w:rsid w:val="003D27A2"/>
    <w:rsid w:val="003D5F74"/>
    <w:rsid w:val="003D794D"/>
    <w:rsid w:val="003D7F53"/>
    <w:rsid w:val="003E0786"/>
    <w:rsid w:val="003E3058"/>
    <w:rsid w:val="003E38A5"/>
    <w:rsid w:val="003E71F9"/>
    <w:rsid w:val="003E76A9"/>
    <w:rsid w:val="003F0809"/>
    <w:rsid w:val="003F21DE"/>
    <w:rsid w:val="003F267E"/>
    <w:rsid w:val="003F2F0B"/>
    <w:rsid w:val="003F3F06"/>
    <w:rsid w:val="003F64BE"/>
    <w:rsid w:val="003F6A8C"/>
    <w:rsid w:val="003F755C"/>
    <w:rsid w:val="003F765E"/>
    <w:rsid w:val="00402357"/>
    <w:rsid w:val="00403230"/>
    <w:rsid w:val="004050BD"/>
    <w:rsid w:val="0040590E"/>
    <w:rsid w:val="00406F01"/>
    <w:rsid w:val="0040789B"/>
    <w:rsid w:val="00407E19"/>
    <w:rsid w:val="00407F5D"/>
    <w:rsid w:val="00410988"/>
    <w:rsid w:val="0041243D"/>
    <w:rsid w:val="0041331B"/>
    <w:rsid w:val="004169F9"/>
    <w:rsid w:val="00416D50"/>
    <w:rsid w:val="00416FD5"/>
    <w:rsid w:val="004175E7"/>
    <w:rsid w:val="00417772"/>
    <w:rsid w:val="00420E6A"/>
    <w:rsid w:val="0042210A"/>
    <w:rsid w:val="00423A5B"/>
    <w:rsid w:val="00424CDE"/>
    <w:rsid w:val="00425424"/>
    <w:rsid w:val="00425A9E"/>
    <w:rsid w:val="004264DE"/>
    <w:rsid w:val="00426D6B"/>
    <w:rsid w:val="00430D4F"/>
    <w:rsid w:val="00431B59"/>
    <w:rsid w:val="00431E6C"/>
    <w:rsid w:val="00433CE7"/>
    <w:rsid w:val="00435AB8"/>
    <w:rsid w:val="00436493"/>
    <w:rsid w:val="00442E56"/>
    <w:rsid w:val="0044413B"/>
    <w:rsid w:val="004500DD"/>
    <w:rsid w:val="00450959"/>
    <w:rsid w:val="00450CB0"/>
    <w:rsid w:val="00451FC1"/>
    <w:rsid w:val="00452738"/>
    <w:rsid w:val="00452E10"/>
    <w:rsid w:val="00454E14"/>
    <w:rsid w:val="00456091"/>
    <w:rsid w:val="00456AE8"/>
    <w:rsid w:val="00456FED"/>
    <w:rsid w:val="00461F85"/>
    <w:rsid w:val="00462326"/>
    <w:rsid w:val="00463FC4"/>
    <w:rsid w:val="00466321"/>
    <w:rsid w:val="00466BF1"/>
    <w:rsid w:val="00472178"/>
    <w:rsid w:val="0047233B"/>
    <w:rsid w:val="00473602"/>
    <w:rsid w:val="0048102E"/>
    <w:rsid w:val="004819AE"/>
    <w:rsid w:val="00483B80"/>
    <w:rsid w:val="00484B9B"/>
    <w:rsid w:val="004855F6"/>
    <w:rsid w:val="00485663"/>
    <w:rsid w:val="0048661E"/>
    <w:rsid w:val="004900C9"/>
    <w:rsid w:val="004902C5"/>
    <w:rsid w:val="00490CE7"/>
    <w:rsid w:val="004921F9"/>
    <w:rsid w:val="00494670"/>
    <w:rsid w:val="004963AC"/>
    <w:rsid w:val="004A0000"/>
    <w:rsid w:val="004A28BA"/>
    <w:rsid w:val="004A3823"/>
    <w:rsid w:val="004A7EF1"/>
    <w:rsid w:val="004B1978"/>
    <w:rsid w:val="004B1C30"/>
    <w:rsid w:val="004B2266"/>
    <w:rsid w:val="004B7B5C"/>
    <w:rsid w:val="004C0BA3"/>
    <w:rsid w:val="004C37ED"/>
    <w:rsid w:val="004C7088"/>
    <w:rsid w:val="004C76BF"/>
    <w:rsid w:val="004D05D1"/>
    <w:rsid w:val="004D2714"/>
    <w:rsid w:val="004D2B96"/>
    <w:rsid w:val="004D2E35"/>
    <w:rsid w:val="004D30B8"/>
    <w:rsid w:val="004D5A6D"/>
    <w:rsid w:val="004D77DC"/>
    <w:rsid w:val="004E1BF9"/>
    <w:rsid w:val="004E3403"/>
    <w:rsid w:val="004E3C11"/>
    <w:rsid w:val="004E5F52"/>
    <w:rsid w:val="004E6042"/>
    <w:rsid w:val="004E6946"/>
    <w:rsid w:val="004F1AD8"/>
    <w:rsid w:val="004F2D76"/>
    <w:rsid w:val="004F314C"/>
    <w:rsid w:val="004F464A"/>
    <w:rsid w:val="004F7811"/>
    <w:rsid w:val="0050013E"/>
    <w:rsid w:val="005039CB"/>
    <w:rsid w:val="00504639"/>
    <w:rsid w:val="0050558F"/>
    <w:rsid w:val="00505750"/>
    <w:rsid w:val="00506286"/>
    <w:rsid w:val="00510813"/>
    <w:rsid w:val="00511990"/>
    <w:rsid w:val="00511DE0"/>
    <w:rsid w:val="00514870"/>
    <w:rsid w:val="00514B9B"/>
    <w:rsid w:val="00517F02"/>
    <w:rsid w:val="00521E99"/>
    <w:rsid w:val="005231DB"/>
    <w:rsid w:val="00523C31"/>
    <w:rsid w:val="0052406E"/>
    <w:rsid w:val="00524303"/>
    <w:rsid w:val="0052433D"/>
    <w:rsid w:val="005258A2"/>
    <w:rsid w:val="005266F4"/>
    <w:rsid w:val="00527C3D"/>
    <w:rsid w:val="005311E4"/>
    <w:rsid w:val="005401AE"/>
    <w:rsid w:val="00542E07"/>
    <w:rsid w:val="005433E4"/>
    <w:rsid w:val="00543B64"/>
    <w:rsid w:val="005440F8"/>
    <w:rsid w:val="005453D1"/>
    <w:rsid w:val="00545424"/>
    <w:rsid w:val="005522B1"/>
    <w:rsid w:val="005528AE"/>
    <w:rsid w:val="005538D5"/>
    <w:rsid w:val="00553EE6"/>
    <w:rsid w:val="00554A7B"/>
    <w:rsid w:val="0055572C"/>
    <w:rsid w:val="00555848"/>
    <w:rsid w:val="0056048A"/>
    <w:rsid w:val="0056106A"/>
    <w:rsid w:val="00561748"/>
    <w:rsid w:val="00567C06"/>
    <w:rsid w:val="005713E8"/>
    <w:rsid w:val="005720AE"/>
    <w:rsid w:val="005726C5"/>
    <w:rsid w:val="00573490"/>
    <w:rsid w:val="00575B4D"/>
    <w:rsid w:val="00582F57"/>
    <w:rsid w:val="0058312A"/>
    <w:rsid w:val="0058475C"/>
    <w:rsid w:val="005850B9"/>
    <w:rsid w:val="005856A3"/>
    <w:rsid w:val="00586443"/>
    <w:rsid w:val="00587E29"/>
    <w:rsid w:val="0059003A"/>
    <w:rsid w:val="005908AC"/>
    <w:rsid w:val="0059149A"/>
    <w:rsid w:val="005938DD"/>
    <w:rsid w:val="00593DA1"/>
    <w:rsid w:val="00594D77"/>
    <w:rsid w:val="005969E4"/>
    <w:rsid w:val="005A06B7"/>
    <w:rsid w:val="005A1759"/>
    <w:rsid w:val="005A1AF6"/>
    <w:rsid w:val="005A3619"/>
    <w:rsid w:val="005A4E19"/>
    <w:rsid w:val="005A55BB"/>
    <w:rsid w:val="005A68A7"/>
    <w:rsid w:val="005A6E44"/>
    <w:rsid w:val="005A7C5B"/>
    <w:rsid w:val="005B0DD9"/>
    <w:rsid w:val="005B7708"/>
    <w:rsid w:val="005B7945"/>
    <w:rsid w:val="005B7A3B"/>
    <w:rsid w:val="005B7E99"/>
    <w:rsid w:val="005C2BC8"/>
    <w:rsid w:val="005C37B8"/>
    <w:rsid w:val="005D0441"/>
    <w:rsid w:val="005D205A"/>
    <w:rsid w:val="005D36AB"/>
    <w:rsid w:val="005F193F"/>
    <w:rsid w:val="005F21ED"/>
    <w:rsid w:val="005F4388"/>
    <w:rsid w:val="005F59D5"/>
    <w:rsid w:val="005F6795"/>
    <w:rsid w:val="005F7779"/>
    <w:rsid w:val="00603E47"/>
    <w:rsid w:val="006046F8"/>
    <w:rsid w:val="006055F1"/>
    <w:rsid w:val="00613138"/>
    <w:rsid w:val="006135A5"/>
    <w:rsid w:val="00617CC3"/>
    <w:rsid w:val="006322E5"/>
    <w:rsid w:val="006368E0"/>
    <w:rsid w:val="00636B90"/>
    <w:rsid w:val="006377A6"/>
    <w:rsid w:val="00637A3D"/>
    <w:rsid w:val="006411EF"/>
    <w:rsid w:val="00641271"/>
    <w:rsid w:val="00641FD9"/>
    <w:rsid w:val="006463CF"/>
    <w:rsid w:val="00655823"/>
    <w:rsid w:val="00657966"/>
    <w:rsid w:val="00663BA9"/>
    <w:rsid w:val="0067038E"/>
    <w:rsid w:val="00672D73"/>
    <w:rsid w:val="006735F2"/>
    <w:rsid w:val="0067460D"/>
    <w:rsid w:val="006748B8"/>
    <w:rsid w:val="0067523F"/>
    <w:rsid w:val="006775C3"/>
    <w:rsid w:val="006777D6"/>
    <w:rsid w:val="00682CDB"/>
    <w:rsid w:val="00686D65"/>
    <w:rsid w:val="0069290A"/>
    <w:rsid w:val="0069325D"/>
    <w:rsid w:val="00695A35"/>
    <w:rsid w:val="00696D3A"/>
    <w:rsid w:val="0069775A"/>
    <w:rsid w:val="00697813"/>
    <w:rsid w:val="006A0346"/>
    <w:rsid w:val="006A3EE8"/>
    <w:rsid w:val="006A5193"/>
    <w:rsid w:val="006A5DCB"/>
    <w:rsid w:val="006A68BB"/>
    <w:rsid w:val="006A72BF"/>
    <w:rsid w:val="006B03F2"/>
    <w:rsid w:val="006B1E6C"/>
    <w:rsid w:val="006B37DC"/>
    <w:rsid w:val="006B4320"/>
    <w:rsid w:val="006B4F68"/>
    <w:rsid w:val="006B57BC"/>
    <w:rsid w:val="006B705F"/>
    <w:rsid w:val="006C0592"/>
    <w:rsid w:val="006C072B"/>
    <w:rsid w:val="006C0F94"/>
    <w:rsid w:val="006C272E"/>
    <w:rsid w:val="006C4486"/>
    <w:rsid w:val="006C5479"/>
    <w:rsid w:val="006C5D45"/>
    <w:rsid w:val="006C5E37"/>
    <w:rsid w:val="006C7251"/>
    <w:rsid w:val="006C7AB7"/>
    <w:rsid w:val="006D13B5"/>
    <w:rsid w:val="006D1892"/>
    <w:rsid w:val="006D19BF"/>
    <w:rsid w:val="006E12FF"/>
    <w:rsid w:val="006E24F7"/>
    <w:rsid w:val="006E3EA9"/>
    <w:rsid w:val="006E607E"/>
    <w:rsid w:val="006E6AE2"/>
    <w:rsid w:val="006E754B"/>
    <w:rsid w:val="006F22AE"/>
    <w:rsid w:val="006F439B"/>
    <w:rsid w:val="006F5200"/>
    <w:rsid w:val="006F6157"/>
    <w:rsid w:val="006F6D54"/>
    <w:rsid w:val="006F76ED"/>
    <w:rsid w:val="007009B3"/>
    <w:rsid w:val="0070275F"/>
    <w:rsid w:val="00706C5D"/>
    <w:rsid w:val="007107D0"/>
    <w:rsid w:val="0071483E"/>
    <w:rsid w:val="0071666B"/>
    <w:rsid w:val="00717A36"/>
    <w:rsid w:val="00723635"/>
    <w:rsid w:val="007243BD"/>
    <w:rsid w:val="00724E40"/>
    <w:rsid w:val="00725DD6"/>
    <w:rsid w:val="00731B04"/>
    <w:rsid w:val="00732922"/>
    <w:rsid w:val="00733D6D"/>
    <w:rsid w:val="00735B8B"/>
    <w:rsid w:val="00741E3D"/>
    <w:rsid w:val="00744182"/>
    <w:rsid w:val="00744867"/>
    <w:rsid w:val="0075162E"/>
    <w:rsid w:val="00751EDA"/>
    <w:rsid w:val="00752CE9"/>
    <w:rsid w:val="007532CE"/>
    <w:rsid w:val="00754034"/>
    <w:rsid w:val="00755817"/>
    <w:rsid w:val="00756556"/>
    <w:rsid w:val="007618C4"/>
    <w:rsid w:val="00761B2F"/>
    <w:rsid w:val="00762777"/>
    <w:rsid w:val="00763252"/>
    <w:rsid w:val="0076513E"/>
    <w:rsid w:val="007658A8"/>
    <w:rsid w:val="00767980"/>
    <w:rsid w:val="00770B19"/>
    <w:rsid w:val="0077463F"/>
    <w:rsid w:val="007756E6"/>
    <w:rsid w:val="00776E63"/>
    <w:rsid w:val="007807DA"/>
    <w:rsid w:val="00781D56"/>
    <w:rsid w:val="007828C5"/>
    <w:rsid w:val="00782A87"/>
    <w:rsid w:val="007836EA"/>
    <w:rsid w:val="00784CDA"/>
    <w:rsid w:val="00785164"/>
    <w:rsid w:val="00785D82"/>
    <w:rsid w:val="00787282"/>
    <w:rsid w:val="007906C4"/>
    <w:rsid w:val="007940EA"/>
    <w:rsid w:val="00794C09"/>
    <w:rsid w:val="00795DFB"/>
    <w:rsid w:val="00795ED9"/>
    <w:rsid w:val="00795EFB"/>
    <w:rsid w:val="007967E8"/>
    <w:rsid w:val="007976FE"/>
    <w:rsid w:val="007979B6"/>
    <w:rsid w:val="007A2170"/>
    <w:rsid w:val="007A22BF"/>
    <w:rsid w:val="007A22F6"/>
    <w:rsid w:val="007A32DD"/>
    <w:rsid w:val="007A3323"/>
    <w:rsid w:val="007A355C"/>
    <w:rsid w:val="007A457C"/>
    <w:rsid w:val="007A5135"/>
    <w:rsid w:val="007A6054"/>
    <w:rsid w:val="007A6EF1"/>
    <w:rsid w:val="007B6185"/>
    <w:rsid w:val="007B72B8"/>
    <w:rsid w:val="007B7A58"/>
    <w:rsid w:val="007C1516"/>
    <w:rsid w:val="007C2130"/>
    <w:rsid w:val="007C21B5"/>
    <w:rsid w:val="007C25BA"/>
    <w:rsid w:val="007D10BC"/>
    <w:rsid w:val="007D1A96"/>
    <w:rsid w:val="007D570A"/>
    <w:rsid w:val="007D760A"/>
    <w:rsid w:val="007E0929"/>
    <w:rsid w:val="007E26D6"/>
    <w:rsid w:val="007E4BD2"/>
    <w:rsid w:val="007E67A8"/>
    <w:rsid w:val="007F047B"/>
    <w:rsid w:val="007F250E"/>
    <w:rsid w:val="007F297E"/>
    <w:rsid w:val="007F334E"/>
    <w:rsid w:val="007F5934"/>
    <w:rsid w:val="007F6EEC"/>
    <w:rsid w:val="00801393"/>
    <w:rsid w:val="00802F88"/>
    <w:rsid w:val="0080339E"/>
    <w:rsid w:val="00804F0F"/>
    <w:rsid w:val="0081145A"/>
    <w:rsid w:val="0081293E"/>
    <w:rsid w:val="0081349B"/>
    <w:rsid w:val="008145C5"/>
    <w:rsid w:val="00815465"/>
    <w:rsid w:val="00816BBB"/>
    <w:rsid w:val="00817E9A"/>
    <w:rsid w:val="008201C3"/>
    <w:rsid w:val="0082455C"/>
    <w:rsid w:val="008253A2"/>
    <w:rsid w:val="008306BD"/>
    <w:rsid w:val="00830B0B"/>
    <w:rsid w:val="0083176C"/>
    <w:rsid w:val="00831A80"/>
    <w:rsid w:val="00832F9F"/>
    <w:rsid w:val="00833743"/>
    <w:rsid w:val="008340A4"/>
    <w:rsid w:val="00836A97"/>
    <w:rsid w:val="0083734E"/>
    <w:rsid w:val="00837703"/>
    <w:rsid w:val="008379D1"/>
    <w:rsid w:val="00840D73"/>
    <w:rsid w:val="0084160E"/>
    <w:rsid w:val="00841FA2"/>
    <w:rsid w:val="008472A5"/>
    <w:rsid w:val="008477C6"/>
    <w:rsid w:val="008500BD"/>
    <w:rsid w:val="00850A83"/>
    <w:rsid w:val="00851C1E"/>
    <w:rsid w:val="00853981"/>
    <w:rsid w:val="00854A07"/>
    <w:rsid w:val="00855BAC"/>
    <w:rsid w:val="00860136"/>
    <w:rsid w:val="00862080"/>
    <w:rsid w:val="00862AD8"/>
    <w:rsid w:val="00862F82"/>
    <w:rsid w:val="0086506A"/>
    <w:rsid w:val="008657D8"/>
    <w:rsid w:val="0087135F"/>
    <w:rsid w:val="00872D94"/>
    <w:rsid w:val="00872E4D"/>
    <w:rsid w:val="00877EDE"/>
    <w:rsid w:val="00880364"/>
    <w:rsid w:val="008831C5"/>
    <w:rsid w:val="008902DF"/>
    <w:rsid w:val="00891592"/>
    <w:rsid w:val="0089168F"/>
    <w:rsid w:val="00891E9E"/>
    <w:rsid w:val="00892DB5"/>
    <w:rsid w:val="00892ED0"/>
    <w:rsid w:val="00894076"/>
    <w:rsid w:val="0089444A"/>
    <w:rsid w:val="0089571E"/>
    <w:rsid w:val="008974D5"/>
    <w:rsid w:val="008A2C5D"/>
    <w:rsid w:val="008A2F68"/>
    <w:rsid w:val="008A325D"/>
    <w:rsid w:val="008A32D1"/>
    <w:rsid w:val="008A356B"/>
    <w:rsid w:val="008A79C1"/>
    <w:rsid w:val="008A7D86"/>
    <w:rsid w:val="008B110A"/>
    <w:rsid w:val="008B1525"/>
    <w:rsid w:val="008B164D"/>
    <w:rsid w:val="008B165C"/>
    <w:rsid w:val="008B2027"/>
    <w:rsid w:val="008B2753"/>
    <w:rsid w:val="008B2843"/>
    <w:rsid w:val="008B2BFB"/>
    <w:rsid w:val="008B2CDC"/>
    <w:rsid w:val="008B4FA6"/>
    <w:rsid w:val="008B5282"/>
    <w:rsid w:val="008B7C17"/>
    <w:rsid w:val="008B7EA3"/>
    <w:rsid w:val="008C1B74"/>
    <w:rsid w:val="008C2D01"/>
    <w:rsid w:val="008C2FCD"/>
    <w:rsid w:val="008C3357"/>
    <w:rsid w:val="008C40E6"/>
    <w:rsid w:val="008D0F7A"/>
    <w:rsid w:val="008D5510"/>
    <w:rsid w:val="008D68E4"/>
    <w:rsid w:val="008E0506"/>
    <w:rsid w:val="008E0846"/>
    <w:rsid w:val="008E08FB"/>
    <w:rsid w:val="008E0AE2"/>
    <w:rsid w:val="008E0CFF"/>
    <w:rsid w:val="008E3228"/>
    <w:rsid w:val="008E5D6B"/>
    <w:rsid w:val="008E76F0"/>
    <w:rsid w:val="008F15DC"/>
    <w:rsid w:val="008F15FE"/>
    <w:rsid w:val="008F1B88"/>
    <w:rsid w:val="008F2D29"/>
    <w:rsid w:val="008F5187"/>
    <w:rsid w:val="008F60D8"/>
    <w:rsid w:val="008F6C8A"/>
    <w:rsid w:val="00902727"/>
    <w:rsid w:val="0090312B"/>
    <w:rsid w:val="009037CB"/>
    <w:rsid w:val="00907E4B"/>
    <w:rsid w:val="00912F4D"/>
    <w:rsid w:val="00916089"/>
    <w:rsid w:val="0091736D"/>
    <w:rsid w:val="0092124F"/>
    <w:rsid w:val="009215B1"/>
    <w:rsid w:val="009242D0"/>
    <w:rsid w:val="0092499E"/>
    <w:rsid w:val="00927B6B"/>
    <w:rsid w:val="0093037A"/>
    <w:rsid w:val="009342C1"/>
    <w:rsid w:val="00940678"/>
    <w:rsid w:val="0094154D"/>
    <w:rsid w:val="00942B76"/>
    <w:rsid w:val="009478EE"/>
    <w:rsid w:val="0095155F"/>
    <w:rsid w:val="00954429"/>
    <w:rsid w:val="00955A0B"/>
    <w:rsid w:val="009563CE"/>
    <w:rsid w:val="00956ECB"/>
    <w:rsid w:val="009570B7"/>
    <w:rsid w:val="009576E1"/>
    <w:rsid w:val="00960786"/>
    <w:rsid w:val="00963FAE"/>
    <w:rsid w:val="00965E2A"/>
    <w:rsid w:val="00966E93"/>
    <w:rsid w:val="0097000A"/>
    <w:rsid w:val="00972A66"/>
    <w:rsid w:val="00974688"/>
    <w:rsid w:val="00975DD0"/>
    <w:rsid w:val="00976328"/>
    <w:rsid w:val="0097680D"/>
    <w:rsid w:val="00976935"/>
    <w:rsid w:val="009800B1"/>
    <w:rsid w:val="00980755"/>
    <w:rsid w:val="00982438"/>
    <w:rsid w:val="00983BDC"/>
    <w:rsid w:val="0098404C"/>
    <w:rsid w:val="00985283"/>
    <w:rsid w:val="00987E0C"/>
    <w:rsid w:val="0099484D"/>
    <w:rsid w:val="00995992"/>
    <w:rsid w:val="009A03E5"/>
    <w:rsid w:val="009A0F3B"/>
    <w:rsid w:val="009A1BB4"/>
    <w:rsid w:val="009A2628"/>
    <w:rsid w:val="009A3200"/>
    <w:rsid w:val="009A4AC7"/>
    <w:rsid w:val="009A55EA"/>
    <w:rsid w:val="009A68BB"/>
    <w:rsid w:val="009B0897"/>
    <w:rsid w:val="009B6E1D"/>
    <w:rsid w:val="009B70E0"/>
    <w:rsid w:val="009B720D"/>
    <w:rsid w:val="009B7BD9"/>
    <w:rsid w:val="009C0EE5"/>
    <w:rsid w:val="009C2831"/>
    <w:rsid w:val="009C2AE9"/>
    <w:rsid w:val="009C42AB"/>
    <w:rsid w:val="009C7DD5"/>
    <w:rsid w:val="009C7DE2"/>
    <w:rsid w:val="009D0B19"/>
    <w:rsid w:val="009D5CA4"/>
    <w:rsid w:val="009D6CF8"/>
    <w:rsid w:val="009E0EC2"/>
    <w:rsid w:val="009E227D"/>
    <w:rsid w:val="009E5019"/>
    <w:rsid w:val="009E6D09"/>
    <w:rsid w:val="009F09B1"/>
    <w:rsid w:val="009F13DB"/>
    <w:rsid w:val="009F24A9"/>
    <w:rsid w:val="009F42D5"/>
    <w:rsid w:val="009F4A63"/>
    <w:rsid w:val="009F603A"/>
    <w:rsid w:val="009F7945"/>
    <w:rsid w:val="00A02D14"/>
    <w:rsid w:val="00A04F1B"/>
    <w:rsid w:val="00A0501B"/>
    <w:rsid w:val="00A07174"/>
    <w:rsid w:val="00A14947"/>
    <w:rsid w:val="00A15110"/>
    <w:rsid w:val="00A1568F"/>
    <w:rsid w:val="00A17E05"/>
    <w:rsid w:val="00A24564"/>
    <w:rsid w:val="00A25170"/>
    <w:rsid w:val="00A26F90"/>
    <w:rsid w:val="00A308FC"/>
    <w:rsid w:val="00A30F2D"/>
    <w:rsid w:val="00A30FEF"/>
    <w:rsid w:val="00A32355"/>
    <w:rsid w:val="00A32A83"/>
    <w:rsid w:val="00A32C00"/>
    <w:rsid w:val="00A368DB"/>
    <w:rsid w:val="00A423AA"/>
    <w:rsid w:val="00A42D0D"/>
    <w:rsid w:val="00A44024"/>
    <w:rsid w:val="00A470F6"/>
    <w:rsid w:val="00A51B9A"/>
    <w:rsid w:val="00A521D4"/>
    <w:rsid w:val="00A5351D"/>
    <w:rsid w:val="00A53EC6"/>
    <w:rsid w:val="00A5433D"/>
    <w:rsid w:val="00A55C0F"/>
    <w:rsid w:val="00A61354"/>
    <w:rsid w:val="00A623F0"/>
    <w:rsid w:val="00A66056"/>
    <w:rsid w:val="00A66B06"/>
    <w:rsid w:val="00A7058E"/>
    <w:rsid w:val="00A7092C"/>
    <w:rsid w:val="00A72BCC"/>
    <w:rsid w:val="00A73885"/>
    <w:rsid w:val="00A75926"/>
    <w:rsid w:val="00A765E7"/>
    <w:rsid w:val="00A80B9F"/>
    <w:rsid w:val="00A8713F"/>
    <w:rsid w:val="00A87B35"/>
    <w:rsid w:val="00A905DC"/>
    <w:rsid w:val="00A90BA1"/>
    <w:rsid w:val="00A92FB6"/>
    <w:rsid w:val="00A93162"/>
    <w:rsid w:val="00A94532"/>
    <w:rsid w:val="00A945B2"/>
    <w:rsid w:val="00A946CD"/>
    <w:rsid w:val="00A97692"/>
    <w:rsid w:val="00A979D3"/>
    <w:rsid w:val="00A97A9A"/>
    <w:rsid w:val="00A97E9C"/>
    <w:rsid w:val="00AA0671"/>
    <w:rsid w:val="00AA08A2"/>
    <w:rsid w:val="00AA2531"/>
    <w:rsid w:val="00AA4D15"/>
    <w:rsid w:val="00AA71A8"/>
    <w:rsid w:val="00AA7FDA"/>
    <w:rsid w:val="00AB1E09"/>
    <w:rsid w:val="00AB4B0D"/>
    <w:rsid w:val="00AB4DBA"/>
    <w:rsid w:val="00AB5330"/>
    <w:rsid w:val="00AB6103"/>
    <w:rsid w:val="00AB630D"/>
    <w:rsid w:val="00AB7488"/>
    <w:rsid w:val="00AB7747"/>
    <w:rsid w:val="00AB7B21"/>
    <w:rsid w:val="00AC14CE"/>
    <w:rsid w:val="00AC25F5"/>
    <w:rsid w:val="00AC2A56"/>
    <w:rsid w:val="00AC3E35"/>
    <w:rsid w:val="00AC4D82"/>
    <w:rsid w:val="00AC6113"/>
    <w:rsid w:val="00AC73A5"/>
    <w:rsid w:val="00AC7FF2"/>
    <w:rsid w:val="00AD055E"/>
    <w:rsid w:val="00AD1D28"/>
    <w:rsid w:val="00AD28AD"/>
    <w:rsid w:val="00AD35FD"/>
    <w:rsid w:val="00AD47A7"/>
    <w:rsid w:val="00AD72D9"/>
    <w:rsid w:val="00AE0209"/>
    <w:rsid w:val="00AE08A6"/>
    <w:rsid w:val="00AE116B"/>
    <w:rsid w:val="00AE1F27"/>
    <w:rsid w:val="00AE4BBE"/>
    <w:rsid w:val="00AE4F2D"/>
    <w:rsid w:val="00AE6277"/>
    <w:rsid w:val="00AE63A2"/>
    <w:rsid w:val="00AE6D4F"/>
    <w:rsid w:val="00AF0CBF"/>
    <w:rsid w:val="00AF257F"/>
    <w:rsid w:val="00AF33CF"/>
    <w:rsid w:val="00AF4ABF"/>
    <w:rsid w:val="00AF4D50"/>
    <w:rsid w:val="00AF6179"/>
    <w:rsid w:val="00AF67EC"/>
    <w:rsid w:val="00B013A5"/>
    <w:rsid w:val="00B01BB2"/>
    <w:rsid w:val="00B05570"/>
    <w:rsid w:val="00B07038"/>
    <w:rsid w:val="00B10C73"/>
    <w:rsid w:val="00B11C89"/>
    <w:rsid w:val="00B1295A"/>
    <w:rsid w:val="00B14239"/>
    <w:rsid w:val="00B143DB"/>
    <w:rsid w:val="00B17A92"/>
    <w:rsid w:val="00B20A45"/>
    <w:rsid w:val="00B20FC3"/>
    <w:rsid w:val="00B21BE2"/>
    <w:rsid w:val="00B22C5C"/>
    <w:rsid w:val="00B24F30"/>
    <w:rsid w:val="00B31ABF"/>
    <w:rsid w:val="00B33BE3"/>
    <w:rsid w:val="00B33C15"/>
    <w:rsid w:val="00B33FAA"/>
    <w:rsid w:val="00B34515"/>
    <w:rsid w:val="00B34F74"/>
    <w:rsid w:val="00B42156"/>
    <w:rsid w:val="00B44A13"/>
    <w:rsid w:val="00B450E4"/>
    <w:rsid w:val="00B4747F"/>
    <w:rsid w:val="00B53B5D"/>
    <w:rsid w:val="00B57A1B"/>
    <w:rsid w:val="00B6055E"/>
    <w:rsid w:val="00B616FB"/>
    <w:rsid w:val="00B6317D"/>
    <w:rsid w:val="00B65042"/>
    <w:rsid w:val="00B65C67"/>
    <w:rsid w:val="00B77071"/>
    <w:rsid w:val="00B7723F"/>
    <w:rsid w:val="00B80490"/>
    <w:rsid w:val="00B80534"/>
    <w:rsid w:val="00B83347"/>
    <w:rsid w:val="00B836F4"/>
    <w:rsid w:val="00B839AD"/>
    <w:rsid w:val="00B8433C"/>
    <w:rsid w:val="00B86804"/>
    <w:rsid w:val="00B87101"/>
    <w:rsid w:val="00B87491"/>
    <w:rsid w:val="00B901F2"/>
    <w:rsid w:val="00B91C2B"/>
    <w:rsid w:val="00B93F08"/>
    <w:rsid w:val="00B95FCD"/>
    <w:rsid w:val="00BA29E9"/>
    <w:rsid w:val="00BA4CD7"/>
    <w:rsid w:val="00BA59BA"/>
    <w:rsid w:val="00BA6CA8"/>
    <w:rsid w:val="00BA6D8A"/>
    <w:rsid w:val="00BA7142"/>
    <w:rsid w:val="00BA7804"/>
    <w:rsid w:val="00BB015E"/>
    <w:rsid w:val="00BB237C"/>
    <w:rsid w:val="00BB2442"/>
    <w:rsid w:val="00BB3508"/>
    <w:rsid w:val="00BB38E7"/>
    <w:rsid w:val="00BB41A3"/>
    <w:rsid w:val="00BB6EA1"/>
    <w:rsid w:val="00BC26A9"/>
    <w:rsid w:val="00BC2BD4"/>
    <w:rsid w:val="00BC32DC"/>
    <w:rsid w:val="00BC35B6"/>
    <w:rsid w:val="00BC36FF"/>
    <w:rsid w:val="00BC49D0"/>
    <w:rsid w:val="00BD1B51"/>
    <w:rsid w:val="00BD356F"/>
    <w:rsid w:val="00BD4596"/>
    <w:rsid w:val="00BD551B"/>
    <w:rsid w:val="00BD788F"/>
    <w:rsid w:val="00BD79D5"/>
    <w:rsid w:val="00BE040F"/>
    <w:rsid w:val="00BE0BEC"/>
    <w:rsid w:val="00BE1405"/>
    <w:rsid w:val="00BE312D"/>
    <w:rsid w:val="00BE41DC"/>
    <w:rsid w:val="00BF0152"/>
    <w:rsid w:val="00BF1A61"/>
    <w:rsid w:val="00BF1C20"/>
    <w:rsid w:val="00BF1F26"/>
    <w:rsid w:val="00BF3088"/>
    <w:rsid w:val="00BF516E"/>
    <w:rsid w:val="00BF6659"/>
    <w:rsid w:val="00C034D3"/>
    <w:rsid w:val="00C0501E"/>
    <w:rsid w:val="00C07A9D"/>
    <w:rsid w:val="00C10578"/>
    <w:rsid w:val="00C11562"/>
    <w:rsid w:val="00C11574"/>
    <w:rsid w:val="00C119FA"/>
    <w:rsid w:val="00C135BC"/>
    <w:rsid w:val="00C13DC0"/>
    <w:rsid w:val="00C15C95"/>
    <w:rsid w:val="00C1609D"/>
    <w:rsid w:val="00C1799A"/>
    <w:rsid w:val="00C22C0F"/>
    <w:rsid w:val="00C22C98"/>
    <w:rsid w:val="00C2596A"/>
    <w:rsid w:val="00C27537"/>
    <w:rsid w:val="00C278A4"/>
    <w:rsid w:val="00C328FE"/>
    <w:rsid w:val="00C33507"/>
    <w:rsid w:val="00C35E28"/>
    <w:rsid w:val="00C4079C"/>
    <w:rsid w:val="00C4326A"/>
    <w:rsid w:val="00C4409D"/>
    <w:rsid w:val="00C4449E"/>
    <w:rsid w:val="00C44E72"/>
    <w:rsid w:val="00C45A06"/>
    <w:rsid w:val="00C45F81"/>
    <w:rsid w:val="00C475FD"/>
    <w:rsid w:val="00C47E5B"/>
    <w:rsid w:val="00C512D3"/>
    <w:rsid w:val="00C52364"/>
    <w:rsid w:val="00C52BC3"/>
    <w:rsid w:val="00C53152"/>
    <w:rsid w:val="00C56191"/>
    <w:rsid w:val="00C5634B"/>
    <w:rsid w:val="00C5793F"/>
    <w:rsid w:val="00C6099E"/>
    <w:rsid w:val="00C6180B"/>
    <w:rsid w:val="00C61E4B"/>
    <w:rsid w:val="00C63157"/>
    <w:rsid w:val="00C647CD"/>
    <w:rsid w:val="00C64BFF"/>
    <w:rsid w:val="00C671D0"/>
    <w:rsid w:val="00C704E9"/>
    <w:rsid w:val="00C73ED5"/>
    <w:rsid w:val="00C7463C"/>
    <w:rsid w:val="00C7591D"/>
    <w:rsid w:val="00C763C9"/>
    <w:rsid w:val="00C80057"/>
    <w:rsid w:val="00C81FC2"/>
    <w:rsid w:val="00C82232"/>
    <w:rsid w:val="00C82913"/>
    <w:rsid w:val="00C84514"/>
    <w:rsid w:val="00C85428"/>
    <w:rsid w:val="00C8599E"/>
    <w:rsid w:val="00C86674"/>
    <w:rsid w:val="00C92CF1"/>
    <w:rsid w:val="00C93E3E"/>
    <w:rsid w:val="00C97288"/>
    <w:rsid w:val="00C972B1"/>
    <w:rsid w:val="00C97F36"/>
    <w:rsid w:val="00CA120E"/>
    <w:rsid w:val="00CA2CCE"/>
    <w:rsid w:val="00CA4222"/>
    <w:rsid w:val="00CA43FD"/>
    <w:rsid w:val="00CA4E93"/>
    <w:rsid w:val="00CA6F60"/>
    <w:rsid w:val="00CA725C"/>
    <w:rsid w:val="00CA7EF8"/>
    <w:rsid w:val="00CB132C"/>
    <w:rsid w:val="00CB2C62"/>
    <w:rsid w:val="00CB3C8C"/>
    <w:rsid w:val="00CB43C7"/>
    <w:rsid w:val="00CB626A"/>
    <w:rsid w:val="00CB7A6A"/>
    <w:rsid w:val="00CC1C14"/>
    <w:rsid w:val="00CC4146"/>
    <w:rsid w:val="00CC480B"/>
    <w:rsid w:val="00CC489B"/>
    <w:rsid w:val="00CC5314"/>
    <w:rsid w:val="00CC5DA7"/>
    <w:rsid w:val="00CC7005"/>
    <w:rsid w:val="00CD1D52"/>
    <w:rsid w:val="00CD266A"/>
    <w:rsid w:val="00CD2BCD"/>
    <w:rsid w:val="00CD3A4C"/>
    <w:rsid w:val="00CD5DEA"/>
    <w:rsid w:val="00CD5E2F"/>
    <w:rsid w:val="00CE10E9"/>
    <w:rsid w:val="00CE1152"/>
    <w:rsid w:val="00CE2797"/>
    <w:rsid w:val="00CE2910"/>
    <w:rsid w:val="00CE39DB"/>
    <w:rsid w:val="00CE4337"/>
    <w:rsid w:val="00CE5393"/>
    <w:rsid w:val="00CE5BD4"/>
    <w:rsid w:val="00CE7473"/>
    <w:rsid w:val="00CE7C9A"/>
    <w:rsid w:val="00CF19EE"/>
    <w:rsid w:val="00CF1D38"/>
    <w:rsid w:val="00CF2B1F"/>
    <w:rsid w:val="00CF36BE"/>
    <w:rsid w:val="00CF3C56"/>
    <w:rsid w:val="00CF56BA"/>
    <w:rsid w:val="00CF6000"/>
    <w:rsid w:val="00D003F3"/>
    <w:rsid w:val="00D0364F"/>
    <w:rsid w:val="00D060AE"/>
    <w:rsid w:val="00D06834"/>
    <w:rsid w:val="00D079EE"/>
    <w:rsid w:val="00D122BF"/>
    <w:rsid w:val="00D142B4"/>
    <w:rsid w:val="00D1779E"/>
    <w:rsid w:val="00D20318"/>
    <w:rsid w:val="00D20518"/>
    <w:rsid w:val="00D216FA"/>
    <w:rsid w:val="00D2208C"/>
    <w:rsid w:val="00D308ED"/>
    <w:rsid w:val="00D309C4"/>
    <w:rsid w:val="00D30CDB"/>
    <w:rsid w:val="00D321FB"/>
    <w:rsid w:val="00D32E3C"/>
    <w:rsid w:val="00D34163"/>
    <w:rsid w:val="00D344B5"/>
    <w:rsid w:val="00D36D86"/>
    <w:rsid w:val="00D428AA"/>
    <w:rsid w:val="00D436A5"/>
    <w:rsid w:val="00D45E9D"/>
    <w:rsid w:val="00D460E1"/>
    <w:rsid w:val="00D472AB"/>
    <w:rsid w:val="00D47A72"/>
    <w:rsid w:val="00D50A34"/>
    <w:rsid w:val="00D5288D"/>
    <w:rsid w:val="00D52B12"/>
    <w:rsid w:val="00D53EFA"/>
    <w:rsid w:val="00D619D2"/>
    <w:rsid w:val="00D62A30"/>
    <w:rsid w:val="00D62CD8"/>
    <w:rsid w:val="00D62D50"/>
    <w:rsid w:val="00D72FE4"/>
    <w:rsid w:val="00D736F2"/>
    <w:rsid w:val="00D73A15"/>
    <w:rsid w:val="00D73B85"/>
    <w:rsid w:val="00D82512"/>
    <w:rsid w:val="00D84324"/>
    <w:rsid w:val="00D8619A"/>
    <w:rsid w:val="00D87FA8"/>
    <w:rsid w:val="00D91D99"/>
    <w:rsid w:val="00D92365"/>
    <w:rsid w:val="00D94342"/>
    <w:rsid w:val="00D94A7C"/>
    <w:rsid w:val="00D95896"/>
    <w:rsid w:val="00D97522"/>
    <w:rsid w:val="00DA0E7C"/>
    <w:rsid w:val="00DA5521"/>
    <w:rsid w:val="00DB10BE"/>
    <w:rsid w:val="00DB2883"/>
    <w:rsid w:val="00DB2983"/>
    <w:rsid w:val="00DB6061"/>
    <w:rsid w:val="00DC06FB"/>
    <w:rsid w:val="00DC0BCF"/>
    <w:rsid w:val="00DC1257"/>
    <w:rsid w:val="00DC17BE"/>
    <w:rsid w:val="00DC1BB0"/>
    <w:rsid w:val="00DC228B"/>
    <w:rsid w:val="00DC22AE"/>
    <w:rsid w:val="00DC3DC0"/>
    <w:rsid w:val="00DC5B2B"/>
    <w:rsid w:val="00DC6807"/>
    <w:rsid w:val="00DD0AA3"/>
    <w:rsid w:val="00DD2E62"/>
    <w:rsid w:val="00DD318D"/>
    <w:rsid w:val="00DD3F79"/>
    <w:rsid w:val="00DD485F"/>
    <w:rsid w:val="00DD6469"/>
    <w:rsid w:val="00DD78C2"/>
    <w:rsid w:val="00DE1AB2"/>
    <w:rsid w:val="00DE7BC5"/>
    <w:rsid w:val="00DF0B98"/>
    <w:rsid w:val="00DF2A20"/>
    <w:rsid w:val="00DF2E12"/>
    <w:rsid w:val="00DF3933"/>
    <w:rsid w:val="00DF3BFD"/>
    <w:rsid w:val="00DF3DCD"/>
    <w:rsid w:val="00DF514A"/>
    <w:rsid w:val="00DF5457"/>
    <w:rsid w:val="00DF6690"/>
    <w:rsid w:val="00DF6804"/>
    <w:rsid w:val="00E0358D"/>
    <w:rsid w:val="00E04323"/>
    <w:rsid w:val="00E054CF"/>
    <w:rsid w:val="00E06BF8"/>
    <w:rsid w:val="00E070A2"/>
    <w:rsid w:val="00E11D3C"/>
    <w:rsid w:val="00E175A3"/>
    <w:rsid w:val="00E201EB"/>
    <w:rsid w:val="00E24C8E"/>
    <w:rsid w:val="00E24ED4"/>
    <w:rsid w:val="00E2656A"/>
    <w:rsid w:val="00E304ED"/>
    <w:rsid w:val="00E3200C"/>
    <w:rsid w:val="00E33909"/>
    <w:rsid w:val="00E35000"/>
    <w:rsid w:val="00E411AB"/>
    <w:rsid w:val="00E412D0"/>
    <w:rsid w:val="00E42183"/>
    <w:rsid w:val="00E42B9E"/>
    <w:rsid w:val="00E441FE"/>
    <w:rsid w:val="00E44DE4"/>
    <w:rsid w:val="00E45754"/>
    <w:rsid w:val="00E46631"/>
    <w:rsid w:val="00E508B2"/>
    <w:rsid w:val="00E51C65"/>
    <w:rsid w:val="00E5446A"/>
    <w:rsid w:val="00E54508"/>
    <w:rsid w:val="00E551FB"/>
    <w:rsid w:val="00E56322"/>
    <w:rsid w:val="00E60915"/>
    <w:rsid w:val="00E60982"/>
    <w:rsid w:val="00E62953"/>
    <w:rsid w:val="00E62C62"/>
    <w:rsid w:val="00E654C1"/>
    <w:rsid w:val="00E65D97"/>
    <w:rsid w:val="00E6682D"/>
    <w:rsid w:val="00E66B89"/>
    <w:rsid w:val="00E72A5A"/>
    <w:rsid w:val="00E73354"/>
    <w:rsid w:val="00E754F0"/>
    <w:rsid w:val="00E7699B"/>
    <w:rsid w:val="00E82D2B"/>
    <w:rsid w:val="00E85B13"/>
    <w:rsid w:val="00E90C8A"/>
    <w:rsid w:val="00E9242D"/>
    <w:rsid w:val="00E92559"/>
    <w:rsid w:val="00E9309E"/>
    <w:rsid w:val="00E96F6E"/>
    <w:rsid w:val="00EA2357"/>
    <w:rsid w:val="00EA42B8"/>
    <w:rsid w:val="00EA4750"/>
    <w:rsid w:val="00EB4425"/>
    <w:rsid w:val="00EB5255"/>
    <w:rsid w:val="00EB5C47"/>
    <w:rsid w:val="00EB6AA8"/>
    <w:rsid w:val="00EB6EAD"/>
    <w:rsid w:val="00EB7017"/>
    <w:rsid w:val="00EB7FEB"/>
    <w:rsid w:val="00EC0CBF"/>
    <w:rsid w:val="00EC142F"/>
    <w:rsid w:val="00EC31B5"/>
    <w:rsid w:val="00EC3534"/>
    <w:rsid w:val="00EC35D4"/>
    <w:rsid w:val="00EC3F13"/>
    <w:rsid w:val="00EC456A"/>
    <w:rsid w:val="00ED0639"/>
    <w:rsid w:val="00ED1474"/>
    <w:rsid w:val="00ED3197"/>
    <w:rsid w:val="00ED704B"/>
    <w:rsid w:val="00ED77D7"/>
    <w:rsid w:val="00EE50CB"/>
    <w:rsid w:val="00EE5B2A"/>
    <w:rsid w:val="00EF2D13"/>
    <w:rsid w:val="00EF300A"/>
    <w:rsid w:val="00EF4755"/>
    <w:rsid w:val="00EF7135"/>
    <w:rsid w:val="00F027DB"/>
    <w:rsid w:val="00F04D82"/>
    <w:rsid w:val="00F06AE8"/>
    <w:rsid w:val="00F07093"/>
    <w:rsid w:val="00F119D6"/>
    <w:rsid w:val="00F14A7A"/>
    <w:rsid w:val="00F154FC"/>
    <w:rsid w:val="00F15CA8"/>
    <w:rsid w:val="00F17545"/>
    <w:rsid w:val="00F20A33"/>
    <w:rsid w:val="00F2107A"/>
    <w:rsid w:val="00F22985"/>
    <w:rsid w:val="00F2696F"/>
    <w:rsid w:val="00F2792A"/>
    <w:rsid w:val="00F27A54"/>
    <w:rsid w:val="00F3383E"/>
    <w:rsid w:val="00F34403"/>
    <w:rsid w:val="00F3727F"/>
    <w:rsid w:val="00F427DB"/>
    <w:rsid w:val="00F452D2"/>
    <w:rsid w:val="00F465A7"/>
    <w:rsid w:val="00F473C7"/>
    <w:rsid w:val="00F47656"/>
    <w:rsid w:val="00F504FA"/>
    <w:rsid w:val="00F50B7C"/>
    <w:rsid w:val="00F51A49"/>
    <w:rsid w:val="00F550E6"/>
    <w:rsid w:val="00F65C59"/>
    <w:rsid w:val="00F7218A"/>
    <w:rsid w:val="00F7385F"/>
    <w:rsid w:val="00F74345"/>
    <w:rsid w:val="00F77EBD"/>
    <w:rsid w:val="00F80A0A"/>
    <w:rsid w:val="00F80B5A"/>
    <w:rsid w:val="00F8224F"/>
    <w:rsid w:val="00F82B19"/>
    <w:rsid w:val="00F8380A"/>
    <w:rsid w:val="00F9212D"/>
    <w:rsid w:val="00F948F5"/>
    <w:rsid w:val="00F965DA"/>
    <w:rsid w:val="00FA406A"/>
    <w:rsid w:val="00FA5D6D"/>
    <w:rsid w:val="00FB2901"/>
    <w:rsid w:val="00FB2F3C"/>
    <w:rsid w:val="00FB3355"/>
    <w:rsid w:val="00FB47F8"/>
    <w:rsid w:val="00FB503A"/>
    <w:rsid w:val="00FB516C"/>
    <w:rsid w:val="00FB52F9"/>
    <w:rsid w:val="00FC2A4D"/>
    <w:rsid w:val="00FC3A60"/>
    <w:rsid w:val="00FC64C8"/>
    <w:rsid w:val="00FC725A"/>
    <w:rsid w:val="00FD0236"/>
    <w:rsid w:val="00FD0F22"/>
    <w:rsid w:val="00FD18F4"/>
    <w:rsid w:val="00FD372B"/>
    <w:rsid w:val="00FD4DBD"/>
    <w:rsid w:val="00FD5103"/>
    <w:rsid w:val="00FD54DB"/>
    <w:rsid w:val="00FD599C"/>
    <w:rsid w:val="00FD5B4F"/>
    <w:rsid w:val="00FD619F"/>
    <w:rsid w:val="00FD7667"/>
    <w:rsid w:val="00FE454B"/>
    <w:rsid w:val="00FF522C"/>
    <w:rsid w:val="011F029A"/>
    <w:rsid w:val="01290F7E"/>
    <w:rsid w:val="015D1E09"/>
    <w:rsid w:val="016151C0"/>
    <w:rsid w:val="01D134FA"/>
    <w:rsid w:val="01E76B3A"/>
    <w:rsid w:val="01EF4205"/>
    <w:rsid w:val="01F65182"/>
    <w:rsid w:val="02697903"/>
    <w:rsid w:val="02D90F53"/>
    <w:rsid w:val="02DF21EF"/>
    <w:rsid w:val="02F96569"/>
    <w:rsid w:val="02FC45A7"/>
    <w:rsid w:val="0308282A"/>
    <w:rsid w:val="03436676"/>
    <w:rsid w:val="034E0D13"/>
    <w:rsid w:val="037601FA"/>
    <w:rsid w:val="03D535E5"/>
    <w:rsid w:val="03DF7B00"/>
    <w:rsid w:val="03EA7B21"/>
    <w:rsid w:val="0402625E"/>
    <w:rsid w:val="040633AF"/>
    <w:rsid w:val="046C19F9"/>
    <w:rsid w:val="048370AC"/>
    <w:rsid w:val="049D2B25"/>
    <w:rsid w:val="04B62978"/>
    <w:rsid w:val="04CA0657"/>
    <w:rsid w:val="04F5213A"/>
    <w:rsid w:val="05246E53"/>
    <w:rsid w:val="054007EF"/>
    <w:rsid w:val="05F83EAE"/>
    <w:rsid w:val="05F85614"/>
    <w:rsid w:val="060A0533"/>
    <w:rsid w:val="063E7D85"/>
    <w:rsid w:val="06986B34"/>
    <w:rsid w:val="069B7B07"/>
    <w:rsid w:val="071C4003"/>
    <w:rsid w:val="071E271D"/>
    <w:rsid w:val="072406C0"/>
    <w:rsid w:val="07293586"/>
    <w:rsid w:val="07295285"/>
    <w:rsid w:val="07367AF8"/>
    <w:rsid w:val="074B14F0"/>
    <w:rsid w:val="07636392"/>
    <w:rsid w:val="076B03D0"/>
    <w:rsid w:val="07770C56"/>
    <w:rsid w:val="077C5CB6"/>
    <w:rsid w:val="079E16FE"/>
    <w:rsid w:val="07AD5E6F"/>
    <w:rsid w:val="07BC30BB"/>
    <w:rsid w:val="07DC5DE3"/>
    <w:rsid w:val="07E90C0C"/>
    <w:rsid w:val="07EC66F1"/>
    <w:rsid w:val="08271850"/>
    <w:rsid w:val="083C596B"/>
    <w:rsid w:val="08557C33"/>
    <w:rsid w:val="08D318AA"/>
    <w:rsid w:val="08DE5E12"/>
    <w:rsid w:val="08F66B64"/>
    <w:rsid w:val="09122101"/>
    <w:rsid w:val="092217DD"/>
    <w:rsid w:val="093A7294"/>
    <w:rsid w:val="095E53F8"/>
    <w:rsid w:val="09874053"/>
    <w:rsid w:val="0A035B54"/>
    <w:rsid w:val="0A263993"/>
    <w:rsid w:val="0A2D3AC2"/>
    <w:rsid w:val="0A466017"/>
    <w:rsid w:val="0A4D7781"/>
    <w:rsid w:val="0A534A60"/>
    <w:rsid w:val="0A8005BE"/>
    <w:rsid w:val="0AA755DF"/>
    <w:rsid w:val="0AC71775"/>
    <w:rsid w:val="0ADB1D9A"/>
    <w:rsid w:val="0B120D44"/>
    <w:rsid w:val="0B2341BD"/>
    <w:rsid w:val="0B257D33"/>
    <w:rsid w:val="0B5D3175"/>
    <w:rsid w:val="0B772A1C"/>
    <w:rsid w:val="0B7F1622"/>
    <w:rsid w:val="0BD27BF6"/>
    <w:rsid w:val="0BEE007E"/>
    <w:rsid w:val="0C1B6EE8"/>
    <w:rsid w:val="0C1E0ED8"/>
    <w:rsid w:val="0C245FE6"/>
    <w:rsid w:val="0C273813"/>
    <w:rsid w:val="0C3B3C7D"/>
    <w:rsid w:val="0C4A717C"/>
    <w:rsid w:val="0C9E231F"/>
    <w:rsid w:val="0CAB2EAE"/>
    <w:rsid w:val="0D420585"/>
    <w:rsid w:val="0D621C7D"/>
    <w:rsid w:val="0D6425D5"/>
    <w:rsid w:val="0D910089"/>
    <w:rsid w:val="0DB25AB2"/>
    <w:rsid w:val="0DD01949"/>
    <w:rsid w:val="0DE8160B"/>
    <w:rsid w:val="0E3B6E96"/>
    <w:rsid w:val="0E541C49"/>
    <w:rsid w:val="0E73034D"/>
    <w:rsid w:val="0E8556F5"/>
    <w:rsid w:val="0EB21ECA"/>
    <w:rsid w:val="0F13775A"/>
    <w:rsid w:val="0F191093"/>
    <w:rsid w:val="0F273929"/>
    <w:rsid w:val="0F5F45FE"/>
    <w:rsid w:val="0F65560C"/>
    <w:rsid w:val="0F9A112B"/>
    <w:rsid w:val="101144C8"/>
    <w:rsid w:val="1050299B"/>
    <w:rsid w:val="106D2F64"/>
    <w:rsid w:val="10AA3D1C"/>
    <w:rsid w:val="10B63710"/>
    <w:rsid w:val="10C52C69"/>
    <w:rsid w:val="10CE4BAC"/>
    <w:rsid w:val="10D00BE5"/>
    <w:rsid w:val="10F10820"/>
    <w:rsid w:val="10FE7A46"/>
    <w:rsid w:val="111C2F7A"/>
    <w:rsid w:val="111F7AD8"/>
    <w:rsid w:val="11665CA1"/>
    <w:rsid w:val="116D4EF6"/>
    <w:rsid w:val="11871FEC"/>
    <w:rsid w:val="11B476D5"/>
    <w:rsid w:val="122A4C8C"/>
    <w:rsid w:val="125A1009"/>
    <w:rsid w:val="128408EE"/>
    <w:rsid w:val="12D47279"/>
    <w:rsid w:val="13336C70"/>
    <w:rsid w:val="13763470"/>
    <w:rsid w:val="13802955"/>
    <w:rsid w:val="13927F1A"/>
    <w:rsid w:val="13951726"/>
    <w:rsid w:val="13D73813"/>
    <w:rsid w:val="1406046E"/>
    <w:rsid w:val="1433594E"/>
    <w:rsid w:val="14396509"/>
    <w:rsid w:val="147B6665"/>
    <w:rsid w:val="14827199"/>
    <w:rsid w:val="14A22BAF"/>
    <w:rsid w:val="14C90DDA"/>
    <w:rsid w:val="14CB5228"/>
    <w:rsid w:val="14DC5FE6"/>
    <w:rsid w:val="14DD2C3C"/>
    <w:rsid w:val="150443FD"/>
    <w:rsid w:val="151632A6"/>
    <w:rsid w:val="15641317"/>
    <w:rsid w:val="16087E1D"/>
    <w:rsid w:val="16300397"/>
    <w:rsid w:val="16367A82"/>
    <w:rsid w:val="166B3658"/>
    <w:rsid w:val="168518C5"/>
    <w:rsid w:val="172A441F"/>
    <w:rsid w:val="176C18A3"/>
    <w:rsid w:val="17701D14"/>
    <w:rsid w:val="17735226"/>
    <w:rsid w:val="17A35FA7"/>
    <w:rsid w:val="17EC02EE"/>
    <w:rsid w:val="180F75B5"/>
    <w:rsid w:val="188E3A9B"/>
    <w:rsid w:val="189F624C"/>
    <w:rsid w:val="18B96724"/>
    <w:rsid w:val="190C0F7C"/>
    <w:rsid w:val="192B135A"/>
    <w:rsid w:val="19445F08"/>
    <w:rsid w:val="197530F1"/>
    <w:rsid w:val="198A7DBF"/>
    <w:rsid w:val="19A846E9"/>
    <w:rsid w:val="19C16665"/>
    <w:rsid w:val="1A14035F"/>
    <w:rsid w:val="1A1916CE"/>
    <w:rsid w:val="1A1C66C0"/>
    <w:rsid w:val="1A42393B"/>
    <w:rsid w:val="1A7D7923"/>
    <w:rsid w:val="1AAC0209"/>
    <w:rsid w:val="1AAD45DE"/>
    <w:rsid w:val="1ACD480D"/>
    <w:rsid w:val="1B046F80"/>
    <w:rsid w:val="1B087B35"/>
    <w:rsid w:val="1B0B3436"/>
    <w:rsid w:val="1B0E69BE"/>
    <w:rsid w:val="1B1676E9"/>
    <w:rsid w:val="1B2E264A"/>
    <w:rsid w:val="1B3267B5"/>
    <w:rsid w:val="1B35657C"/>
    <w:rsid w:val="1B40161D"/>
    <w:rsid w:val="1B44028C"/>
    <w:rsid w:val="1B441859"/>
    <w:rsid w:val="1B6606B1"/>
    <w:rsid w:val="1B7754E2"/>
    <w:rsid w:val="1B9E3C25"/>
    <w:rsid w:val="1BD8186D"/>
    <w:rsid w:val="1BFC6C2C"/>
    <w:rsid w:val="1C4526C3"/>
    <w:rsid w:val="1C5A38F9"/>
    <w:rsid w:val="1C5E7925"/>
    <w:rsid w:val="1C723D84"/>
    <w:rsid w:val="1C747715"/>
    <w:rsid w:val="1C7A3E10"/>
    <w:rsid w:val="1C7F3969"/>
    <w:rsid w:val="1C9A6EB8"/>
    <w:rsid w:val="1CA27AA1"/>
    <w:rsid w:val="1CA644FD"/>
    <w:rsid w:val="1CD0259C"/>
    <w:rsid w:val="1CDE1E04"/>
    <w:rsid w:val="1CFD070F"/>
    <w:rsid w:val="1D5F6196"/>
    <w:rsid w:val="1D6132A5"/>
    <w:rsid w:val="1D8E4AC5"/>
    <w:rsid w:val="1D8E56D5"/>
    <w:rsid w:val="1D9B6AEB"/>
    <w:rsid w:val="1DC046F7"/>
    <w:rsid w:val="1DC7661E"/>
    <w:rsid w:val="1DFE48A6"/>
    <w:rsid w:val="1E5C5980"/>
    <w:rsid w:val="1E5E7A6C"/>
    <w:rsid w:val="1E7A43DA"/>
    <w:rsid w:val="1EA3028D"/>
    <w:rsid w:val="1EC07A30"/>
    <w:rsid w:val="1ECC3640"/>
    <w:rsid w:val="1EFC7BF6"/>
    <w:rsid w:val="1F473F03"/>
    <w:rsid w:val="1F8F0DB0"/>
    <w:rsid w:val="1F9333B6"/>
    <w:rsid w:val="1FB23DEB"/>
    <w:rsid w:val="1FDB173C"/>
    <w:rsid w:val="1FE7539E"/>
    <w:rsid w:val="1FF160FD"/>
    <w:rsid w:val="200A4117"/>
    <w:rsid w:val="202F40C1"/>
    <w:rsid w:val="20650337"/>
    <w:rsid w:val="20671BE0"/>
    <w:rsid w:val="20677BD1"/>
    <w:rsid w:val="207A0A62"/>
    <w:rsid w:val="208E288A"/>
    <w:rsid w:val="20963CB8"/>
    <w:rsid w:val="20A81A1B"/>
    <w:rsid w:val="20B07FB6"/>
    <w:rsid w:val="20B646FB"/>
    <w:rsid w:val="20D546FC"/>
    <w:rsid w:val="213B74B1"/>
    <w:rsid w:val="214C0077"/>
    <w:rsid w:val="215A2310"/>
    <w:rsid w:val="21B4366D"/>
    <w:rsid w:val="21C30312"/>
    <w:rsid w:val="21CA077D"/>
    <w:rsid w:val="21DE318A"/>
    <w:rsid w:val="21E91A10"/>
    <w:rsid w:val="21EA7B7C"/>
    <w:rsid w:val="21EF5B80"/>
    <w:rsid w:val="22003BE9"/>
    <w:rsid w:val="22421F07"/>
    <w:rsid w:val="22531216"/>
    <w:rsid w:val="22576990"/>
    <w:rsid w:val="225D44B4"/>
    <w:rsid w:val="225E10D0"/>
    <w:rsid w:val="227D6D3F"/>
    <w:rsid w:val="22A504FD"/>
    <w:rsid w:val="22BF0CBB"/>
    <w:rsid w:val="22F47480"/>
    <w:rsid w:val="231B419E"/>
    <w:rsid w:val="23314389"/>
    <w:rsid w:val="234436D4"/>
    <w:rsid w:val="236F3DD0"/>
    <w:rsid w:val="23953F30"/>
    <w:rsid w:val="23DE1C48"/>
    <w:rsid w:val="240210CD"/>
    <w:rsid w:val="242B03F0"/>
    <w:rsid w:val="242D234E"/>
    <w:rsid w:val="24365C1F"/>
    <w:rsid w:val="24784D8B"/>
    <w:rsid w:val="247D540C"/>
    <w:rsid w:val="24953B9C"/>
    <w:rsid w:val="249B4074"/>
    <w:rsid w:val="24BF09F7"/>
    <w:rsid w:val="24C152FB"/>
    <w:rsid w:val="24D7292C"/>
    <w:rsid w:val="24D9601F"/>
    <w:rsid w:val="24DE3219"/>
    <w:rsid w:val="24FB72CB"/>
    <w:rsid w:val="252D53FE"/>
    <w:rsid w:val="2540394F"/>
    <w:rsid w:val="256F20BC"/>
    <w:rsid w:val="25AB2D71"/>
    <w:rsid w:val="25C36A90"/>
    <w:rsid w:val="25EC2D81"/>
    <w:rsid w:val="2605353A"/>
    <w:rsid w:val="26194A36"/>
    <w:rsid w:val="26257501"/>
    <w:rsid w:val="263D0137"/>
    <w:rsid w:val="26467763"/>
    <w:rsid w:val="26544AF8"/>
    <w:rsid w:val="268725FF"/>
    <w:rsid w:val="26964B07"/>
    <w:rsid w:val="26A90A61"/>
    <w:rsid w:val="274F0899"/>
    <w:rsid w:val="277057A2"/>
    <w:rsid w:val="27A8782B"/>
    <w:rsid w:val="2810637C"/>
    <w:rsid w:val="288875D1"/>
    <w:rsid w:val="28956BF9"/>
    <w:rsid w:val="28D838A6"/>
    <w:rsid w:val="28F214DC"/>
    <w:rsid w:val="2916215C"/>
    <w:rsid w:val="291D7A66"/>
    <w:rsid w:val="29206EB8"/>
    <w:rsid w:val="293C74A4"/>
    <w:rsid w:val="29595666"/>
    <w:rsid w:val="29874881"/>
    <w:rsid w:val="29997B5A"/>
    <w:rsid w:val="29E325E0"/>
    <w:rsid w:val="2A43616A"/>
    <w:rsid w:val="2A452503"/>
    <w:rsid w:val="2A9049C0"/>
    <w:rsid w:val="2AAC3C93"/>
    <w:rsid w:val="2AC21EC2"/>
    <w:rsid w:val="2ACA38A3"/>
    <w:rsid w:val="2AD16A95"/>
    <w:rsid w:val="2AD836D5"/>
    <w:rsid w:val="2AF76D76"/>
    <w:rsid w:val="2B367280"/>
    <w:rsid w:val="2B4648E3"/>
    <w:rsid w:val="2B6443BC"/>
    <w:rsid w:val="2B822FEC"/>
    <w:rsid w:val="2BA936A8"/>
    <w:rsid w:val="2BBE3F49"/>
    <w:rsid w:val="2BD84CF3"/>
    <w:rsid w:val="2C086D22"/>
    <w:rsid w:val="2C105FCB"/>
    <w:rsid w:val="2C17301C"/>
    <w:rsid w:val="2C315A5A"/>
    <w:rsid w:val="2C3863F7"/>
    <w:rsid w:val="2C4B1C25"/>
    <w:rsid w:val="2CC96CB5"/>
    <w:rsid w:val="2D3A7BD3"/>
    <w:rsid w:val="2D9E56F5"/>
    <w:rsid w:val="2DC50E78"/>
    <w:rsid w:val="2E667F96"/>
    <w:rsid w:val="2E6A1CC8"/>
    <w:rsid w:val="2E6F0DA4"/>
    <w:rsid w:val="2E8226AB"/>
    <w:rsid w:val="2E9A573B"/>
    <w:rsid w:val="2F1523C9"/>
    <w:rsid w:val="2F2A2F99"/>
    <w:rsid w:val="2F2C131E"/>
    <w:rsid w:val="2F571ECA"/>
    <w:rsid w:val="2F590D5D"/>
    <w:rsid w:val="2F913FDB"/>
    <w:rsid w:val="2FD065E6"/>
    <w:rsid w:val="2FD96870"/>
    <w:rsid w:val="3006378E"/>
    <w:rsid w:val="303B168C"/>
    <w:rsid w:val="30580BC9"/>
    <w:rsid w:val="30675139"/>
    <w:rsid w:val="306E2C8A"/>
    <w:rsid w:val="307D0225"/>
    <w:rsid w:val="3088561E"/>
    <w:rsid w:val="30B14FA8"/>
    <w:rsid w:val="30C75020"/>
    <w:rsid w:val="30C94BFD"/>
    <w:rsid w:val="30E2196A"/>
    <w:rsid w:val="311E2ED7"/>
    <w:rsid w:val="315619EE"/>
    <w:rsid w:val="315C449C"/>
    <w:rsid w:val="31B82709"/>
    <w:rsid w:val="31D05482"/>
    <w:rsid w:val="3204041E"/>
    <w:rsid w:val="322D3DB8"/>
    <w:rsid w:val="32396D81"/>
    <w:rsid w:val="323E14E0"/>
    <w:rsid w:val="32400B34"/>
    <w:rsid w:val="3246731F"/>
    <w:rsid w:val="32522951"/>
    <w:rsid w:val="32582CF8"/>
    <w:rsid w:val="32745874"/>
    <w:rsid w:val="32770428"/>
    <w:rsid w:val="329D268F"/>
    <w:rsid w:val="329E6876"/>
    <w:rsid w:val="32A136CC"/>
    <w:rsid w:val="32AB3903"/>
    <w:rsid w:val="32B30DF2"/>
    <w:rsid w:val="32B67F92"/>
    <w:rsid w:val="3312484B"/>
    <w:rsid w:val="333015F2"/>
    <w:rsid w:val="334B6320"/>
    <w:rsid w:val="335F22D1"/>
    <w:rsid w:val="33781F9F"/>
    <w:rsid w:val="338C4553"/>
    <w:rsid w:val="33AA7583"/>
    <w:rsid w:val="33CD62D6"/>
    <w:rsid w:val="33D934D4"/>
    <w:rsid w:val="33FE2F6A"/>
    <w:rsid w:val="340622E0"/>
    <w:rsid w:val="340E07E5"/>
    <w:rsid w:val="34235BF7"/>
    <w:rsid w:val="344238F5"/>
    <w:rsid w:val="344A7D4B"/>
    <w:rsid w:val="347C1BFB"/>
    <w:rsid w:val="348F067B"/>
    <w:rsid w:val="34A13EEF"/>
    <w:rsid w:val="34B21F5E"/>
    <w:rsid w:val="34BF34B0"/>
    <w:rsid w:val="34F43B30"/>
    <w:rsid w:val="34F52A35"/>
    <w:rsid w:val="350266CC"/>
    <w:rsid w:val="354A4570"/>
    <w:rsid w:val="357664F0"/>
    <w:rsid w:val="3589141A"/>
    <w:rsid w:val="358C5FA8"/>
    <w:rsid w:val="35A93182"/>
    <w:rsid w:val="35B30245"/>
    <w:rsid w:val="35C15DF1"/>
    <w:rsid w:val="36074A7F"/>
    <w:rsid w:val="362F545F"/>
    <w:rsid w:val="367F3DDD"/>
    <w:rsid w:val="36923549"/>
    <w:rsid w:val="36B75FBF"/>
    <w:rsid w:val="36BD0C45"/>
    <w:rsid w:val="378445E5"/>
    <w:rsid w:val="37A07E53"/>
    <w:rsid w:val="37A371FE"/>
    <w:rsid w:val="37B4411A"/>
    <w:rsid w:val="37C8622A"/>
    <w:rsid w:val="37E00298"/>
    <w:rsid w:val="37E25E93"/>
    <w:rsid w:val="3828316D"/>
    <w:rsid w:val="3829134B"/>
    <w:rsid w:val="38862EB6"/>
    <w:rsid w:val="38871C41"/>
    <w:rsid w:val="38B302F9"/>
    <w:rsid w:val="38C62861"/>
    <w:rsid w:val="38F12CD3"/>
    <w:rsid w:val="38F94775"/>
    <w:rsid w:val="39057E39"/>
    <w:rsid w:val="392971ED"/>
    <w:rsid w:val="39325651"/>
    <w:rsid w:val="39405491"/>
    <w:rsid w:val="397C5F97"/>
    <w:rsid w:val="397E02EA"/>
    <w:rsid w:val="39A57F90"/>
    <w:rsid w:val="3A0147FF"/>
    <w:rsid w:val="3A2C7423"/>
    <w:rsid w:val="3A4234A3"/>
    <w:rsid w:val="3A4D726C"/>
    <w:rsid w:val="3A501D29"/>
    <w:rsid w:val="3A6A580A"/>
    <w:rsid w:val="3A872856"/>
    <w:rsid w:val="3B034A35"/>
    <w:rsid w:val="3B363C0B"/>
    <w:rsid w:val="3B3763D1"/>
    <w:rsid w:val="3B3D3E34"/>
    <w:rsid w:val="3B697F88"/>
    <w:rsid w:val="3B7E1B7B"/>
    <w:rsid w:val="3BF33A92"/>
    <w:rsid w:val="3C180857"/>
    <w:rsid w:val="3C2F6E1E"/>
    <w:rsid w:val="3C403EE9"/>
    <w:rsid w:val="3C4F64BA"/>
    <w:rsid w:val="3C553911"/>
    <w:rsid w:val="3CAD1E92"/>
    <w:rsid w:val="3CC51CC5"/>
    <w:rsid w:val="3CDA245A"/>
    <w:rsid w:val="3CF5076E"/>
    <w:rsid w:val="3D1E06B7"/>
    <w:rsid w:val="3D6B051D"/>
    <w:rsid w:val="3D8C3CF6"/>
    <w:rsid w:val="3D8C469F"/>
    <w:rsid w:val="3D9B7472"/>
    <w:rsid w:val="3DC50DB7"/>
    <w:rsid w:val="3E142648"/>
    <w:rsid w:val="3E223883"/>
    <w:rsid w:val="3E2F76DB"/>
    <w:rsid w:val="3E810F9B"/>
    <w:rsid w:val="3E81663B"/>
    <w:rsid w:val="3EBC7284"/>
    <w:rsid w:val="3EBE77C4"/>
    <w:rsid w:val="3EC0051B"/>
    <w:rsid w:val="3EDA0523"/>
    <w:rsid w:val="3EEA02A7"/>
    <w:rsid w:val="3EF773F5"/>
    <w:rsid w:val="3F1417BC"/>
    <w:rsid w:val="3F4D04D8"/>
    <w:rsid w:val="3F5E47A0"/>
    <w:rsid w:val="3F604F9A"/>
    <w:rsid w:val="3F765F1D"/>
    <w:rsid w:val="3FCC5C89"/>
    <w:rsid w:val="3FD94355"/>
    <w:rsid w:val="400923D0"/>
    <w:rsid w:val="407A6407"/>
    <w:rsid w:val="40C944FE"/>
    <w:rsid w:val="40E65492"/>
    <w:rsid w:val="412F731A"/>
    <w:rsid w:val="4135127B"/>
    <w:rsid w:val="419404DE"/>
    <w:rsid w:val="4200449D"/>
    <w:rsid w:val="421577C6"/>
    <w:rsid w:val="42223074"/>
    <w:rsid w:val="423A3BCC"/>
    <w:rsid w:val="424E57D2"/>
    <w:rsid w:val="42B26C49"/>
    <w:rsid w:val="42BF647C"/>
    <w:rsid w:val="430B563D"/>
    <w:rsid w:val="43166DD8"/>
    <w:rsid w:val="433A6FE6"/>
    <w:rsid w:val="43480868"/>
    <w:rsid w:val="434926DB"/>
    <w:rsid w:val="434D77B9"/>
    <w:rsid w:val="4350713C"/>
    <w:rsid w:val="436653E0"/>
    <w:rsid w:val="43A0005B"/>
    <w:rsid w:val="43C4431A"/>
    <w:rsid w:val="4498393F"/>
    <w:rsid w:val="44B14554"/>
    <w:rsid w:val="44B951CC"/>
    <w:rsid w:val="44CD14E0"/>
    <w:rsid w:val="44F20B0B"/>
    <w:rsid w:val="451E5644"/>
    <w:rsid w:val="452758A3"/>
    <w:rsid w:val="452E5F4C"/>
    <w:rsid w:val="45443AF5"/>
    <w:rsid w:val="45476AB3"/>
    <w:rsid w:val="45612018"/>
    <w:rsid w:val="458946E9"/>
    <w:rsid w:val="45A47C0E"/>
    <w:rsid w:val="45D9424B"/>
    <w:rsid w:val="46577FD6"/>
    <w:rsid w:val="465822A4"/>
    <w:rsid w:val="46CB4320"/>
    <w:rsid w:val="46D62FA1"/>
    <w:rsid w:val="46D955A7"/>
    <w:rsid w:val="470F516D"/>
    <w:rsid w:val="47133957"/>
    <w:rsid w:val="4722142B"/>
    <w:rsid w:val="47A07E0C"/>
    <w:rsid w:val="47AA4406"/>
    <w:rsid w:val="47F406AC"/>
    <w:rsid w:val="480743A7"/>
    <w:rsid w:val="481C17DF"/>
    <w:rsid w:val="485A2886"/>
    <w:rsid w:val="4870272E"/>
    <w:rsid w:val="487033F9"/>
    <w:rsid w:val="48A00EA8"/>
    <w:rsid w:val="48A979B2"/>
    <w:rsid w:val="48F35C16"/>
    <w:rsid w:val="490D68EC"/>
    <w:rsid w:val="491312CF"/>
    <w:rsid w:val="498007AC"/>
    <w:rsid w:val="49DC7715"/>
    <w:rsid w:val="4A023139"/>
    <w:rsid w:val="4A171EC4"/>
    <w:rsid w:val="4A5141EB"/>
    <w:rsid w:val="4A7B576F"/>
    <w:rsid w:val="4ABD4C3D"/>
    <w:rsid w:val="4AF561A9"/>
    <w:rsid w:val="4B177CC7"/>
    <w:rsid w:val="4B8A432B"/>
    <w:rsid w:val="4BBE6631"/>
    <w:rsid w:val="4BC3410B"/>
    <w:rsid w:val="4C0D2006"/>
    <w:rsid w:val="4C4A0649"/>
    <w:rsid w:val="4C650797"/>
    <w:rsid w:val="4C705677"/>
    <w:rsid w:val="4C7E5ECA"/>
    <w:rsid w:val="4C876AA5"/>
    <w:rsid w:val="4CD74990"/>
    <w:rsid w:val="4CE70AA9"/>
    <w:rsid w:val="4D032BFB"/>
    <w:rsid w:val="4D0E00FB"/>
    <w:rsid w:val="4D176606"/>
    <w:rsid w:val="4D1E0FB7"/>
    <w:rsid w:val="4D427740"/>
    <w:rsid w:val="4D7A6F35"/>
    <w:rsid w:val="4D84736B"/>
    <w:rsid w:val="4DB23349"/>
    <w:rsid w:val="4DC81591"/>
    <w:rsid w:val="4DD0397B"/>
    <w:rsid w:val="4DDA7F5C"/>
    <w:rsid w:val="4DEB089B"/>
    <w:rsid w:val="4DEC4FB0"/>
    <w:rsid w:val="4E075D8A"/>
    <w:rsid w:val="4E3D3484"/>
    <w:rsid w:val="4E4D52E3"/>
    <w:rsid w:val="4E6A4EAA"/>
    <w:rsid w:val="4E980319"/>
    <w:rsid w:val="4EAC26D1"/>
    <w:rsid w:val="4EB76702"/>
    <w:rsid w:val="4EBF66D1"/>
    <w:rsid w:val="4EC00FAD"/>
    <w:rsid w:val="4EEC4E69"/>
    <w:rsid w:val="4F3A52E9"/>
    <w:rsid w:val="4F4949CF"/>
    <w:rsid w:val="4F524CFA"/>
    <w:rsid w:val="4F6C3DB6"/>
    <w:rsid w:val="4F8922EB"/>
    <w:rsid w:val="4F9843DC"/>
    <w:rsid w:val="4FC3518E"/>
    <w:rsid w:val="4FC62A8C"/>
    <w:rsid w:val="4FE20F0D"/>
    <w:rsid w:val="4FE51552"/>
    <w:rsid w:val="50504C4B"/>
    <w:rsid w:val="50556174"/>
    <w:rsid w:val="509C6E7C"/>
    <w:rsid w:val="510F2263"/>
    <w:rsid w:val="51142CB1"/>
    <w:rsid w:val="5162104E"/>
    <w:rsid w:val="518E1E3B"/>
    <w:rsid w:val="51B664C3"/>
    <w:rsid w:val="51EB6C10"/>
    <w:rsid w:val="5254693E"/>
    <w:rsid w:val="52846D9A"/>
    <w:rsid w:val="52B61B9E"/>
    <w:rsid w:val="52BE12D3"/>
    <w:rsid w:val="530631B5"/>
    <w:rsid w:val="531D2A55"/>
    <w:rsid w:val="533E07D3"/>
    <w:rsid w:val="534B0A7E"/>
    <w:rsid w:val="534F7FA1"/>
    <w:rsid w:val="539D13C9"/>
    <w:rsid w:val="53A039CC"/>
    <w:rsid w:val="53A072DB"/>
    <w:rsid w:val="53A1505A"/>
    <w:rsid w:val="53BB45B2"/>
    <w:rsid w:val="53EE3410"/>
    <w:rsid w:val="53FF4D02"/>
    <w:rsid w:val="540206FE"/>
    <w:rsid w:val="54063E08"/>
    <w:rsid w:val="543437E8"/>
    <w:rsid w:val="543865A6"/>
    <w:rsid w:val="544D5B4C"/>
    <w:rsid w:val="54D25A42"/>
    <w:rsid w:val="54F73313"/>
    <w:rsid w:val="54F80955"/>
    <w:rsid w:val="54FB006D"/>
    <w:rsid w:val="555170A7"/>
    <w:rsid w:val="555E4144"/>
    <w:rsid w:val="55742FA9"/>
    <w:rsid w:val="5587536D"/>
    <w:rsid w:val="559B174B"/>
    <w:rsid w:val="55C4535F"/>
    <w:rsid w:val="55CE0CF4"/>
    <w:rsid w:val="55D27460"/>
    <w:rsid w:val="55EA3197"/>
    <w:rsid w:val="55ED3D94"/>
    <w:rsid w:val="56042EAE"/>
    <w:rsid w:val="564B3E56"/>
    <w:rsid w:val="56586573"/>
    <w:rsid w:val="5670786E"/>
    <w:rsid w:val="56A34F49"/>
    <w:rsid w:val="56AD29AD"/>
    <w:rsid w:val="56B22A9C"/>
    <w:rsid w:val="56DA30BE"/>
    <w:rsid w:val="56DC53F6"/>
    <w:rsid w:val="57367A44"/>
    <w:rsid w:val="57656C0F"/>
    <w:rsid w:val="57B72A76"/>
    <w:rsid w:val="57C3426C"/>
    <w:rsid w:val="57CE1F93"/>
    <w:rsid w:val="57DB442F"/>
    <w:rsid w:val="58003366"/>
    <w:rsid w:val="58024B2E"/>
    <w:rsid w:val="5857218C"/>
    <w:rsid w:val="58624990"/>
    <w:rsid w:val="58627AB9"/>
    <w:rsid w:val="58700F79"/>
    <w:rsid w:val="58757391"/>
    <w:rsid w:val="588743D1"/>
    <w:rsid w:val="5887701A"/>
    <w:rsid w:val="588903DF"/>
    <w:rsid w:val="5889335C"/>
    <w:rsid w:val="58894507"/>
    <w:rsid w:val="58D7324C"/>
    <w:rsid w:val="59713EC7"/>
    <w:rsid w:val="59AC5757"/>
    <w:rsid w:val="59C0439F"/>
    <w:rsid w:val="59E770A7"/>
    <w:rsid w:val="5A0E4B39"/>
    <w:rsid w:val="5A3A4840"/>
    <w:rsid w:val="5A647881"/>
    <w:rsid w:val="5A867AB6"/>
    <w:rsid w:val="5ABE2233"/>
    <w:rsid w:val="5AE23DEE"/>
    <w:rsid w:val="5B046CCA"/>
    <w:rsid w:val="5B2607A6"/>
    <w:rsid w:val="5B5D0D33"/>
    <w:rsid w:val="5B765E19"/>
    <w:rsid w:val="5BDF5D95"/>
    <w:rsid w:val="5BF22FC6"/>
    <w:rsid w:val="5BFE7528"/>
    <w:rsid w:val="5C336A08"/>
    <w:rsid w:val="5C36795F"/>
    <w:rsid w:val="5CD526CC"/>
    <w:rsid w:val="5CD66E81"/>
    <w:rsid w:val="5CE24AA5"/>
    <w:rsid w:val="5D934C1D"/>
    <w:rsid w:val="5DB83633"/>
    <w:rsid w:val="5E0273CD"/>
    <w:rsid w:val="5E2467F1"/>
    <w:rsid w:val="5E76610C"/>
    <w:rsid w:val="5F1A2B43"/>
    <w:rsid w:val="5F217D42"/>
    <w:rsid w:val="5F3B3A7F"/>
    <w:rsid w:val="5F413CBE"/>
    <w:rsid w:val="5F7614B4"/>
    <w:rsid w:val="5F7F18F7"/>
    <w:rsid w:val="5FB80C6D"/>
    <w:rsid w:val="5FB837BB"/>
    <w:rsid w:val="5FCD1D80"/>
    <w:rsid w:val="600D0602"/>
    <w:rsid w:val="600E479A"/>
    <w:rsid w:val="60CC405A"/>
    <w:rsid w:val="60E61F2A"/>
    <w:rsid w:val="60F43D59"/>
    <w:rsid w:val="610341DF"/>
    <w:rsid w:val="61890C06"/>
    <w:rsid w:val="61A97A88"/>
    <w:rsid w:val="61AE4032"/>
    <w:rsid w:val="61E215D8"/>
    <w:rsid w:val="61F07C7B"/>
    <w:rsid w:val="61F95DAE"/>
    <w:rsid w:val="6219327F"/>
    <w:rsid w:val="621B3775"/>
    <w:rsid w:val="62364782"/>
    <w:rsid w:val="62370DDA"/>
    <w:rsid w:val="623954AB"/>
    <w:rsid w:val="625D705F"/>
    <w:rsid w:val="62765EAF"/>
    <w:rsid w:val="629B2FCA"/>
    <w:rsid w:val="629C681A"/>
    <w:rsid w:val="62AF1DE5"/>
    <w:rsid w:val="62CD3C40"/>
    <w:rsid w:val="630E0E82"/>
    <w:rsid w:val="63415735"/>
    <w:rsid w:val="63567C40"/>
    <w:rsid w:val="636E1548"/>
    <w:rsid w:val="6394356A"/>
    <w:rsid w:val="639A7C99"/>
    <w:rsid w:val="63C10581"/>
    <w:rsid w:val="63C14FC9"/>
    <w:rsid w:val="63C61B2C"/>
    <w:rsid w:val="63D40BE9"/>
    <w:rsid w:val="64102431"/>
    <w:rsid w:val="64306D81"/>
    <w:rsid w:val="646734C9"/>
    <w:rsid w:val="647D432E"/>
    <w:rsid w:val="648E47E5"/>
    <w:rsid w:val="649472D4"/>
    <w:rsid w:val="64A5243A"/>
    <w:rsid w:val="64A6694A"/>
    <w:rsid w:val="64EE670D"/>
    <w:rsid w:val="64F11575"/>
    <w:rsid w:val="64F531DE"/>
    <w:rsid w:val="64F572FE"/>
    <w:rsid w:val="64F658D5"/>
    <w:rsid w:val="65373578"/>
    <w:rsid w:val="65541D3C"/>
    <w:rsid w:val="65924F60"/>
    <w:rsid w:val="65E10241"/>
    <w:rsid w:val="65F57B28"/>
    <w:rsid w:val="65FB0A73"/>
    <w:rsid w:val="663137CD"/>
    <w:rsid w:val="66D45F39"/>
    <w:rsid w:val="671F124A"/>
    <w:rsid w:val="677A33C6"/>
    <w:rsid w:val="678559EB"/>
    <w:rsid w:val="681D1D02"/>
    <w:rsid w:val="681F6961"/>
    <w:rsid w:val="684C37D3"/>
    <w:rsid w:val="68610A2F"/>
    <w:rsid w:val="68622CF6"/>
    <w:rsid w:val="687B3B9F"/>
    <w:rsid w:val="68805514"/>
    <w:rsid w:val="688C42F3"/>
    <w:rsid w:val="69316E2F"/>
    <w:rsid w:val="694E2071"/>
    <w:rsid w:val="69766163"/>
    <w:rsid w:val="697A3B33"/>
    <w:rsid w:val="69A80350"/>
    <w:rsid w:val="69B53FB1"/>
    <w:rsid w:val="69D44760"/>
    <w:rsid w:val="69EE4BEC"/>
    <w:rsid w:val="69F23D96"/>
    <w:rsid w:val="6A470981"/>
    <w:rsid w:val="6A520EC7"/>
    <w:rsid w:val="6A7327BB"/>
    <w:rsid w:val="6A8614A9"/>
    <w:rsid w:val="6AA54BCB"/>
    <w:rsid w:val="6ADC7728"/>
    <w:rsid w:val="6AF87E20"/>
    <w:rsid w:val="6B021A71"/>
    <w:rsid w:val="6B1323B3"/>
    <w:rsid w:val="6B16507C"/>
    <w:rsid w:val="6B322639"/>
    <w:rsid w:val="6B4E2E45"/>
    <w:rsid w:val="6B605EFC"/>
    <w:rsid w:val="6B693588"/>
    <w:rsid w:val="6B982571"/>
    <w:rsid w:val="6BAE6F0A"/>
    <w:rsid w:val="6BCD06CD"/>
    <w:rsid w:val="6BD439F7"/>
    <w:rsid w:val="6C2C3F1B"/>
    <w:rsid w:val="6C3E106A"/>
    <w:rsid w:val="6C5A7BC2"/>
    <w:rsid w:val="6C5F6456"/>
    <w:rsid w:val="6C636C38"/>
    <w:rsid w:val="6C70328B"/>
    <w:rsid w:val="6D0F39D8"/>
    <w:rsid w:val="6D497924"/>
    <w:rsid w:val="6D4D1DFB"/>
    <w:rsid w:val="6D572844"/>
    <w:rsid w:val="6D592D88"/>
    <w:rsid w:val="6D7139FC"/>
    <w:rsid w:val="6DB34098"/>
    <w:rsid w:val="6DB545B6"/>
    <w:rsid w:val="6DE02FB4"/>
    <w:rsid w:val="6E2A33BB"/>
    <w:rsid w:val="6E514CED"/>
    <w:rsid w:val="6E533673"/>
    <w:rsid w:val="6E6B31D2"/>
    <w:rsid w:val="6E6F5D71"/>
    <w:rsid w:val="6E8E745D"/>
    <w:rsid w:val="6E90741A"/>
    <w:rsid w:val="6EB563D5"/>
    <w:rsid w:val="6EC53F99"/>
    <w:rsid w:val="6ED92677"/>
    <w:rsid w:val="6EFB0ED6"/>
    <w:rsid w:val="6EFE46BB"/>
    <w:rsid w:val="6F033F4B"/>
    <w:rsid w:val="6F225983"/>
    <w:rsid w:val="6F91500E"/>
    <w:rsid w:val="6F9B07D0"/>
    <w:rsid w:val="6F9E6BE8"/>
    <w:rsid w:val="6FAC30A3"/>
    <w:rsid w:val="6FAE7D76"/>
    <w:rsid w:val="6FBB5FB8"/>
    <w:rsid w:val="6FFC5590"/>
    <w:rsid w:val="706D1DD0"/>
    <w:rsid w:val="70740D84"/>
    <w:rsid w:val="70856B87"/>
    <w:rsid w:val="70AD03D2"/>
    <w:rsid w:val="70D527EE"/>
    <w:rsid w:val="70E707C8"/>
    <w:rsid w:val="70E9255D"/>
    <w:rsid w:val="710D7687"/>
    <w:rsid w:val="71137D01"/>
    <w:rsid w:val="712F27CB"/>
    <w:rsid w:val="713B092F"/>
    <w:rsid w:val="715B5300"/>
    <w:rsid w:val="715E1726"/>
    <w:rsid w:val="71736146"/>
    <w:rsid w:val="71771B4C"/>
    <w:rsid w:val="71A054CC"/>
    <w:rsid w:val="71B0248B"/>
    <w:rsid w:val="71B420D5"/>
    <w:rsid w:val="71C146E2"/>
    <w:rsid w:val="71C254BD"/>
    <w:rsid w:val="71D27F8A"/>
    <w:rsid w:val="71F8781C"/>
    <w:rsid w:val="721C73F3"/>
    <w:rsid w:val="722D648C"/>
    <w:rsid w:val="723030F6"/>
    <w:rsid w:val="72553024"/>
    <w:rsid w:val="727367B7"/>
    <w:rsid w:val="729060C4"/>
    <w:rsid w:val="72AF20F4"/>
    <w:rsid w:val="72E45620"/>
    <w:rsid w:val="730664AC"/>
    <w:rsid w:val="73122968"/>
    <w:rsid w:val="731F5D5E"/>
    <w:rsid w:val="73306456"/>
    <w:rsid w:val="734E0639"/>
    <w:rsid w:val="73530396"/>
    <w:rsid w:val="73A11102"/>
    <w:rsid w:val="73C51AD5"/>
    <w:rsid w:val="73E334C8"/>
    <w:rsid w:val="73F4128D"/>
    <w:rsid w:val="74005331"/>
    <w:rsid w:val="741E793C"/>
    <w:rsid w:val="74470DF8"/>
    <w:rsid w:val="744B5BA5"/>
    <w:rsid w:val="745E3944"/>
    <w:rsid w:val="75473F01"/>
    <w:rsid w:val="75527BF1"/>
    <w:rsid w:val="756D573F"/>
    <w:rsid w:val="757B355C"/>
    <w:rsid w:val="75C35467"/>
    <w:rsid w:val="75CB690A"/>
    <w:rsid w:val="760203A9"/>
    <w:rsid w:val="76342701"/>
    <w:rsid w:val="7635099D"/>
    <w:rsid w:val="76B964C3"/>
    <w:rsid w:val="76EB2186"/>
    <w:rsid w:val="77047729"/>
    <w:rsid w:val="7727130E"/>
    <w:rsid w:val="77302A96"/>
    <w:rsid w:val="776715F1"/>
    <w:rsid w:val="7772194D"/>
    <w:rsid w:val="77762421"/>
    <w:rsid w:val="77953322"/>
    <w:rsid w:val="77A71245"/>
    <w:rsid w:val="77B56B1F"/>
    <w:rsid w:val="77E218B5"/>
    <w:rsid w:val="77E709D4"/>
    <w:rsid w:val="77F32DDD"/>
    <w:rsid w:val="78017B61"/>
    <w:rsid w:val="780C04D5"/>
    <w:rsid w:val="780F09F4"/>
    <w:rsid w:val="782D12A8"/>
    <w:rsid w:val="784A3684"/>
    <w:rsid w:val="788141AF"/>
    <w:rsid w:val="78895CA5"/>
    <w:rsid w:val="78A12C75"/>
    <w:rsid w:val="78A90480"/>
    <w:rsid w:val="790740FD"/>
    <w:rsid w:val="790A4DA2"/>
    <w:rsid w:val="793803E5"/>
    <w:rsid w:val="793A2672"/>
    <w:rsid w:val="794B29EF"/>
    <w:rsid w:val="79AD468F"/>
    <w:rsid w:val="79D16F8B"/>
    <w:rsid w:val="79FE105C"/>
    <w:rsid w:val="7A0A64E9"/>
    <w:rsid w:val="7A36061E"/>
    <w:rsid w:val="7A364017"/>
    <w:rsid w:val="7A4A6965"/>
    <w:rsid w:val="7A5464DF"/>
    <w:rsid w:val="7A8265E1"/>
    <w:rsid w:val="7A8F43AA"/>
    <w:rsid w:val="7AA80FC8"/>
    <w:rsid w:val="7AE07DA9"/>
    <w:rsid w:val="7B5459FC"/>
    <w:rsid w:val="7B686D42"/>
    <w:rsid w:val="7B7E1122"/>
    <w:rsid w:val="7B841746"/>
    <w:rsid w:val="7BD336F0"/>
    <w:rsid w:val="7BD86E40"/>
    <w:rsid w:val="7BE02571"/>
    <w:rsid w:val="7BFC15CB"/>
    <w:rsid w:val="7C452035"/>
    <w:rsid w:val="7C6C5AC7"/>
    <w:rsid w:val="7C752026"/>
    <w:rsid w:val="7C881908"/>
    <w:rsid w:val="7CC6544B"/>
    <w:rsid w:val="7CD45090"/>
    <w:rsid w:val="7CD51E1C"/>
    <w:rsid w:val="7CD824D6"/>
    <w:rsid w:val="7D0239FF"/>
    <w:rsid w:val="7D0C7ACE"/>
    <w:rsid w:val="7D581FA3"/>
    <w:rsid w:val="7D5E40CD"/>
    <w:rsid w:val="7D971334"/>
    <w:rsid w:val="7DCD56F2"/>
    <w:rsid w:val="7DEC4106"/>
    <w:rsid w:val="7E157F4E"/>
    <w:rsid w:val="7E3461CD"/>
    <w:rsid w:val="7E8D7206"/>
    <w:rsid w:val="7EBC5FEC"/>
    <w:rsid w:val="7ED12D02"/>
    <w:rsid w:val="7EE93D1D"/>
    <w:rsid w:val="7F001CE7"/>
    <w:rsid w:val="7F3532C1"/>
    <w:rsid w:val="7F564293"/>
    <w:rsid w:val="7F6366DB"/>
    <w:rsid w:val="7F8A0E6C"/>
    <w:rsid w:val="7FA44454"/>
    <w:rsid w:val="7FB47976"/>
    <w:rsid w:val="7FC70414"/>
    <w:rsid w:val="7FC72A83"/>
    <w:rsid w:val="7FD206A1"/>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1"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nhideWhenUsed="0" w:uiPriority="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iPriority="99"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22"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link w:val="75"/>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82"/>
    <w:autoRedefine/>
    <w:qFormat/>
    <w:locked/>
    <w:uiPriority w:val="1"/>
    <w:pPr>
      <w:ind w:left="971" w:hanging="632"/>
      <w:outlineLvl w:val="2"/>
    </w:pPr>
    <w:rPr>
      <w:rFonts w:ascii="Noto Sans CJK JP Medium" w:hAnsi="Noto Sans CJK JP Medium" w:eastAsia="Noto Sans CJK JP Medium" w:cs="Noto Sans CJK JP Medium"/>
      <w:sz w:val="28"/>
      <w:szCs w:val="28"/>
    </w:rPr>
  </w:style>
  <w:style w:type="paragraph" w:styleId="7">
    <w:name w:val="heading 4"/>
    <w:basedOn w:val="1"/>
    <w:next w:val="1"/>
    <w:link w:val="79"/>
    <w:autoRedefine/>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9"/>
    <w:autoRedefine/>
    <w:qFormat/>
    <w:uiPriority w:val="0"/>
    <w:pPr>
      <w:widowControl/>
      <w:snapToGrid w:val="0"/>
      <w:spacing w:before="60" w:after="160" w:line="259" w:lineRule="auto"/>
      <w:ind w:right="113"/>
    </w:pPr>
    <w:rPr>
      <w:kern w:val="0"/>
      <w:sz w:val="18"/>
      <w:szCs w:val="20"/>
    </w:rPr>
  </w:style>
  <w:style w:type="paragraph" w:styleId="3">
    <w:name w:val="header"/>
    <w:basedOn w:val="1"/>
    <w:next w:val="2"/>
    <w:link w:val="70"/>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Indent"/>
    <w:basedOn w:val="1"/>
    <w:autoRedefine/>
    <w:qFormat/>
    <w:locked/>
    <w:uiPriority w:val="0"/>
    <w:pPr>
      <w:adjustRightInd w:val="0"/>
      <w:spacing w:line="480" w:lineRule="exact"/>
      <w:ind w:firstLine="480" w:firstLineChars="200"/>
      <w:textAlignment w:val="baseline"/>
    </w:pPr>
    <w:rPr>
      <w:kern w:val="0"/>
      <w:sz w:val="24"/>
    </w:rPr>
  </w:style>
  <w:style w:type="paragraph" w:styleId="9">
    <w:name w:val="annotation text"/>
    <w:basedOn w:val="1"/>
    <w:link w:val="40"/>
    <w:autoRedefine/>
    <w:semiHidden/>
    <w:qFormat/>
    <w:uiPriority w:val="99"/>
    <w:pPr>
      <w:jc w:val="left"/>
    </w:pPr>
    <w:rPr>
      <w:kern w:val="0"/>
      <w:sz w:val="24"/>
      <w:szCs w:val="20"/>
    </w:rPr>
  </w:style>
  <w:style w:type="paragraph" w:styleId="10">
    <w:name w:val="Body Text Indent"/>
    <w:basedOn w:val="1"/>
    <w:next w:val="2"/>
    <w:link w:val="48"/>
    <w:autoRedefine/>
    <w:qFormat/>
    <w:uiPriority w:val="0"/>
    <w:pPr>
      <w:spacing w:after="120"/>
      <w:ind w:left="420" w:leftChars="200"/>
    </w:pPr>
    <w:rPr>
      <w:kern w:val="0"/>
      <w:sz w:val="24"/>
      <w:szCs w:val="20"/>
    </w:rPr>
  </w:style>
  <w:style w:type="paragraph" w:styleId="11">
    <w:name w:val="Plain Text"/>
    <w:basedOn w:val="1"/>
    <w:next w:val="1"/>
    <w:link w:val="85"/>
    <w:autoRedefine/>
    <w:qFormat/>
    <w:locked/>
    <w:uiPriority w:val="99"/>
    <w:rPr>
      <w:rFonts w:hint="eastAsia" w:ascii="宋体" w:hAnsi="Courier New"/>
    </w:rPr>
  </w:style>
  <w:style w:type="paragraph" w:styleId="12">
    <w:name w:val="List Bullet 5"/>
    <w:basedOn w:val="1"/>
    <w:autoRedefine/>
    <w:qFormat/>
    <w:locked/>
    <w:uiPriority w:val="0"/>
    <w:pPr>
      <w:numPr>
        <w:ilvl w:val="0"/>
        <w:numId w:val="1"/>
      </w:numPr>
    </w:pPr>
  </w:style>
  <w:style w:type="paragraph" w:styleId="13">
    <w:name w:val="Date"/>
    <w:basedOn w:val="1"/>
    <w:next w:val="1"/>
    <w:link w:val="35"/>
    <w:autoRedefine/>
    <w:qFormat/>
    <w:uiPriority w:val="0"/>
    <w:pPr>
      <w:ind w:left="100" w:leftChars="2500"/>
    </w:pPr>
    <w:rPr>
      <w:kern w:val="0"/>
      <w:sz w:val="24"/>
      <w:szCs w:val="20"/>
    </w:rPr>
  </w:style>
  <w:style w:type="paragraph" w:styleId="14">
    <w:name w:val="Balloon Text"/>
    <w:basedOn w:val="1"/>
    <w:link w:val="44"/>
    <w:autoRedefine/>
    <w:semiHidden/>
    <w:qFormat/>
    <w:uiPriority w:val="0"/>
    <w:rPr>
      <w:kern w:val="0"/>
      <w:sz w:val="18"/>
      <w:szCs w:val="20"/>
    </w:rPr>
  </w:style>
  <w:style w:type="paragraph" w:styleId="15">
    <w:name w:val="footer"/>
    <w:basedOn w:val="1"/>
    <w:link w:val="34"/>
    <w:autoRedefine/>
    <w:qFormat/>
    <w:uiPriority w:val="99"/>
    <w:pPr>
      <w:tabs>
        <w:tab w:val="center" w:pos="4153"/>
        <w:tab w:val="right" w:pos="8306"/>
      </w:tabs>
      <w:snapToGrid w:val="0"/>
      <w:jc w:val="left"/>
    </w:pPr>
    <w:rPr>
      <w:kern w:val="0"/>
      <w:sz w:val="18"/>
      <w:szCs w:val="20"/>
    </w:rPr>
  </w:style>
  <w:style w:type="paragraph" w:styleId="16">
    <w:name w:val="List"/>
    <w:basedOn w:val="1"/>
    <w:autoRedefine/>
    <w:qFormat/>
    <w:locked/>
    <w:uiPriority w:val="0"/>
    <w:pPr>
      <w:ind w:left="200" w:hanging="200" w:hangingChars="200"/>
    </w:pPr>
  </w:style>
  <w:style w:type="paragraph" w:styleId="17">
    <w:name w:val="toc 2"/>
    <w:basedOn w:val="1"/>
    <w:next w:val="1"/>
    <w:autoRedefine/>
    <w:semiHidden/>
    <w:qFormat/>
    <w:locked/>
    <w:uiPriority w:val="0"/>
    <w:pPr>
      <w:ind w:left="420" w:leftChars="200"/>
    </w:pPr>
  </w:style>
  <w:style w:type="paragraph" w:styleId="18">
    <w:name w:val="Body Text 2"/>
    <w:basedOn w:val="1"/>
    <w:link w:val="54"/>
    <w:autoRedefine/>
    <w:unhideWhenUsed/>
    <w:qFormat/>
    <w:locked/>
    <w:uiPriority w:val="99"/>
    <w:pPr>
      <w:spacing w:after="120" w:line="480" w:lineRule="auto"/>
    </w:pPr>
  </w:style>
  <w:style w:type="paragraph" w:styleId="19">
    <w:name w:val="Normal (Web)"/>
    <w:basedOn w:val="1"/>
    <w:next w:val="1"/>
    <w:link w:val="37"/>
    <w:autoRedefine/>
    <w:qFormat/>
    <w:uiPriority w:val="99"/>
    <w:pPr>
      <w:widowControl/>
      <w:spacing w:before="100" w:beforeAutospacing="1" w:after="100" w:afterAutospacing="1"/>
      <w:jc w:val="left"/>
    </w:pPr>
    <w:rPr>
      <w:rFonts w:ascii="宋体" w:hAnsi="宋体"/>
      <w:kern w:val="0"/>
      <w:sz w:val="24"/>
      <w:szCs w:val="20"/>
    </w:rPr>
  </w:style>
  <w:style w:type="paragraph" w:styleId="20">
    <w:name w:val="Title"/>
    <w:basedOn w:val="1"/>
    <w:link w:val="80"/>
    <w:autoRedefine/>
    <w:qFormat/>
    <w:locked/>
    <w:uiPriority w:val="0"/>
    <w:pPr>
      <w:spacing w:before="240" w:after="60"/>
      <w:jc w:val="center"/>
      <w:outlineLvl w:val="0"/>
    </w:pPr>
    <w:rPr>
      <w:rFonts w:ascii="Arial" w:hAnsi="Arial"/>
      <w:b/>
      <w:sz w:val="32"/>
    </w:rPr>
  </w:style>
  <w:style w:type="paragraph" w:styleId="21">
    <w:name w:val="annotation subject"/>
    <w:basedOn w:val="9"/>
    <w:next w:val="9"/>
    <w:link w:val="45"/>
    <w:autoRedefine/>
    <w:semiHidden/>
    <w:qFormat/>
    <w:uiPriority w:val="99"/>
    <w:rPr>
      <w:b/>
    </w:rPr>
  </w:style>
  <w:style w:type="paragraph" w:styleId="22">
    <w:name w:val="Body Text First Indent"/>
    <w:basedOn w:val="2"/>
    <w:autoRedefine/>
    <w:qFormat/>
    <w:locked/>
    <w:uiPriority w:val="0"/>
    <w:pPr>
      <w:spacing w:after="120" w:line="240" w:lineRule="auto"/>
      <w:ind w:firstLine="420" w:firstLineChars="100"/>
    </w:pPr>
    <w:rPr>
      <w:sz w:val="21"/>
      <w:szCs w:val="24"/>
    </w:rPr>
  </w:style>
  <w:style w:type="paragraph" w:styleId="23">
    <w:name w:val="Body Text First Indent 2"/>
    <w:basedOn w:val="1"/>
    <w:next w:val="22"/>
    <w:link w:val="51"/>
    <w:autoRedefine/>
    <w:qFormat/>
    <w:locked/>
    <w:uiPriority w:val="0"/>
    <w:pPr>
      <w:ind w:firstLine="420" w:firstLineChars="200"/>
    </w:pPr>
  </w:style>
  <w:style w:type="table" w:styleId="25">
    <w:name w:val="Table Grid"/>
    <w:basedOn w:val="2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locked/>
    <w:uiPriority w:val="22"/>
    <w:rPr>
      <w:b/>
      <w:bCs/>
    </w:rPr>
  </w:style>
  <w:style w:type="character" w:styleId="28">
    <w:name w:val="page number"/>
    <w:basedOn w:val="26"/>
    <w:autoRedefine/>
    <w:qFormat/>
    <w:locked/>
    <w:uiPriority w:val="0"/>
  </w:style>
  <w:style w:type="character" w:styleId="29">
    <w:name w:val="Hyperlink"/>
    <w:basedOn w:val="26"/>
    <w:autoRedefine/>
    <w:qFormat/>
    <w:locked/>
    <w:uiPriority w:val="0"/>
    <w:rPr>
      <w:color w:val="0000FF"/>
      <w:u w:val="single"/>
    </w:rPr>
  </w:style>
  <w:style w:type="character" w:styleId="30">
    <w:name w:val="annotation reference"/>
    <w:autoRedefine/>
    <w:semiHidden/>
    <w:qFormat/>
    <w:uiPriority w:val="0"/>
    <w:rPr>
      <w:sz w:val="21"/>
    </w:rPr>
  </w:style>
  <w:style w:type="paragraph" w:customStyle="1" w:styleId="31">
    <w:name w:val="样式 样式 样式 四号 左侧:  1.53 厘米 + 首行缩进:  2 字符 + 居中 左侧:  2 字符 首行缩进:  2..."/>
    <w:basedOn w:val="32"/>
    <w:next w:val="1"/>
    <w:autoRedefine/>
    <w:qFormat/>
    <w:uiPriority w:val="0"/>
    <w:pPr>
      <w:jc w:val="center"/>
    </w:pPr>
  </w:style>
  <w:style w:type="paragraph" w:customStyle="1" w:styleId="32">
    <w:name w:val="样式 样式 四号 左侧:  1.53 厘米 + 首行缩进:  2 字符"/>
    <w:basedOn w:val="33"/>
    <w:autoRedefine/>
    <w:qFormat/>
    <w:uiPriority w:val="0"/>
    <w:pPr>
      <w:ind w:left="200" w:leftChars="200"/>
    </w:pPr>
    <w:rPr>
      <w:szCs w:val="20"/>
    </w:rPr>
  </w:style>
  <w:style w:type="paragraph" w:customStyle="1" w:styleId="33">
    <w:name w:val="样式 四号 左侧:  1.53 厘米"/>
    <w:basedOn w:val="1"/>
    <w:autoRedefine/>
    <w:qFormat/>
    <w:uiPriority w:val="0"/>
    <w:pPr>
      <w:adjustRightInd w:val="0"/>
    </w:pPr>
    <w:rPr>
      <w:w w:val="90"/>
      <w:sz w:val="28"/>
      <w:szCs w:val="28"/>
    </w:rPr>
  </w:style>
  <w:style w:type="character" w:customStyle="1" w:styleId="34">
    <w:name w:val="页脚 字符1"/>
    <w:link w:val="15"/>
    <w:autoRedefine/>
    <w:qFormat/>
    <w:locked/>
    <w:uiPriority w:val="99"/>
    <w:rPr>
      <w:sz w:val="18"/>
    </w:rPr>
  </w:style>
  <w:style w:type="character" w:customStyle="1" w:styleId="35">
    <w:name w:val="日期 字符1"/>
    <w:link w:val="13"/>
    <w:autoRedefine/>
    <w:qFormat/>
    <w:locked/>
    <w:uiPriority w:val="0"/>
    <w:rPr>
      <w:rFonts w:ascii="Times New Roman" w:hAnsi="Times New Roman" w:eastAsia="宋体"/>
      <w:sz w:val="24"/>
    </w:rPr>
  </w:style>
  <w:style w:type="character" w:customStyle="1" w:styleId="36">
    <w:name w:val="页脚 字符"/>
    <w:basedOn w:val="26"/>
    <w:autoRedefine/>
    <w:qFormat/>
    <w:uiPriority w:val="99"/>
  </w:style>
  <w:style w:type="character" w:customStyle="1" w:styleId="37">
    <w:name w:val="普通(网站) 字符"/>
    <w:link w:val="19"/>
    <w:autoRedefine/>
    <w:qFormat/>
    <w:locked/>
    <w:uiPriority w:val="0"/>
    <w:rPr>
      <w:rFonts w:ascii="宋体" w:hAnsi="宋体" w:eastAsia="宋体"/>
      <w:sz w:val="24"/>
    </w:rPr>
  </w:style>
  <w:style w:type="character" w:customStyle="1" w:styleId="38">
    <w:name w:val="正文文本 字符1"/>
    <w:autoRedefine/>
    <w:semiHidden/>
    <w:qFormat/>
    <w:uiPriority w:val="0"/>
    <w:rPr>
      <w:rFonts w:ascii="Times New Roman" w:hAnsi="Times New Roman" w:eastAsia="宋体"/>
      <w:sz w:val="24"/>
    </w:rPr>
  </w:style>
  <w:style w:type="character" w:customStyle="1" w:styleId="39">
    <w:name w:val="正文文本 字符"/>
    <w:link w:val="2"/>
    <w:autoRedefine/>
    <w:qFormat/>
    <w:locked/>
    <w:uiPriority w:val="0"/>
    <w:rPr>
      <w:sz w:val="18"/>
    </w:rPr>
  </w:style>
  <w:style w:type="character" w:customStyle="1" w:styleId="40">
    <w:name w:val="批注文字 字符"/>
    <w:link w:val="9"/>
    <w:autoRedefine/>
    <w:qFormat/>
    <w:locked/>
    <w:uiPriority w:val="99"/>
    <w:rPr>
      <w:rFonts w:ascii="Times New Roman" w:hAnsi="Times New Roman" w:eastAsia="宋体"/>
      <w:sz w:val="24"/>
    </w:rPr>
  </w:style>
  <w:style w:type="character" w:customStyle="1" w:styleId="41">
    <w:name w:val="表格 Char"/>
    <w:link w:val="42"/>
    <w:autoRedefine/>
    <w:qFormat/>
    <w:locked/>
    <w:uiPriority w:val="0"/>
    <w:rPr>
      <w:rFonts w:ascii="宋体"/>
      <w:sz w:val="21"/>
    </w:rPr>
  </w:style>
  <w:style w:type="paragraph" w:customStyle="1" w:styleId="42">
    <w:name w:val="表格"/>
    <w:basedOn w:val="1"/>
    <w:next w:val="1"/>
    <w:link w:val="41"/>
    <w:autoRedefine/>
    <w:qFormat/>
    <w:uiPriority w:val="0"/>
    <w:pPr>
      <w:adjustRightInd w:val="0"/>
      <w:snapToGrid w:val="0"/>
      <w:spacing w:beforeLines="10" w:afterLines="10" w:line="259" w:lineRule="auto"/>
      <w:jc w:val="center"/>
    </w:pPr>
    <w:rPr>
      <w:rFonts w:ascii="宋体"/>
      <w:kern w:val="0"/>
      <w:szCs w:val="20"/>
    </w:rPr>
  </w:style>
  <w:style w:type="character" w:customStyle="1" w:styleId="43">
    <w:name w:val="日期 字符"/>
    <w:autoRedefine/>
    <w:semiHidden/>
    <w:qFormat/>
    <w:uiPriority w:val="0"/>
    <w:rPr>
      <w:rFonts w:ascii="Times New Roman" w:hAnsi="Times New Roman" w:eastAsia="宋体"/>
      <w:sz w:val="24"/>
    </w:rPr>
  </w:style>
  <w:style w:type="character" w:customStyle="1" w:styleId="44">
    <w:name w:val="批注框文本 字符"/>
    <w:link w:val="14"/>
    <w:autoRedefine/>
    <w:semiHidden/>
    <w:qFormat/>
    <w:locked/>
    <w:uiPriority w:val="0"/>
    <w:rPr>
      <w:rFonts w:ascii="Times New Roman" w:hAnsi="Times New Roman" w:eastAsia="宋体"/>
      <w:sz w:val="18"/>
    </w:rPr>
  </w:style>
  <w:style w:type="character" w:customStyle="1" w:styleId="45">
    <w:name w:val="批注主题 字符"/>
    <w:link w:val="21"/>
    <w:autoRedefine/>
    <w:semiHidden/>
    <w:qFormat/>
    <w:locked/>
    <w:uiPriority w:val="99"/>
    <w:rPr>
      <w:rFonts w:ascii="Times New Roman" w:hAnsi="Times New Roman" w:eastAsia="宋体"/>
      <w:b/>
      <w:kern w:val="2"/>
      <w:sz w:val="24"/>
    </w:rPr>
  </w:style>
  <w:style w:type="character" w:customStyle="1" w:styleId="46">
    <w:name w:val="页眉 Char"/>
    <w:autoRedefine/>
    <w:qFormat/>
    <w:locked/>
    <w:uiPriority w:val="99"/>
    <w:rPr>
      <w:sz w:val="18"/>
    </w:rPr>
  </w:style>
  <w:style w:type="character" w:customStyle="1" w:styleId="47">
    <w:name w:val="批注文字 字符1"/>
    <w:autoRedefine/>
    <w:semiHidden/>
    <w:qFormat/>
    <w:uiPriority w:val="0"/>
    <w:rPr>
      <w:rFonts w:ascii="Times New Roman" w:hAnsi="Times New Roman" w:eastAsia="宋体"/>
      <w:sz w:val="24"/>
    </w:rPr>
  </w:style>
  <w:style w:type="character" w:customStyle="1" w:styleId="48">
    <w:name w:val="正文文本缩进 字符"/>
    <w:link w:val="10"/>
    <w:autoRedefine/>
    <w:semiHidden/>
    <w:qFormat/>
    <w:locked/>
    <w:uiPriority w:val="0"/>
    <w:rPr>
      <w:rFonts w:ascii="Times New Roman" w:hAnsi="Times New Roman" w:eastAsia="宋体"/>
      <w:sz w:val="24"/>
    </w:rPr>
  </w:style>
  <w:style w:type="paragraph" w:customStyle="1" w:styleId="49">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普通(网站)2"/>
    <w:basedOn w:val="1"/>
    <w:autoRedefine/>
    <w:qFormat/>
    <w:uiPriority w:val="0"/>
    <w:pPr>
      <w:widowControl/>
      <w:spacing w:before="100" w:beforeAutospacing="1" w:after="100" w:afterAutospacing="1"/>
      <w:jc w:val="left"/>
    </w:pPr>
    <w:rPr>
      <w:rFonts w:ascii="宋体" w:hAnsi="宋体"/>
      <w:sz w:val="24"/>
      <w:szCs w:val="20"/>
    </w:rPr>
  </w:style>
  <w:style w:type="character" w:customStyle="1" w:styleId="51">
    <w:name w:val="正文文本首行缩进 2 字符"/>
    <w:link w:val="23"/>
    <w:autoRedefine/>
    <w:qFormat/>
    <w:uiPriority w:val="0"/>
    <w:rPr>
      <w:rFonts w:ascii="Times New Roman" w:hAnsi="Times New Roman" w:eastAsia="宋体"/>
      <w:kern w:val="2"/>
      <w:sz w:val="21"/>
      <w:szCs w:val="24"/>
    </w:rPr>
  </w:style>
  <w:style w:type="paragraph" w:customStyle="1" w:styleId="52">
    <w:name w:val="正文(首行缩进)"/>
    <w:basedOn w:val="1"/>
    <w:autoRedefine/>
    <w:qFormat/>
    <w:uiPriority w:val="0"/>
    <w:pPr>
      <w:spacing w:line="360" w:lineRule="auto"/>
      <w:ind w:firstLine="540" w:firstLineChars="225"/>
    </w:pPr>
    <w:rPr>
      <w:snapToGrid w:val="0"/>
      <w:color w:val="000000"/>
      <w:kern w:val="0"/>
      <w:sz w:val="24"/>
    </w:rPr>
  </w:style>
  <w:style w:type="paragraph" w:customStyle="1" w:styleId="5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4">
    <w:name w:val="正文文本 2 字符"/>
    <w:link w:val="18"/>
    <w:autoRedefine/>
    <w:qFormat/>
    <w:uiPriority w:val="99"/>
    <w:rPr>
      <w:kern w:val="2"/>
      <w:sz w:val="21"/>
      <w:szCs w:val="24"/>
    </w:rPr>
  </w:style>
  <w:style w:type="paragraph" w:customStyle="1" w:styleId="55">
    <w:name w:val="ZB-报告书正文"/>
    <w:basedOn w:val="1"/>
    <w:link w:val="56"/>
    <w:autoRedefine/>
    <w:qFormat/>
    <w:uiPriority w:val="0"/>
    <w:pPr>
      <w:widowControl/>
      <w:adjustRightInd w:val="0"/>
      <w:snapToGrid w:val="0"/>
      <w:spacing w:line="360" w:lineRule="auto"/>
      <w:ind w:firstLine="200" w:firstLineChars="200"/>
      <w:jc w:val="left"/>
    </w:pPr>
    <w:rPr>
      <w:kern w:val="0"/>
      <w:sz w:val="24"/>
      <w:lang w:val="zh-CN"/>
    </w:rPr>
  </w:style>
  <w:style w:type="character" w:customStyle="1" w:styleId="56">
    <w:name w:val="ZB-报告书正文 Char"/>
    <w:link w:val="55"/>
    <w:autoRedefine/>
    <w:qFormat/>
    <w:uiPriority w:val="0"/>
    <w:rPr>
      <w:sz w:val="24"/>
      <w:szCs w:val="24"/>
      <w:lang w:val="zh-CN" w:eastAsia="zh-CN"/>
    </w:rPr>
  </w:style>
  <w:style w:type="character" w:customStyle="1" w:styleId="57">
    <w:name w:val="fontstyle21"/>
    <w:autoRedefine/>
    <w:qFormat/>
    <w:uiPriority w:val="0"/>
    <w:rPr>
      <w:rFonts w:hint="eastAsia" w:ascii="宋体" w:hAnsi="宋体" w:eastAsia="宋体"/>
      <w:color w:val="000000"/>
      <w:sz w:val="24"/>
      <w:szCs w:val="24"/>
    </w:rPr>
  </w:style>
  <w:style w:type="character" w:customStyle="1" w:styleId="58">
    <w:name w:val="font81"/>
    <w:autoRedefine/>
    <w:qFormat/>
    <w:uiPriority w:val="0"/>
    <w:rPr>
      <w:rFonts w:hint="eastAsia" w:ascii="宋体" w:hAnsi="宋体" w:eastAsia="宋体" w:cs="宋体"/>
      <w:color w:val="000000"/>
      <w:sz w:val="24"/>
      <w:szCs w:val="24"/>
      <w:u w:val="none"/>
    </w:rPr>
  </w:style>
  <w:style w:type="paragraph" w:customStyle="1" w:styleId="59">
    <w:name w:val="表内文字"/>
    <w:basedOn w:val="1"/>
    <w:autoRedefine/>
    <w:qFormat/>
    <w:uiPriority w:val="0"/>
    <w:pPr>
      <w:adjustRightInd w:val="0"/>
      <w:snapToGrid w:val="0"/>
      <w:spacing w:line="360" w:lineRule="auto"/>
      <w:jc w:val="center"/>
    </w:pPr>
    <w:rPr>
      <w:szCs w:val="21"/>
    </w:rPr>
  </w:style>
  <w:style w:type="paragraph" w:customStyle="1" w:styleId="60">
    <w:name w:val="报告表格"/>
    <w:basedOn w:val="1"/>
    <w:autoRedefine/>
    <w:qFormat/>
    <w:uiPriority w:val="0"/>
    <w:pPr>
      <w:autoSpaceDE w:val="0"/>
      <w:autoSpaceDN w:val="0"/>
      <w:adjustRightInd w:val="0"/>
      <w:jc w:val="center"/>
      <w:textAlignment w:val="baseline"/>
    </w:pPr>
    <w:rPr>
      <w:kern w:val="0"/>
      <w:szCs w:val="20"/>
    </w:rPr>
  </w:style>
  <w:style w:type="character" w:customStyle="1" w:styleId="61">
    <w:name w:val="表格内 Char"/>
    <w:link w:val="62"/>
    <w:autoRedefine/>
    <w:qFormat/>
    <w:uiPriority w:val="0"/>
    <w:rPr>
      <w:rFonts w:eastAsia="Times New Roman"/>
      <w:snapToGrid w:val="0"/>
      <w:sz w:val="21"/>
      <w:szCs w:val="21"/>
    </w:rPr>
  </w:style>
  <w:style w:type="paragraph" w:customStyle="1" w:styleId="62">
    <w:name w:val="表格内"/>
    <w:basedOn w:val="1"/>
    <w:link w:val="61"/>
    <w:autoRedefine/>
    <w:qFormat/>
    <w:uiPriority w:val="0"/>
    <w:pPr>
      <w:adjustRightInd w:val="0"/>
      <w:snapToGrid w:val="0"/>
      <w:spacing w:line="360" w:lineRule="exact"/>
      <w:jc w:val="center"/>
    </w:pPr>
    <w:rPr>
      <w:rFonts w:eastAsia="Times New Roman"/>
      <w:snapToGrid w:val="0"/>
      <w:kern w:val="0"/>
      <w:szCs w:val="21"/>
    </w:rPr>
  </w:style>
  <w:style w:type="character" w:customStyle="1" w:styleId="63">
    <w:name w:val="CDD正文 Char"/>
    <w:link w:val="64"/>
    <w:autoRedefine/>
    <w:qFormat/>
    <w:locked/>
    <w:uiPriority w:val="0"/>
    <w:rPr>
      <w:rFonts w:ascii="宋体" w:hAnsi="楷体_GB2312" w:cs="楷体_GB2312"/>
      <w:kern w:val="2"/>
      <w:sz w:val="24"/>
      <w:szCs w:val="24"/>
    </w:rPr>
  </w:style>
  <w:style w:type="paragraph" w:customStyle="1" w:styleId="64">
    <w:name w:val="CDD正文"/>
    <w:basedOn w:val="1"/>
    <w:link w:val="63"/>
    <w:autoRedefine/>
    <w:qFormat/>
    <w:uiPriority w:val="0"/>
    <w:pPr>
      <w:widowControl/>
      <w:suppressLineNumbers/>
      <w:suppressAutoHyphens/>
      <w:snapToGrid w:val="0"/>
      <w:spacing w:line="500" w:lineRule="exact"/>
      <w:ind w:firstLine="480" w:firstLineChars="200"/>
      <w:contextualSpacing/>
      <w:outlineLvl w:val="3"/>
    </w:pPr>
    <w:rPr>
      <w:rFonts w:ascii="宋体" w:hAnsi="楷体_GB2312" w:cs="楷体_GB2312"/>
      <w:sz w:val="24"/>
    </w:rPr>
  </w:style>
  <w:style w:type="paragraph" w:customStyle="1" w:styleId="65">
    <w:name w:val="_Style 1"/>
    <w:basedOn w:val="1"/>
    <w:autoRedefine/>
    <w:qFormat/>
    <w:uiPriority w:val="0"/>
    <w:pPr>
      <w:spacing w:line="360" w:lineRule="auto"/>
    </w:pPr>
    <w:rPr>
      <w:rFonts w:ascii="宋体" w:hAnsi="宋体"/>
      <w:sz w:val="22"/>
    </w:rPr>
  </w:style>
  <w:style w:type="character" w:customStyle="1" w:styleId="66">
    <w:name w:val="current"/>
    <w:basedOn w:val="26"/>
    <w:autoRedefine/>
    <w:qFormat/>
    <w:uiPriority w:val="0"/>
  </w:style>
  <w:style w:type="character" w:customStyle="1" w:styleId="67">
    <w:name w:val="y_print"/>
    <w:basedOn w:val="26"/>
    <w:autoRedefine/>
    <w:qFormat/>
    <w:uiPriority w:val="0"/>
  </w:style>
  <w:style w:type="character" w:customStyle="1" w:styleId="68">
    <w:name w:val="apple-converted-space"/>
    <w:basedOn w:val="26"/>
    <w:autoRedefine/>
    <w:qFormat/>
    <w:uiPriority w:val="0"/>
  </w:style>
  <w:style w:type="character" w:customStyle="1" w:styleId="69">
    <w:name w:val="m-l-md"/>
    <w:basedOn w:val="26"/>
    <w:autoRedefine/>
    <w:qFormat/>
    <w:uiPriority w:val="0"/>
  </w:style>
  <w:style w:type="character" w:customStyle="1" w:styleId="70">
    <w:name w:val="页眉 字符"/>
    <w:basedOn w:val="26"/>
    <w:link w:val="3"/>
    <w:autoRedefine/>
    <w:qFormat/>
    <w:uiPriority w:val="0"/>
  </w:style>
  <w:style w:type="paragraph" w:styleId="71">
    <w:name w:val="List Paragraph"/>
    <w:basedOn w:val="1"/>
    <w:link w:val="72"/>
    <w:autoRedefine/>
    <w:qFormat/>
    <w:uiPriority w:val="99"/>
    <w:pPr>
      <w:ind w:firstLine="420" w:firstLineChars="200"/>
    </w:pPr>
    <w:rPr>
      <w:rFonts w:asciiTheme="minorHAnsi" w:hAnsiTheme="minorHAnsi" w:eastAsiaTheme="minorEastAsia" w:cstheme="minorBidi"/>
      <w:szCs w:val="22"/>
    </w:rPr>
  </w:style>
  <w:style w:type="character" w:customStyle="1" w:styleId="72">
    <w:name w:val="列表段落 字符"/>
    <w:link w:val="71"/>
    <w:autoRedefine/>
    <w:qFormat/>
    <w:uiPriority w:val="99"/>
    <w:rPr>
      <w:rFonts w:asciiTheme="minorHAnsi" w:hAnsiTheme="minorHAnsi" w:eastAsiaTheme="minorEastAsia" w:cstheme="minorBidi"/>
      <w:kern w:val="2"/>
      <w:sz w:val="21"/>
      <w:szCs w:val="22"/>
    </w:rPr>
  </w:style>
  <w:style w:type="character" w:customStyle="1" w:styleId="73">
    <w:name w:val="表格1 Char"/>
    <w:link w:val="74"/>
    <w:autoRedefine/>
    <w:qFormat/>
    <w:uiPriority w:val="0"/>
    <w:rPr>
      <w:rFonts w:eastAsia="方正仿宋_GBK"/>
      <w:color w:val="000000"/>
      <w:sz w:val="21"/>
      <w:szCs w:val="24"/>
    </w:rPr>
  </w:style>
  <w:style w:type="paragraph" w:customStyle="1" w:styleId="74">
    <w:name w:val="表格1"/>
    <w:basedOn w:val="1"/>
    <w:link w:val="73"/>
    <w:autoRedefine/>
    <w:qFormat/>
    <w:uiPriority w:val="0"/>
    <w:pPr>
      <w:adjustRightInd w:val="0"/>
      <w:snapToGrid w:val="0"/>
      <w:jc w:val="center"/>
    </w:pPr>
    <w:rPr>
      <w:rFonts w:eastAsia="方正仿宋_GBK"/>
      <w:color w:val="000000"/>
      <w:kern w:val="0"/>
    </w:rPr>
  </w:style>
  <w:style w:type="character" w:customStyle="1" w:styleId="75">
    <w:name w:val="标题 2 字符"/>
    <w:basedOn w:val="26"/>
    <w:link w:val="5"/>
    <w:autoRedefine/>
    <w:semiHidden/>
    <w:qFormat/>
    <w:uiPriority w:val="0"/>
    <w:rPr>
      <w:rFonts w:asciiTheme="majorHAnsi" w:hAnsiTheme="majorHAnsi" w:eastAsiaTheme="majorEastAsia" w:cstheme="majorBidi"/>
      <w:b/>
      <w:bCs/>
      <w:kern w:val="2"/>
      <w:sz w:val="32"/>
      <w:szCs w:val="32"/>
    </w:rPr>
  </w:style>
  <w:style w:type="paragraph" w:customStyle="1" w:styleId="76">
    <w:name w:val="表格文字"/>
    <w:next w:val="1"/>
    <w:link w:val="77"/>
    <w:autoRedefine/>
    <w:qFormat/>
    <w:uiPriority w:val="0"/>
    <w:pPr>
      <w:jc w:val="center"/>
    </w:pPr>
    <w:rPr>
      <w:rFonts w:ascii="Calibri" w:hAnsi="Calibri" w:eastAsia="宋体" w:cs="Times New Roman"/>
      <w:kern w:val="2"/>
      <w:sz w:val="21"/>
      <w:szCs w:val="24"/>
      <w:lang w:val="en-US" w:eastAsia="zh-CN" w:bidi="ar-SA"/>
    </w:rPr>
  </w:style>
  <w:style w:type="character" w:customStyle="1" w:styleId="77">
    <w:name w:val="表格文字 Char"/>
    <w:basedOn w:val="26"/>
    <w:link w:val="76"/>
    <w:autoRedefine/>
    <w:qFormat/>
    <w:uiPriority w:val="0"/>
    <w:rPr>
      <w:rFonts w:ascii="Calibri" w:hAnsi="Calibri"/>
      <w:kern w:val="2"/>
      <w:sz w:val="21"/>
      <w:szCs w:val="24"/>
    </w:rPr>
  </w:style>
  <w:style w:type="paragraph" w:customStyle="1" w:styleId="78">
    <w:name w:val="样式6"/>
    <w:basedOn w:val="1"/>
    <w:autoRedefine/>
    <w:qFormat/>
    <w:uiPriority w:val="0"/>
    <w:pPr>
      <w:jc w:val="center"/>
    </w:pPr>
  </w:style>
  <w:style w:type="character" w:customStyle="1" w:styleId="79">
    <w:name w:val="标题 4 字符"/>
    <w:basedOn w:val="26"/>
    <w:link w:val="7"/>
    <w:autoRedefine/>
    <w:semiHidden/>
    <w:qFormat/>
    <w:uiPriority w:val="0"/>
    <w:rPr>
      <w:rFonts w:asciiTheme="majorHAnsi" w:hAnsiTheme="majorHAnsi" w:eastAsiaTheme="majorEastAsia" w:cstheme="majorBidi"/>
      <w:b/>
      <w:bCs/>
      <w:kern w:val="2"/>
      <w:sz w:val="28"/>
      <w:szCs w:val="28"/>
    </w:rPr>
  </w:style>
  <w:style w:type="character" w:customStyle="1" w:styleId="80">
    <w:name w:val="标题 字符"/>
    <w:basedOn w:val="26"/>
    <w:link w:val="20"/>
    <w:autoRedefine/>
    <w:qFormat/>
    <w:uiPriority w:val="0"/>
    <w:rPr>
      <w:rFonts w:ascii="Cambria" w:hAnsi="Cambria" w:eastAsia="Cambria" w:cs="Times New Roman"/>
      <w:b/>
      <w:bCs/>
      <w:kern w:val="2"/>
      <w:sz w:val="32"/>
      <w:szCs w:val="32"/>
    </w:rPr>
  </w:style>
  <w:style w:type="paragraph" w:customStyle="1" w:styleId="81">
    <w:name w:val="正文2"/>
    <w:basedOn w:val="1"/>
    <w:autoRedefine/>
    <w:qFormat/>
    <w:uiPriority w:val="0"/>
    <w:pPr>
      <w:widowControl/>
    </w:pPr>
    <w:rPr>
      <w:szCs w:val="21"/>
    </w:rPr>
  </w:style>
  <w:style w:type="character" w:customStyle="1" w:styleId="82">
    <w:name w:val="标题 3 字符"/>
    <w:basedOn w:val="26"/>
    <w:link w:val="6"/>
    <w:autoRedefine/>
    <w:qFormat/>
    <w:uiPriority w:val="1"/>
    <w:rPr>
      <w:b/>
      <w:bCs/>
      <w:kern w:val="2"/>
      <w:sz w:val="32"/>
      <w:szCs w:val="32"/>
    </w:rPr>
  </w:style>
  <w:style w:type="paragraph" w:customStyle="1" w:styleId="83">
    <w:name w:val="4刘群正文 *"/>
    <w:basedOn w:val="1"/>
    <w:autoRedefine/>
    <w:qFormat/>
    <w:uiPriority w:val="0"/>
    <w:pPr>
      <w:spacing w:line="520" w:lineRule="exact"/>
      <w:ind w:firstLine="480" w:firstLineChars="200"/>
    </w:pPr>
    <w:rPr>
      <w:sz w:val="24"/>
    </w:rPr>
  </w:style>
  <w:style w:type="paragraph" w:customStyle="1" w:styleId="84">
    <w:name w:val="报告表正文"/>
    <w:basedOn w:val="1"/>
    <w:autoRedefine/>
    <w:qFormat/>
    <w:uiPriority w:val="0"/>
    <w:pPr>
      <w:adjustRightInd w:val="0"/>
      <w:spacing w:line="312" w:lineRule="auto"/>
      <w:ind w:left="113" w:right="113" w:firstLine="482"/>
      <w:jc w:val="left"/>
    </w:pPr>
    <w:rPr>
      <w:kern w:val="0"/>
      <w:sz w:val="24"/>
      <w:szCs w:val="20"/>
    </w:rPr>
  </w:style>
  <w:style w:type="character" w:customStyle="1" w:styleId="85">
    <w:name w:val="纯文本 字符"/>
    <w:basedOn w:val="26"/>
    <w:link w:val="11"/>
    <w:autoRedefine/>
    <w:qFormat/>
    <w:uiPriority w:val="99"/>
    <w:rPr>
      <w:rFonts w:hint="eastAsia" w:ascii="宋体" w:hAnsi="Courier New" w:eastAsia="宋体" w:cs="宋体"/>
      <w:kern w:val="2"/>
      <w:sz w:val="21"/>
      <w:szCs w:val="24"/>
    </w:rPr>
  </w:style>
  <w:style w:type="paragraph" w:customStyle="1" w:styleId="86">
    <w:name w:val="正"/>
    <w:basedOn w:val="1"/>
    <w:autoRedefine/>
    <w:qFormat/>
    <w:uiPriority w:val="0"/>
    <w:pPr>
      <w:spacing w:line="360" w:lineRule="auto"/>
      <w:ind w:firstLine="200" w:firstLineChars="200"/>
    </w:pPr>
    <w:rPr>
      <w:kern w:val="0"/>
      <w:sz w:val="24"/>
      <w:szCs w:val="20"/>
    </w:rPr>
  </w:style>
  <w:style w:type="paragraph" w:customStyle="1" w:styleId="87">
    <w:name w:val="p0"/>
    <w:basedOn w:val="1"/>
    <w:autoRedefine/>
    <w:qFormat/>
    <w:uiPriority w:val="0"/>
    <w:pPr>
      <w:widowControl/>
    </w:pPr>
    <w:rPr>
      <w:rFonts w:hint="eastAsia" w:ascii="宋体" w:hAnsi="宋体"/>
      <w:kern w:val="0"/>
      <w:szCs w:val="21"/>
    </w:rPr>
  </w:style>
  <w:style w:type="paragraph" w:customStyle="1" w:styleId="88">
    <w:name w:val="样式 首行缩进:  2 字符1"/>
    <w:basedOn w:val="1"/>
    <w:autoRedefine/>
    <w:qFormat/>
    <w:uiPriority w:val="0"/>
    <w:pPr>
      <w:adjustRightInd w:val="0"/>
      <w:snapToGrid w:val="0"/>
      <w:spacing w:line="360" w:lineRule="auto"/>
      <w:ind w:firstLine="480"/>
    </w:pPr>
  </w:style>
  <w:style w:type="paragraph" w:customStyle="1" w:styleId="89">
    <w:name w:val="Table Paragraph"/>
    <w:basedOn w:val="1"/>
    <w:autoRedefine/>
    <w:qFormat/>
    <w:uiPriority w:val="0"/>
  </w:style>
  <w:style w:type="character" w:customStyle="1" w:styleId="90">
    <w:name w:val="表格内文字 Char"/>
    <w:basedOn w:val="26"/>
    <w:link w:val="91"/>
    <w:autoRedefine/>
    <w:qFormat/>
    <w:uiPriority w:val="0"/>
    <w:rPr>
      <w:rFonts w:hint="eastAsia" w:ascii="仿宋_GB2312" w:eastAsia="仿宋_GB2312" w:cs="仿宋_GB2312"/>
      <w:kern w:val="2"/>
      <w:sz w:val="24"/>
      <w:szCs w:val="28"/>
    </w:rPr>
  </w:style>
  <w:style w:type="paragraph" w:customStyle="1" w:styleId="91">
    <w:name w:val="表格内文字"/>
    <w:basedOn w:val="1"/>
    <w:link w:val="90"/>
    <w:autoRedefine/>
    <w:qFormat/>
    <w:uiPriority w:val="0"/>
    <w:pPr>
      <w:tabs>
        <w:tab w:val="left" w:pos="0"/>
      </w:tabs>
      <w:adjustRightInd w:val="0"/>
      <w:snapToGrid w:val="0"/>
      <w:jc w:val="center"/>
    </w:pPr>
    <w:rPr>
      <w:rFonts w:hint="eastAsia" w:ascii="仿宋_GB2312" w:eastAsia="仿宋_GB2312"/>
      <w:sz w:val="24"/>
      <w:szCs w:val="28"/>
    </w:rPr>
  </w:style>
  <w:style w:type="paragraph" w:customStyle="1" w:styleId="92">
    <w:name w:val="魏秀珍表格标题"/>
    <w:basedOn w:val="1"/>
    <w:autoRedefine/>
    <w:qFormat/>
    <w:uiPriority w:val="0"/>
    <w:pPr>
      <w:adjustRightInd w:val="0"/>
      <w:snapToGrid w:val="0"/>
      <w:spacing w:before="120"/>
      <w:jc w:val="center"/>
    </w:pPr>
    <w:rPr>
      <w:b/>
      <w:szCs w:val="21"/>
    </w:rPr>
  </w:style>
  <w:style w:type="paragraph" w:customStyle="1" w:styleId="93">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4">
    <w:name w:val="正文3"/>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5">
    <w:name w:val="正文 楷体"/>
    <w:basedOn w:val="1"/>
    <w:autoRedefine/>
    <w:qFormat/>
    <w:uiPriority w:val="0"/>
    <w:pPr>
      <w:widowControl/>
      <w:spacing w:line="500" w:lineRule="exact"/>
      <w:ind w:firstLine="200" w:firstLineChars="200"/>
      <w:jc w:val="left"/>
    </w:pPr>
    <w:rPr>
      <w:rFonts w:ascii="楷体_GB2312" w:hAnsi="宋体" w:eastAsia="楷体_GB2312"/>
      <w:sz w:val="24"/>
    </w:rPr>
  </w:style>
  <w:style w:type="paragraph" w:customStyle="1" w:styleId="96">
    <w:name w:val="表头！！！！！！！！！！"/>
    <w:basedOn w:val="8"/>
    <w:autoRedefine/>
    <w:qFormat/>
    <w:uiPriority w:val="0"/>
    <w:pPr>
      <w:autoSpaceDE w:val="0"/>
      <w:autoSpaceDN w:val="0"/>
      <w:spacing w:before="100" w:beforeAutospacing="1" w:line="500" w:lineRule="exact"/>
      <w:ind w:firstLine="420" w:firstLineChars="0"/>
      <w:jc w:val="center"/>
    </w:pPr>
    <w:rPr>
      <w:rFonts w:ascii="楷体_GB2312" w:eastAsia="楷体_GB2312"/>
      <w:b/>
    </w:rPr>
  </w:style>
  <w:style w:type="paragraph" w:customStyle="1" w:styleId="97">
    <w:name w:val="正文A"/>
    <w:basedOn w:val="1"/>
    <w:autoRedefine/>
    <w:qFormat/>
    <w:uiPriority w:val="0"/>
    <w:pPr>
      <w:spacing w:line="500" w:lineRule="exact"/>
      <w:ind w:firstLine="480" w:firstLineChars="200"/>
    </w:pPr>
    <w:rPr>
      <w:rFonts w:ascii="华文仿宋" w:hAnsi="华文仿宋" w:eastAsia="华文仿宋"/>
      <w:sz w:val="24"/>
    </w:rPr>
  </w:style>
  <w:style w:type="paragraph" w:customStyle="1" w:styleId="98">
    <w:name w:val="标题三！！！！！！！"/>
    <w:basedOn w:val="6"/>
    <w:autoRedefine/>
    <w:qFormat/>
    <w:uiPriority w:val="0"/>
    <w:pPr>
      <w:keepNext/>
      <w:keepLines/>
      <w:spacing w:line="500" w:lineRule="exact"/>
      <w:ind w:left="0" w:firstLine="0"/>
      <w:jc w:val="left"/>
    </w:pPr>
    <w:rPr>
      <w:rFonts w:ascii="楷体_GB2312" w:hAnsi="宋体" w:eastAsia="楷体_GB2312" w:cs="宋体"/>
      <w:b/>
      <w:kern w:val="0"/>
    </w:rPr>
  </w:style>
  <w:style w:type="paragraph" w:customStyle="1" w:styleId="99">
    <w:name w:val="表头"/>
    <w:basedOn w:val="1"/>
    <w:autoRedefine/>
    <w:qFormat/>
    <w:uiPriority w:val="0"/>
    <w:pPr>
      <w:widowControl/>
      <w:spacing w:line="500" w:lineRule="exact"/>
      <w:jc w:val="center"/>
    </w:pPr>
    <w:rPr>
      <w:rFonts w:ascii="楷体_GB2312" w:hAnsi="宋体" w:eastAsia="楷体_GB2312"/>
      <w:b/>
      <w:sz w:val="24"/>
    </w:rPr>
  </w:style>
  <w:style w:type="paragraph" w:customStyle="1" w:styleId="100">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7"/>
      <w:szCs w:val="27"/>
    </w:rPr>
  </w:style>
  <w:style w:type="paragraph" w:customStyle="1" w:styleId="101">
    <w:name w:val="List Paragraph1"/>
    <w:basedOn w:val="1"/>
    <w:autoRedefine/>
    <w:qFormat/>
    <w:uiPriority w:val="0"/>
    <w:pPr>
      <w:ind w:firstLine="420" w:firstLineChars="200"/>
    </w:pPr>
    <w:rPr>
      <w:rFonts w:ascii="Calibri" w:hAnsi="Calibri"/>
      <w:szCs w:val="21"/>
    </w:rPr>
  </w:style>
  <w:style w:type="table" w:customStyle="1" w:styleId="102">
    <w:name w:val="Table Normal"/>
    <w:basedOn w:val="24"/>
    <w:autoRedefine/>
    <w:qFormat/>
    <w:uiPriority w:val="0"/>
    <w:rPr>
      <w:rFonts w:eastAsia="Times New Roman"/>
    </w:rPr>
    <w:tblPr>
      <w:tblCellMar>
        <w:left w:w="0" w:type="dxa"/>
        <w:right w:w="0" w:type="dxa"/>
      </w:tblCellMar>
    </w:tblPr>
  </w:style>
  <w:style w:type="paragraph" w:customStyle="1" w:styleId="103">
    <w:name w:val="列出段落1"/>
    <w:basedOn w:val="1"/>
    <w:autoRedefine/>
    <w:qFormat/>
    <w:uiPriority w:val="0"/>
    <w:pPr>
      <w:ind w:firstLine="420" w:firstLineChars="200"/>
    </w:pPr>
    <w:rPr>
      <w:rFonts w:ascii="Calibri" w:hAnsi="Calibri"/>
      <w:szCs w:val="21"/>
    </w:rPr>
  </w:style>
  <w:style w:type="paragraph" w:customStyle="1" w:styleId="104">
    <w:name w:val="正文4"/>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05">
    <w:name w:val="textbig1"/>
    <w:basedOn w:val="26"/>
    <w:autoRedefine/>
    <w:qFormat/>
    <w:uiPriority w:val="0"/>
    <w:rPr>
      <w:sz w:val="18"/>
      <w:szCs w:val="18"/>
    </w:rPr>
  </w:style>
  <w:style w:type="paragraph" w:customStyle="1" w:styleId="106">
    <w:name w:val="段落1"/>
    <w:basedOn w:val="1"/>
    <w:autoRedefine/>
    <w:qFormat/>
    <w:uiPriority w:val="0"/>
    <w:pPr>
      <w:ind w:firstLine="200" w:firstLineChars="200"/>
    </w:pPr>
    <w:rPr>
      <w:rFonts w:eastAsia="楷体_GB2312"/>
      <w:spacing w:val="6"/>
      <w:sz w:val="28"/>
    </w:rPr>
  </w:style>
  <w:style w:type="paragraph" w:customStyle="1" w:styleId="107">
    <w:name w:val="表格式"/>
    <w:basedOn w:val="16"/>
    <w:autoRedefine/>
    <w:qFormat/>
    <w:uiPriority w:val="0"/>
    <w:pPr>
      <w:spacing w:line="400" w:lineRule="exact"/>
      <w:ind w:left="0" w:firstLine="0" w:firstLineChars="0"/>
      <w:jc w:val="center"/>
    </w:pPr>
    <w:rPr>
      <w:rFonts w:ascii="宋体"/>
      <w:szCs w:val="20"/>
    </w:rPr>
  </w:style>
  <w:style w:type="paragraph" w:customStyle="1" w:styleId="108">
    <w:name w:val="表格标题"/>
    <w:basedOn w:val="1"/>
    <w:autoRedefine/>
    <w:qFormat/>
    <w:uiPriority w:val="0"/>
    <w:pPr>
      <w:spacing w:before="60" w:after="100" w:afterAutospacing="1" w:line="460" w:lineRule="exact"/>
      <w:jc w:val="center"/>
    </w:pPr>
    <w:rPr>
      <w:sz w:val="24"/>
    </w:rPr>
  </w:style>
  <w:style w:type="paragraph" w:customStyle="1" w:styleId="109">
    <w:name w:val="MEL表字-书"/>
    <w:basedOn w:val="1"/>
    <w:autoRedefine/>
    <w:qFormat/>
    <w:uiPriority w:val="0"/>
    <w:pPr>
      <w:spacing w:line="240" w:lineRule="exact"/>
      <w:jc w:val="center"/>
    </w:pPr>
    <w:rPr>
      <w:rFonts w:ascii="宋体" w:hAnsi="宋体" w:eastAsiaTheme="minorEastAsia"/>
      <w:szCs w:val="21"/>
    </w:rPr>
  </w:style>
  <w:style w:type="paragraph" w:customStyle="1" w:styleId="110">
    <w:name w:val="1"/>
    <w:basedOn w:val="1"/>
    <w:next w:val="18"/>
    <w:autoRedefine/>
    <w:qFormat/>
    <w:uiPriority w:val="0"/>
    <w:pPr>
      <w:spacing w:line="300" w:lineRule="auto"/>
      <w:jc w:val="center"/>
    </w:pPr>
    <w:rPr>
      <w:rFonts w:ascii="宋体" w:hAnsi="宋体"/>
      <w:spacing w:val="-20"/>
    </w:rPr>
  </w:style>
  <w:style w:type="paragraph" w:customStyle="1" w:styleId="111">
    <w:name w:val="表标题"/>
    <w:basedOn w:val="1"/>
    <w:autoRedefine/>
    <w:qFormat/>
    <w:uiPriority w:val="0"/>
    <w:pPr>
      <w:tabs>
        <w:tab w:val="left" w:pos="2700"/>
        <w:tab w:val="left" w:pos="6300"/>
      </w:tabs>
      <w:spacing w:line="360" w:lineRule="auto"/>
      <w:jc w:val="center"/>
    </w:pPr>
    <w:rPr>
      <w:b/>
      <w:sz w:val="24"/>
    </w:rPr>
  </w:style>
  <w:style w:type="paragraph" w:customStyle="1" w:styleId="112">
    <w:name w:val="表格内容自定"/>
    <w:basedOn w:val="1"/>
    <w:autoRedefine/>
    <w:qFormat/>
    <w:uiPriority w:val="0"/>
    <w:pPr>
      <w:spacing w:line="280" w:lineRule="exact"/>
      <w:jc w:val="center"/>
    </w:pPr>
    <w:rPr>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1.png"/><Relationship Id="rId17" Type="http://schemas.openxmlformats.org/officeDocument/2006/relationships/image" Target="media/image10.jpe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1497F-ECC9-49C5-B2D5-72D244FE0A6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34576</Words>
  <Characters>38474</Characters>
  <Lines>282</Lines>
  <Paragraphs>79</Paragraphs>
  <TotalTime>22</TotalTime>
  <ScaleCrop>false</ScaleCrop>
  <LinksUpToDate>false</LinksUpToDate>
  <CharactersWithSpaces>38956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2023-06-06T14:22:00Z</dcterms:created>
  <dc:creator>lhj</dc:creator>
  <cp:lastModifiedBy>王学珍</cp:lastModifiedBy>
  <cp:lastPrinted>2021-11-01T01:03:00Z</cp:lastPrinted>
  <dcterms:modified xsi:type="dcterms:W3CDTF">2024-07-24T09:03:17Z</dcterms:modified>
  <dc:title>附件2</dc:title>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03F4D1BFCCC645DA9BAF24C8CC961BE1_13</vt:lpwstr>
  </property>
</Properties>
</file>