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rPr>
          <w:rFonts w:hint="eastAsia"/>
        </w:rPr>
      </w:pPr>
    </w:p>
    <w:p>
      <w:pPr>
        <w:bidi w:val="0"/>
        <w:rPr>
          <w:rFonts w:hint="eastAsia"/>
        </w:rPr>
      </w:pPr>
    </w:p>
    <w:p>
      <w:pPr>
        <w:bidi w:val="0"/>
        <w:rPr>
          <w:rFonts w:hint="eastAsia"/>
        </w:rPr>
      </w:pPr>
    </w:p>
    <w:p>
      <w:pPr>
        <w:keepNext w:val="0"/>
        <w:keepLines w:val="0"/>
        <w:pageBreakBefore w:val="0"/>
        <w:widowControl w:val="0"/>
        <w:kinsoku/>
        <w:wordWrap/>
        <w:overflowPunct/>
        <w:topLinePunct w:val="0"/>
        <w:autoSpaceDE/>
        <w:autoSpaceDN/>
        <w:bidi w:val="0"/>
        <w:adjustRightInd/>
        <w:snapToGrid/>
        <w:spacing w:after="625" w:afterLines="200"/>
        <w:ind w:left="0" w:leftChars="0" w:firstLine="0" w:firstLineChars="0"/>
        <w:jc w:val="center"/>
        <w:textAlignment w:val="auto"/>
        <w:rPr>
          <w:rFonts w:hint="eastAsia" w:ascii="Times New Roman" w:hAnsi="Times New Roman" w:eastAsia="宋体"/>
          <w:b/>
          <w:bCs/>
          <w:color w:val="auto"/>
          <w:sz w:val="72"/>
          <w:szCs w:val="72"/>
        </w:rPr>
      </w:pPr>
      <w:r>
        <w:rPr>
          <w:rFonts w:hint="eastAsia" w:ascii="Times New Roman" w:hAnsi="Times New Roman" w:eastAsia="宋体"/>
          <w:b/>
          <w:bCs/>
          <w:color w:val="auto"/>
          <w:sz w:val="72"/>
          <w:szCs w:val="72"/>
        </w:rPr>
        <w:t>建设项目环境影响报告表</w:t>
      </w:r>
    </w:p>
    <w:p>
      <w:pPr>
        <w:keepNext w:val="0"/>
        <w:keepLines w:val="0"/>
        <w:pageBreakBefore w:val="0"/>
        <w:widowControl w:val="0"/>
        <w:kinsoku/>
        <w:wordWrap/>
        <w:overflowPunct/>
        <w:topLinePunct w:val="0"/>
        <w:autoSpaceDE/>
        <w:autoSpaceDN/>
        <w:bidi w:val="0"/>
        <w:adjustRightInd/>
        <w:snapToGrid/>
        <w:spacing w:after="625" w:afterLines="200" w:line="480" w:lineRule="auto"/>
        <w:ind w:left="0" w:leftChars="0" w:firstLine="0" w:firstLineChars="0"/>
        <w:jc w:val="center"/>
        <w:textAlignment w:val="auto"/>
        <w:rPr>
          <w:rFonts w:hint="eastAsia"/>
          <w:b/>
          <w:bCs/>
          <w:color w:val="auto"/>
          <w:sz w:val="48"/>
          <w:szCs w:val="48"/>
        </w:rPr>
      </w:pPr>
      <w:r>
        <w:rPr>
          <w:rFonts w:hint="eastAsia"/>
          <w:b/>
          <w:bCs/>
          <w:color w:val="auto"/>
          <w:sz w:val="48"/>
          <w:szCs w:val="48"/>
        </w:rPr>
        <w:t>（</w:t>
      </w:r>
      <w:r>
        <w:rPr>
          <w:rFonts w:hint="eastAsia"/>
          <w:b/>
          <w:bCs/>
          <w:color w:val="auto"/>
          <w:sz w:val="48"/>
          <w:szCs w:val="48"/>
          <w:lang w:val="en-US" w:eastAsia="zh-CN"/>
        </w:rPr>
        <w:t>生态</w:t>
      </w:r>
      <w:r>
        <w:rPr>
          <w:rFonts w:hint="eastAsia"/>
          <w:b/>
          <w:bCs/>
          <w:color w:val="auto"/>
          <w:sz w:val="48"/>
          <w:szCs w:val="48"/>
        </w:rPr>
        <w:t>影响类）</w:t>
      </w:r>
    </w:p>
    <w:p>
      <w:pPr>
        <w:keepNext w:val="0"/>
        <w:keepLines w:val="0"/>
        <w:pageBreakBefore w:val="0"/>
        <w:widowControl w:val="0"/>
        <w:kinsoku/>
        <w:wordWrap/>
        <w:overflowPunct/>
        <w:topLinePunct w:val="0"/>
        <w:autoSpaceDE/>
        <w:autoSpaceDN/>
        <w:bidi w:val="0"/>
        <w:adjustRightInd/>
        <w:snapToGrid/>
        <w:spacing w:after="625" w:afterLines="200" w:line="480" w:lineRule="auto"/>
        <w:ind w:left="0" w:leftChars="0" w:firstLine="0" w:firstLineChars="0"/>
        <w:jc w:val="center"/>
        <w:textAlignment w:val="auto"/>
        <w:rPr>
          <w:rFonts w:hint="eastAsia"/>
          <w:b/>
          <w:bCs/>
          <w:color w:val="auto"/>
          <w:sz w:val="48"/>
          <w:szCs w:val="48"/>
        </w:rPr>
      </w:pPr>
    </w:p>
    <w:p>
      <w:pPr>
        <w:bidi w:val="0"/>
        <w:rPr>
          <w:color w:val="auto"/>
        </w:rPr>
      </w:pPr>
    </w:p>
    <w:p>
      <w:pPr>
        <w:bidi w:val="0"/>
        <w:rPr>
          <w:color w:val="auto"/>
        </w:rPr>
      </w:pPr>
    </w:p>
    <w:p>
      <w:pPr>
        <w:bidi w:val="0"/>
        <w:rPr>
          <w:i w:val="0"/>
          <w:iCs w:val="0"/>
          <w:color w:val="auto"/>
          <w:sz w:val="36"/>
          <w:szCs w:val="36"/>
          <w:u w:val="single"/>
        </w:rPr>
      </w:pPr>
    </w:p>
    <w:p>
      <w:pPr>
        <w:bidi w:val="0"/>
        <w:ind w:left="1800" w:leftChars="0" w:hanging="1800" w:hangingChars="500"/>
        <w:rPr>
          <w:rFonts w:hint="default" w:eastAsia="宋体"/>
          <w:i w:val="0"/>
          <w:iCs w:val="0"/>
          <w:color w:val="auto"/>
          <w:sz w:val="36"/>
          <w:szCs w:val="36"/>
          <w:u w:val="single"/>
          <w:lang w:val="en-US" w:eastAsia="zh-CN"/>
        </w:rPr>
      </w:pPr>
      <w:r>
        <w:rPr>
          <w:rFonts w:hint="eastAsia"/>
          <w:i w:val="0"/>
          <w:iCs w:val="0"/>
          <w:color w:val="auto"/>
          <w:sz w:val="36"/>
          <w:szCs w:val="36"/>
          <w:u w:val="none"/>
        </w:rPr>
        <w:t>项目名称：</w:t>
      </w:r>
      <w:r>
        <w:rPr>
          <w:rFonts w:hint="eastAsia"/>
          <w:i w:val="0"/>
          <w:iCs w:val="0"/>
          <w:color w:val="auto"/>
          <w:sz w:val="36"/>
          <w:szCs w:val="36"/>
          <w:u w:val="single"/>
        </w:rPr>
        <w:t>托克逊县博旭砂石有限公司新疆托克逊县英阿瓦提建筑用砂矿</w:t>
      </w:r>
      <w:r>
        <w:rPr>
          <w:rFonts w:hint="eastAsia"/>
          <w:i w:val="0"/>
          <w:iCs w:val="0"/>
          <w:color w:val="auto"/>
          <w:sz w:val="36"/>
          <w:szCs w:val="36"/>
          <w:u w:val="single"/>
          <w:lang w:val="en-US" w:eastAsia="zh-CN"/>
        </w:rPr>
        <w:t xml:space="preserve">建设项目                                   </w:t>
      </w:r>
    </w:p>
    <w:p>
      <w:pPr>
        <w:keepNext w:val="0"/>
        <w:keepLines w:val="0"/>
        <w:suppressLineNumbers w:val="0"/>
        <w:spacing w:before="0" w:beforeAutospacing="0" w:after="0" w:afterAutospacing="0" w:line="360" w:lineRule="auto"/>
        <w:ind w:left="1800" w:leftChars="0" w:right="0" w:hanging="1800" w:hangingChars="500"/>
        <w:rPr>
          <w:rFonts w:hint="default"/>
          <w:i w:val="0"/>
          <w:iCs w:val="0"/>
          <w:color w:val="auto"/>
          <w:sz w:val="36"/>
          <w:szCs w:val="36"/>
          <w:u w:val="single"/>
          <w:lang w:val="en-US" w:eastAsia="zh-CN"/>
        </w:rPr>
      </w:pPr>
      <w:r>
        <w:rPr>
          <w:rFonts w:hint="eastAsia"/>
          <w:i w:val="0"/>
          <w:iCs w:val="0"/>
          <w:color w:val="auto"/>
          <w:sz w:val="36"/>
          <w:szCs w:val="36"/>
          <w:u w:val="none"/>
        </w:rPr>
        <w:t>建设单位（盖章）：</w:t>
      </w:r>
      <w:r>
        <w:rPr>
          <w:rFonts w:hint="eastAsia"/>
          <w:i w:val="0"/>
          <w:iCs w:val="0"/>
          <w:color w:val="auto"/>
          <w:sz w:val="36"/>
          <w:szCs w:val="36"/>
          <w:u w:val="single"/>
        </w:rPr>
        <w:t>托克逊县博旭砂石有限公司</w:t>
      </w:r>
      <w:r>
        <w:rPr>
          <w:rFonts w:hint="eastAsia"/>
          <w:i w:val="0"/>
          <w:iCs w:val="0"/>
          <w:color w:val="auto"/>
          <w:sz w:val="36"/>
          <w:szCs w:val="36"/>
          <w:u w:val="single"/>
          <w:lang w:val="en-US" w:eastAsia="zh-CN"/>
        </w:rPr>
        <w:t xml:space="preserve">                                </w:t>
      </w:r>
    </w:p>
    <w:p>
      <w:pPr>
        <w:bidi w:val="0"/>
        <w:ind w:left="0" w:leftChars="0" w:firstLine="0" w:firstLineChars="0"/>
        <w:rPr>
          <w:rFonts w:hint="default"/>
          <w:i w:val="0"/>
          <w:iCs w:val="0"/>
          <w:color w:val="auto"/>
          <w:sz w:val="36"/>
          <w:szCs w:val="36"/>
          <w:u w:val="single"/>
          <w:lang w:val="en-US" w:eastAsia="zh-CN"/>
        </w:rPr>
      </w:pPr>
      <w:r>
        <w:rPr>
          <w:rFonts w:hint="eastAsia"/>
          <w:i w:val="0"/>
          <w:iCs w:val="0"/>
          <w:color w:val="auto"/>
          <w:sz w:val="36"/>
          <w:szCs w:val="36"/>
          <w:u w:val="none"/>
        </w:rPr>
        <w:t>编制日期：</w:t>
      </w:r>
      <w:r>
        <w:rPr>
          <w:i w:val="0"/>
          <w:iCs w:val="0"/>
          <w:color w:val="auto"/>
          <w:sz w:val="36"/>
          <w:szCs w:val="36"/>
          <w:u w:val="single"/>
        </w:rPr>
        <w:t xml:space="preserve">     </w:t>
      </w:r>
      <w:r>
        <w:rPr>
          <w:rFonts w:hint="eastAsia"/>
          <w:i w:val="0"/>
          <w:iCs w:val="0"/>
          <w:color w:val="auto"/>
          <w:sz w:val="36"/>
          <w:szCs w:val="36"/>
          <w:u w:val="single"/>
          <w:lang w:val="en-US" w:eastAsia="zh-CN"/>
        </w:rPr>
        <w:t xml:space="preserve">  </w:t>
      </w:r>
      <w:r>
        <w:rPr>
          <w:i w:val="0"/>
          <w:iCs w:val="0"/>
          <w:color w:val="auto"/>
          <w:sz w:val="36"/>
          <w:szCs w:val="36"/>
          <w:u w:val="single"/>
        </w:rPr>
        <w:t xml:space="preserve">    </w:t>
      </w:r>
      <w:r>
        <w:rPr>
          <w:rFonts w:hint="eastAsia"/>
          <w:i w:val="0"/>
          <w:iCs w:val="0"/>
          <w:color w:val="auto"/>
          <w:sz w:val="36"/>
          <w:szCs w:val="36"/>
          <w:u w:val="single"/>
        </w:rPr>
        <w:t xml:space="preserve">  </w:t>
      </w:r>
      <w:r>
        <w:rPr>
          <w:rFonts w:hint="eastAsia"/>
          <w:i w:val="0"/>
          <w:iCs w:val="0"/>
          <w:color w:val="auto"/>
          <w:sz w:val="36"/>
          <w:szCs w:val="36"/>
          <w:u w:val="single"/>
          <w:lang w:val="en-US" w:eastAsia="zh-CN"/>
        </w:rPr>
        <w:t>2024年11月</w:t>
      </w:r>
      <w:r>
        <w:rPr>
          <w:i w:val="0"/>
          <w:iCs w:val="0"/>
          <w:color w:val="auto"/>
          <w:sz w:val="36"/>
          <w:szCs w:val="36"/>
          <w:u w:val="single"/>
        </w:rPr>
        <w:t xml:space="preserve">         </w:t>
      </w:r>
      <w:r>
        <w:rPr>
          <w:rFonts w:hint="eastAsia"/>
          <w:i w:val="0"/>
          <w:iCs w:val="0"/>
          <w:color w:val="auto"/>
          <w:sz w:val="36"/>
          <w:szCs w:val="36"/>
          <w:u w:val="single"/>
          <w:lang w:val="en-US" w:eastAsia="zh-CN"/>
        </w:rPr>
        <w:t xml:space="preserve">        </w:t>
      </w:r>
    </w:p>
    <w:p>
      <w:pPr>
        <w:bidi w:val="0"/>
        <w:rPr>
          <w:color w:val="auto"/>
        </w:rPr>
      </w:pPr>
      <w:bookmarkStart w:id="0" w:name="_Hlk57884087"/>
    </w:p>
    <w:p>
      <w:pPr>
        <w:tabs>
          <w:tab w:val="left" w:pos="5286"/>
        </w:tabs>
        <w:bidi w:val="0"/>
        <w:rPr>
          <w:rFonts w:hint="eastAsia" w:eastAsia="宋体"/>
          <w:color w:val="auto"/>
          <w:lang w:eastAsia="zh-CN"/>
        </w:rPr>
      </w:pPr>
      <w:r>
        <w:rPr>
          <w:rFonts w:hint="eastAsia"/>
          <w:color w:val="auto"/>
          <w:lang w:eastAsia="zh-CN"/>
        </w:rPr>
        <w:tab/>
      </w:r>
    </w:p>
    <w:p>
      <w:pPr>
        <w:bidi w:val="0"/>
        <w:rPr>
          <w:color w:val="auto"/>
        </w:rPr>
      </w:pPr>
    </w:p>
    <w:p>
      <w:pPr>
        <w:bidi w:val="0"/>
        <w:rPr>
          <w:rFonts w:hint="eastAsia"/>
          <w:color w:val="auto"/>
        </w:rPr>
      </w:pPr>
    </w:p>
    <w:p>
      <w:pPr>
        <w:bidi w:val="0"/>
        <w:ind w:left="0" w:leftChars="0" w:firstLine="0" w:firstLineChars="0"/>
        <w:rPr>
          <w:rFonts w:hint="eastAsia"/>
          <w:color w:val="auto"/>
        </w:rPr>
      </w:pPr>
    </w:p>
    <w:bookmarkEnd w:id="0"/>
    <w:p>
      <w:pPr>
        <w:bidi w:val="0"/>
        <w:jc w:val="center"/>
        <w:rPr>
          <w:rFonts w:hint="eastAsia"/>
          <w:color w:val="auto"/>
        </w:rPr>
      </w:pPr>
      <w:r>
        <w:rPr>
          <w:rFonts w:hint="eastAsia"/>
          <w:color w:val="auto"/>
          <w:sz w:val="36"/>
          <w:szCs w:val="36"/>
        </w:rPr>
        <w:t>中华人民共和国生态环境部制</w:t>
      </w:r>
    </w:p>
    <w:p>
      <w:pPr>
        <w:bidi w:val="0"/>
        <w:rPr>
          <w:rFonts w:hint="eastAsia"/>
          <w:lang w:val="en-US" w:eastAsia="zh-CN"/>
        </w:rPr>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pPr>
    </w:p>
    <w:p>
      <w:pPr>
        <w:pStyle w:val="2"/>
        <w:numPr>
          <w:ilvl w:val="0"/>
          <w:numId w:val="0"/>
        </w:numPr>
        <w:jc w:val="center"/>
      </w:pPr>
      <w:r>
        <w:rPr>
          <w:rFonts w:hint="eastAsia" w:ascii="Times New Roman" w:hAnsi="Times New Roman" w:eastAsia="宋体" w:cstheme="minorBidi"/>
          <w:b/>
          <w:kern w:val="44"/>
          <w:sz w:val="30"/>
          <w:szCs w:val="24"/>
          <w:lang w:val="en-US" w:eastAsia="zh-CN" w:bidi="ar-SA"/>
        </w:rPr>
        <w:t>一、</w:t>
      </w:r>
      <w:r>
        <w:rPr>
          <w:rFonts w:hint="eastAsia"/>
        </w:rPr>
        <w:t>建设项目基本情况</w:t>
      </w: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2786"/>
        <w:gridCol w:w="1564"/>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66" w:type="dxa"/>
            <w:vAlign w:val="center"/>
          </w:tcPr>
          <w:p>
            <w:pPr>
              <w:pStyle w:val="31"/>
              <w:spacing w:line="240" w:lineRule="auto"/>
              <w:rPr>
                <w:rFonts w:hint="default"/>
                <w:sz w:val="24"/>
                <w:szCs w:val="24"/>
              </w:rPr>
            </w:pPr>
            <w:r>
              <w:rPr>
                <w:sz w:val="24"/>
                <w:szCs w:val="24"/>
              </w:rPr>
              <w:t>建设项目名称</w:t>
            </w:r>
          </w:p>
        </w:tc>
        <w:tc>
          <w:tcPr>
            <w:tcW w:w="6956" w:type="dxa"/>
            <w:gridSpan w:val="3"/>
            <w:vAlign w:val="center"/>
          </w:tcPr>
          <w:p>
            <w:pPr>
              <w:pStyle w:val="31"/>
              <w:spacing w:line="240" w:lineRule="auto"/>
              <w:rPr>
                <w:rFonts w:hint="eastAsia" w:eastAsia="宋体"/>
                <w:sz w:val="24"/>
                <w:szCs w:val="24"/>
                <w:lang w:eastAsia="zh-CN"/>
              </w:rPr>
            </w:pPr>
            <w:r>
              <w:rPr>
                <w:rFonts w:hint="eastAsia" w:ascii="Times New Roman" w:hAnsi="Times New Roman" w:eastAsia="宋体"/>
                <w:sz w:val="24"/>
                <w:szCs w:val="24"/>
                <w:lang w:val="en-US" w:eastAsia="zh-CN"/>
              </w:rPr>
              <w:t xml:space="preserve">托克逊县博旭砂石有限公司新疆托克逊县英阿瓦提建筑用砂矿建设项目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566" w:type="dxa"/>
            <w:vAlign w:val="center"/>
          </w:tcPr>
          <w:p>
            <w:pPr>
              <w:pStyle w:val="31"/>
              <w:spacing w:line="240" w:lineRule="auto"/>
              <w:jc w:val="center"/>
              <w:rPr>
                <w:rFonts w:hint="default"/>
                <w:sz w:val="24"/>
                <w:szCs w:val="24"/>
              </w:rPr>
            </w:pPr>
            <w:r>
              <w:rPr>
                <w:sz w:val="24"/>
                <w:szCs w:val="24"/>
              </w:rPr>
              <w:t>建设项目行业类别</w:t>
            </w:r>
          </w:p>
        </w:tc>
        <w:tc>
          <w:tcPr>
            <w:tcW w:w="2786" w:type="dxa"/>
            <w:tcBorders>
              <w:bottom w:val="single" w:color="auto" w:sz="4" w:space="0"/>
            </w:tcBorders>
            <w:vAlign w:val="center"/>
          </w:tcPr>
          <w:p>
            <w:pPr>
              <w:pStyle w:val="31"/>
              <w:numPr>
                <w:ilvl w:val="0"/>
                <w:numId w:val="4"/>
              </w:numPr>
              <w:spacing w:line="240" w:lineRule="auto"/>
              <w:rPr>
                <w:rFonts w:hint="eastAsia" w:cs="Times New Roman"/>
                <w:sz w:val="24"/>
                <w:szCs w:val="24"/>
                <w:lang w:val="en-US" w:eastAsia="zh-CN"/>
              </w:rPr>
            </w:pPr>
            <w:r>
              <w:rPr>
                <w:rFonts w:hint="default" w:ascii="Times New Roman" w:hAnsi="Times New Roman" w:cs="Times New Roman"/>
                <w:sz w:val="24"/>
                <w:szCs w:val="24"/>
                <w:lang w:eastAsia="zh-CN"/>
              </w:rPr>
              <w:t>非金属矿采选</w:t>
            </w:r>
            <w:r>
              <w:rPr>
                <w:rFonts w:hint="eastAsia" w:cs="Times New Roman"/>
                <w:sz w:val="24"/>
                <w:szCs w:val="24"/>
                <w:lang w:val="en-US" w:eastAsia="zh-CN"/>
              </w:rPr>
              <w:t>10</w:t>
            </w:r>
          </w:p>
          <w:p>
            <w:pPr>
              <w:pStyle w:val="31"/>
              <w:numPr>
                <w:ilvl w:val="0"/>
                <w:numId w:val="0"/>
              </w:numPr>
              <w:spacing w:line="240" w:lineRule="auto"/>
              <w:jc w:val="both"/>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t>1</w:t>
            </w:r>
            <w:r>
              <w:rPr>
                <w:rFonts w:hint="default" w:ascii="Times New Roman" w:hAnsi="Times New Roman" w:cs="Times New Roman"/>
                <w:sz w:val="24"/>
                <w:szCs w:val="24"/>
                <w:lang w:val="en-US" w:eastAsia="zh-CN"/>
              </w:rPr>
              <w:t>1</w:t>
            </w:r>
            <w:r>
              <w:rPr>
                <w:rFonts w:hint="eastAsia" w:cs="Times New Roman"/>
                <w:sz w:val="24"/>
                <w:szCs w:val="24"/>
                <w:lang w:eastAsia="zh-CN"/>
              </w:rPr>
              <w:t>、</w:t>
            </w:r>
            <w:r>
              <w:rPr>
                <w:rFonts w:hint="default" w:ascii="Times New Roman" w:hAnsi="Times New Roman" w:cs="Times New Roman"/>
                <w:sz w:val="24"/>
                <w:szCs w:val="24"/>
                <w:lang w:eastAsia="zh-CN"/>
              </w:rPr>
              <w:t>土砂石开采</w:t>
            </w:r>
            <w:r>
              <w:rPr>
                <w:rFonts w:hint="default" w:ascii="Times New Roman" w:hAnsi="Times New Roman" w:cs="Times New Roman"/>
                <w:sz w:val="24"/>
                <w:szCs w:val="24"/>
                <w:lang w:val="en-US" w:eastAsia="zh-CN"/>
              </w:rPr>
              <w:t>101（不含河道采砂项目）</w:t>
            </w:r>
          </w:p>
        </w:tc>
        <w:tc>
          <w:tcPr>
            <w:tcW w:w="1564" w:type="dxa"/>
            <w:tcBorders>
              <w:bottom w:val="single" w:color="auto" w:sz="4" w:space="0"/>
            </w:tcBorders>
            <w:vAlign w:val="center"/>
          </w:tcPr>
          <w:p>
            <w:pPr>
              <w:pStyle w:val="31"/>
              <w:spacing w:line="240" w:lineRule="auto"/>
              <w:rPr>
                <w:rFonts w:hint="default" w:ascii="Times New Roman" w:hAnsi="Times New Roman" w:cs="Times New Roman"/>
                <w:sz w:val="24"/>
                <w:szCs w:val="24"/>
              </w:rPr>
            </w:pPr>
            <w:r>
              <w:rPr>
                <w:rFonts w:hint="default" w:ascii="Times New Roman" w:hAnsi="Times New Roman" w:cs="Times New Roman"/>
                <w:sz w:val="24"/>
                <w:szCs w:val="24"/>
              </w:rPr>
              <w:t>用地（用海）面积（m</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w:t>
            </w:r>
          </w:p>
        </w:tc>
        <w:tc>
          <w:tcPr>
            <w:tcW w:w="2606" w:type="dxa"/>
            <w:tcBorders>
              <w:bottom w:val="single" w:color="auto" w:sz="4" w:space="0"/>
            </w:tcBorders>
            <w:vAlign w:val="center"/>
          </w:tcPr>
          <w:p>
            <w:pPr>
              <w:pStyle w:val="31"/>
              <w:spacing w:line="240" w:lineRule="auto"/>
              <w:rPr>
                <w:rFonts w:hint="default" w:ascii="Times New Roman" w:hAnsi="Times New Roman" w:cs="Times New Roman"/>
                <w:sz w:val="24"/>
                <w:szCs w:val="24"/>
                <w:lang w:val="en-US" w:eastAsia="zh-CN"/>
              </w:rPr>
            </w:pPr>
            <w:r>
              <w:rPr>
                <w:rFonts w:hint="eastAsia" w:cs="Times New Roman"/>
                <w:sz w:val="24"/>
                <w:szCs w:val="24"/>
                <w:lang w:val="en-US" w:eastAsia="zh-CN"/>
              </w:rPr>
              <w:t>202400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566" w:type="dxa"/>
            <w:tcBorders>
              <w:right w:val="single" w:color="auto" w:sz="4" w:space="0"/>
            </w:tcBorders>
            <w:vAlign w:val="center"/>
          </w:tcPr>
          <w:p>
            <w:pPr>
              <w:pStyle w:val="31"/>
              <w:spacing w:line="240" w:lineRule="auto"/>
              <w:rPr>
                <w:rFonts w:hint="default"/>
                <w:sz w:val="24"/>
                <w:szCs w:val="24"/>
              </w:rPr>
            </w:pPr>
            <w:r>
              <w:rPr>
                <w:sz w:val="24"/>
                <w:szCs w:val="24"/>
              </w:rPr>
              <w:t>建设性质</w:t>
            </w:r>
          </w:p>
        </w:tc>
        <w:tc>
          <w:tcPr>
            <w:tcW w:w="2786" w:type="dxa"/>
            <w:tcBorders>
              <w:top w:val="single" w:color="auto" w:sz="4" w:space="0"/>
              <w:left w:val="single" w:color="auto" w:sz="4" w:space="0"/>
              <w:bottom w:val="single" w:color="auto" w:sz="4" w:space="0"/>
            </w:tcBorders>
            <w:vAlign w:val="center"/>
          </w:tcPr>
          <w:p>
            <w:pPr>
              <w:pStyle w:val="31"/>
              <w:spacing w:line="240" w:lineRule="auto"/>
              <w:jc w:val="left"/>
              <w:rPr>
                <w:rFonts w:hint="default"/>
                <w:b w:val="0"/>
                <w:bCs w:val="0"/>
                <w:sz w:val="24"/>
                <w:szCs w:val="24"/>
              </w:rPr>
            </w:pPr>
            <w:r>
              <w:rPr>
                <w:b w:val="0"/>
                <w:bCs w:val="0"/>
                <w:sz w:val="24"/>
                <w:szCs w:val="24"/>
              </w:rPr>
              <w:sym w:font="Wingdings" w:char="00FE"/>
            </w:r>
            <w:r>
              <w:rPr>
                <w:b w:val="0"/>
                <w:bCs w:val="0"/>
                <w:sz w:val="24"/>
                <w:szCs w:val="24"/>
              </w:rPr>
              <w:t>新建（迁建）</w:t>
            </w:r>
          </w:p>
          <w:p>
            <w:pPr>
              <w:pStyle w:val="31"/>
              <w:spacing w:line="240" w:lineRule="auto"/>
              <w:jc w:val="left"/>
              <w:rPr>
                <w:rFonts w:hint="default"/>
                <w:b w:val="0"/>
                <w:bCs w:val="0"/>
                <w:sz w:val="24"/>
                <w:szCs w:val="24"/>
              </w:rPr>
            </w:pPr>
            <w:r>
              <w:rPr>
                <w:b w:val="0"/>
                <w:bCs w:val="0"/>
                <w:sz w:val="24"/>
                <w:szCs w:val="24"/>
              </w:rPr>
              <w:sym w:font="Wingdings" w:char="00A8"/>
            </w:r>
            <w:r>
              <w:rPr>
                <w:b w:val="0"/>
                <w:bCs w:val="0"/>
                <w:sz w:val="24"/>
                <w:szCs w:val="24"/>
              </w:rPr>
              <w:t>改建</w:t>
            </w:r>
          </w:p>
          <w:p>
            <w:pPr>
              <w:pStyle w:val="31"/>
              <w:spacing w:line="240" w:lineRule="auto"/>
              <w:jc w:val="left"/>
              <w:rPr>
                <w:rFonts w:hint="default"/>
                <w:b w:val="0"/>
                <w:bCs w:val="0"/>
                <w:sz w:val="24"/>
                <w:szCs w:val="24"/>
              </w:rPr>
            </w:pPr>
            <w:r>
              <w:rPr>
                <w:b w:val="0"/>
                <w:bCs w:val="0"/>
                <w:sz w:val="24"/>
                <w:szCs w:val="24"/>
              </w:rPr>
              <w:sym w:font="Wingdings" w:char="00A8"/>
            </w:r>
            <w:r>
              <w:rPr>
                <w:b w:val="0"/>
                <w:bCs w:val="0"/>
                <w:sz w:val="24"/>
                <w:szCs w:val="24"/>
              </w:rPr>
              <w:t>扩建</w:t>
            </w:r>
          </w:p>
          <w:p>
            <w:pPr>
              <w:pStyle w:val="31"/>
              <w:spacing w:line="240" w:lineRule="auto"/>
              <w:jc w:val="left"/>
              <w:rPr>
                <w:rFonts w:hint="default"/>
                <w:sz w:val="24"/>
                <w:szCs w:val="24"/>
              </w:rPr>
            </w:pPr>
            <w:r>
              <w:rPr>
                <w:b w:val="0"/>
                <w:bCs w:val="0"/>
                <w:sz w:val="24"/>
                <w:szCs w:val="24"/>
              </w:rPr>
              <w:sym w:font="Wingdings" w:char="00A8"/>
            </w:r>
            <w:r>
              <w:rPr>
                <w:b w:val="0"/>
                <w:bCs w:val="0"/>
                <w:sz w:val="24"/>
                <w:szCs w:val="24"/>
              </w:rPr>
              <w:t>技术改造</w:t>
            </w:r>
          </w:p>
        </w:tc>
        <w:tc>
          <w:tcPr>
            <w:tcW w:w="1564" w:type="dxa"/>
            <w:tcBorders>
              <w:top w:val="single" w:color="auto" w:sz="4" w:space="0"/>
              <w:bottom w:val="single" w:color="auto" w:sz="4" w:space="0"/>
            </w:tcBorders>
            <w:vAlign w:val="center"/>
          </w:tcPr>
          <w:p>
            <w:pPr>
              <w:pStyle w:val="31"/>
              <w:spacing w:line="240" w:lineRule="auto"/>
              <w:rPr>
                <w:rFonts w:hint="default"/>
                <w:sz w:val="24"/>
                <w:szCs w:val="24"/>
              </w:rPr>
            </w:pPr>
            <w:r>
              <w:rPr>
                <w:sz w:val="24"/>
                <w:szCs w:val="24"/>
              </w:rPr>
              <w:t>建设项目</w:t>
            </w:r>
          </w:p>
          <w:p>
            <w:pPr>
              <w:pStyle w:val="31"/>
              <w:spacing w:line="240" w:lineRule="auto"/>
              <w:rPr>
                <w:rFonts w:hint="default"/>
                <w:sz w:val="24"/>
                <w:szCs w:val="24"/>
              </w:rPr>
            </w:pPr>
            <w:r>
              <w:rPr>
                <w:sz w:val="24"/>
                <w:szCs w:val="24"/>
              </w:rPr>
              <w:t>申报情况</w:t>
            </w:r>
          </w:p>
        </w:tc>
        <w:tc>
          <w:tcPr>
            <w:tcW w:w="2606" w:type="dxa"/>
            <w:tcBorders>
              <w:top w:val="single" w:color="auto" w:sz="4" w:space="0"/>
              <w:bottom w:val="single" w:color="auto" w:sz="4" w:space="0"/>
              <w:right w:val="single" w:color="auto" w:sz="4" w:space="0"/>
            </w:tcBorders>
            <w:vAlign w:val="center"/>
          </w:tcPr>
          <w:p>
            <w:pPr>
              <w:pStyle w:val="31"/>
              <w:spacing w:line="240" w:lineRule="auto"/>
              <w:jc w:val="left"/>
              <w:rPr>
                <w:rFonts w:hint="default"/>
                <w:sz w:val="24"/>
                <w:szCs w:val="24"/>
              </w:rPr>
            </w:pPr>
            <w:r>
              <w:rPr>
                <w:sz w:val="24"/>
                <w:szCs w:val="24"/>
              </w:rPr>
              <w:sym w:font="Wingdings" w:char="00FE"/>
            </w:r>
            <w:r>
              <w:rPr>
                <w:sz w:val="24"/>
                <w:szCs w:val="24"/>
              </w:rPr>
              <w:t xml:space="preserve">首次申报项目             </w:t>
            </w:r>
            <w:r>
              <w:rPr>
                <w:sz w:val="24"/>
                <w:szCs w:val="24"/>
              </w:rPr>
              <w:sym w:font="Wingdings" w:char="00A8"/>
            </w:r>
            <w:r>
              <w:rPr>
                <w:sz w:val="24"/>
                <w:szCs w:val="24"/>
              </w:rPr>
              <w:t>不予批准后再次申报项目</w:t>
            </w:r>
          </w:p>
          <w:p>
            <w:pPr>
              <w:pStyle w:val="31"/>
              <w:spacing w:line="240" w:lineRule="auto"/>
              <w:jc w:val="left"/>
              <w:rPr>
                <w:rFonts w:hint="default"/>
                <w:sz w:val="24"/>
                <w:szCs w:val="24"/>
              </w:rPr>
            </w:pPr>
            <w:r>
              <w:rPr>
                <w:sz w:val="24"/>
                <w:szCs w:val="24"/>
              </w:rPr>
              <w:sym w:font="Wingdings" w:char="00A8"/>
            </w:r>
            <w:r>
              <w:rPr>
                <w:sz w:val="24"/>
                <w:szCs w:val="24"/>
              </w:rPr>
              <w:t xml:space="preserve">超五年重新审核项目     </w:t>
            </w:r>
          </w:p>
          <w:p>
            <w:pPr>
              <w:pStyle w:val="31"/>
              <w:spacing w:line="240" w:lineRule="auto"/>
              <w:jc w:val="left"/>
              <w:rPr>
                <w:rFonts w:hint="default"/>
                <w:sz w:val="24"/>
                <w:szCs w:val="24"/>
              </w:rPr>
            </w:pPr>
            <w:r>
              <w:rPr>
                <w:sz w:val="24"/>
                <w:szCs w:val="24"/>
              </w:rPr>
              <w:sym w:font="Wingdings" w:char="00A8"/>
            </w:r>
            <w:r>
              <w:rPr>
                <w:sz w:val="24"/>
                <w:szCs w:val="24"/>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566" w:type="dxa"/>
            <w:vAlign w:val="center"/>
          </w:tcPr>
          <w:p>
            <w:pPr>
              <w:pStyle w:val="31"/>
              <w:spacing w:line="240" w:lineRule="auto"/>
              <w:jc w:val="center"/>
              <w:rPr>
                <w:rFonts w:hint="default"/>
                <w:sz w:val="24"/>
                <w:szCs w:val="24"/>
              </w:rPr>
            </w:pPr>
            <w:r>
              <w:rPr>
                <w:sz w:val="24"/>
                <w:szCs w:val="24"/>
              </w:rPr>
              <w:t>项目审批（核准/备案）部门（选填）</w:t>
            </w:r>
          </w:p>
        </w:tc>
        <w:tc>
          <w:tcPr>
            <w:tcW w:w="2786" w:type="dxa"/>
            <w:tcBorders>
              <w:top w:val="single" w:color="auto" w:sz="4" w:space="0"/>
            </w:tcBorders>
            <w:vAlign w:val="center"/>
          </w:tcPr>
          <w:p>
            <w:pPr>
              <w:pStyle w:val="31"/>
              <w:spacing w:line="240" w:lineRule="auto"/>
              <w:rPr>
                <w:rFonts w:hint="eastAsia" w:eastAsia="宋体"/>
                <w:sz w:val="24"/>
                <w:szCs w:val="24"/>
                <w:lang w:eastAsia="zh-CN"/>
              </w:rPr>
            </w:pPr>
            <w:r>
              <w:rPr>
                <w:rFonts w:hint="eastAsia"/>
                <w:sz w:val="24"/>
                <w:szCs w:val="24"/>
                <w:lang w:val="en-US" w:eastAsia="zh-CN"/>
              </w:rPr>
              <w:t>/</w:t>
            </w:r>
          </w:p>
        </w:tc>
        <w:tc>
          <w:tcPr>
            <w:tcW w:w="1564" w:type="dxa"/>
            <w:tcBorders>
              <w:top w:val="single" w:color="auto" w:sz="4" w:space="0"/>
            </w:tcBorders>
            <w:vAlign w:val="center"/>
          </w:tcPr>
          <w:p>
            <w:pPr>
              <w:pStyle w:val="31"/>
              <w:spacing w:line="240" w:lineRule="auto"/>
              <w:jc w:val="center"/>
              <w:rPr>
                <w:rFonts w:hint="default"/>
                <w:sz w:val="24"/>
                <w:szCs w:val="24"/>
              </w:rPr>
            </w:pPr>
            <w:r>
              <w:rPr>
                <w:sz w:val="24"/>
                <w:szCs w:val="24"/>
              </w:rPr>
              <w:t>项目审核（核准/备案）文号（选填）</w:t>
            </w:r>
          </w:p>
        </w:tc>
        <w:tc>
          <w:tcPr>
            <w:tcW w:w="2606" w:type="dxa"/>
            <w:tcBorders>
              <w:top w:val="single" w:color="auto" w:sz="4" w:space="0"/>
            </w:tcBorders>
            <w:vAlign w:val="center"/>
          </w:tcPr>
          <w:p>
            <w:pPr>
              <w:pStyle w:val="31"/>
              <w:spacing w:line="240" w:lineRule="auto"/>
              <w:rPr>
                <w:rFonts w:hint="default"/>
                <w:sz w:val="24"/>
                <w:szCs w:val="24"/>
              </w:rPr>
            </w:pPr>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566" w:type="dxa"/>
            <w:vAlign w:val="center"/>
          </w:tcPr>
          <w:p>
            <w:pPr>
              <w:pStyle w:val="31"/>
              <w:spacing w:line="240" w:lineRule="auto"/>
              <w:rPr>
                <w:rFonts w:hint="default"/>
                <w:sz w:val="24"/>
                <w:szCs w:val="24"/>
              </w:rPr>
            </w:pPr>
            <w:r>
              <w:rPr>
                <w:sz w:val="24"/>
                <w:szCs w:val="24"/>
              </w:rPr>
              <w:t>总投资（万元）</w:t>
            </w:r>
          </w:p>
        </w:tc>
        <w:tc>
          <w:tcPr>
            <w:tcW w:w="2786" w:type="dxa"/>
            <w:vAlign w:val="center"/>
          </w:tcPr>
          <w:p>
            <w:pPr>
              <w:pStyle w:val="31"/>
              <w:spacing w:line="240" w:lineRule="auto"/>
              <w:rPr>
                <w:rFonts w:hint="default" w:eastAsia="宋体"/>
                <w:color w:val="auto"/>
                <w:sz w:val="24"/>
                <w:szCs w:val="24"/>
                <w:lang w:val="en-US" w:eastAsia="zh-CN"/>
              </w:rPr>
            </w:pPr>
            <w:r>
              <w:rPr>
                <w:rFonts w:hint="default" w:eastAsia="宋体"/>
                <w:color w:val="auto"/>
                <w:sz w:val="24"/>
                <w:szCs w:val="24"/>
                <w:lang w:val="en-US" w:eastAsia="zh-CN"/>
              </w:rPr>
              <w:t>250.08</w:t>
            </w:r>
          </w:p>
        </w:tc>
        <w:tc>
          <w:tcPr>
            <w:tcW w:w="1564" w:type="dxa"/>
            <w:vAlign w:val="center"/>
          </w:tcPr>
          <w:p>
            <w:pPr>
              <w:pStyle w:val="31"/>
              <w:spacing w:line="240" w:lineRule="auto"/>
              <w:rPr>
                <w:rFonts w:hint="default"/>
                <w:color w:val="auto"/>
                <w:sz w:val="24"/>
                <w:szCs w:val="24"/>
              </w:rPr>
            </w:pPr>
            <w:r>
              <w:rPr>
                <w:color w:val="auto"/>
                <w:sz w:val="24"/>
                <w:szCs w:val="24"/>
              </w:rPr>
              <w:t>环保投资（万元）</w:t>
            </w:r>
          </w:p>
        </w:tc>
        <w:tc>
          <w:tcPr>
            <w:tcW w:w="2606" w:type="dxa"/>
            <w:vAlign w:val="center"/>
          </w:tcPr>
          <w:p>
            <w:pPr>
              <w:pStyle w:val="31"/>
              <w:spacing w:line="240" w:lineRule="auto"/>
              <w:rPr>
                <w:rFonts w:hint="default" w:eastAsia="宋体"/>
                <w:color w:val="auto"/>
                <w:sz w:val="24"/>
                <w:szCs w:val="24"/>
                <w:lang w:val="en-US" w:eastAsia="zh-CN"/>
              </w:rPr>
            </w:pPr>
            <w:r>
              <w:rPr>
                <w:rFonts w:hint="eastAsia"/>
                <w:color w:val="auto"/>
                <w:sz w:val="24"/>
                <w:szCs w:val="24"/>
                <w:lang w:val="en-US" w:eastAsia="zh-CN"/>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566" w:type="dxa"/>
            <w:vAlign w:val="center"/>
          </w:tcPr>
          <w:p>
            <w:pPr>
              <w:pStyle w:val="31"/>
              <w:spacing w:line="240" w:lineRule="auto"/>
              <w:rPr>
                <w:rFonts w:hint="default"/>
                <w:sz w:val="24"/>
                <w:szCs w:val="24"/>
              </w:rPr>
            </w:pPr>
            <w:r>
              <w:rPr>
                <w:sz w:val="24"/>
                <w:szCs w:val="24"/>
              </w:rPr>
              <w:t>环保投资占比（%）</w:t>
            </w:r>
          </w:p>
        </w:tc>
        <w:tc>
          <w:tcPr>
            <w:tcW w:w="2786" w:type="dxa"/>
            <w:vAlign w:val="center"/>
          </w:tcPr>
          <w:p>
            <w:pPr>
              <w:pStyle w:val="31"/>
              <w:spacing w:line="240" w:lineRule="auto"/>
              <w:rPr>
                <w:rFonts w:hint="default" w:eastAsia="宋体"/>
                <w:color w:val="auto"/>
                <w:sz w:val="24"/>
                <w:szCs w:val="24"/>
                <w:lang w:val="en-US" w:eastAsia="zh-CN"/>
              </w:rPr>
            </w:pPr>
            <w:r>
              <w:rPr>
                <w:rFonts w:hint="eastAsia"/>
                <w:color w:val="auto"/>
                <w:sz w:val="24"/>
                <w:szCs w:val="24"/>
                <w:lang w:val="en-US" w:eastAsia="zh-CN"/>
              </w:rPr>
              <w:t>20.9</w:t>
            </w:r>
          </w:p>
        </w:tc>
        <w:tc>
          <w:tcPr>
            <w:tcW w:w="1564" w:type="dxa"/>
            <w:vAlign w:val="center"/>
          </w:tcPr>
          <w:p>
            <w:pPr>
              <w:pStyle w:val="31"/>
              <w:spacing w:line="240" w:lineRule="auto"/>
              <w:rPr>
                <w:rFonts w:hint="default"/>
                <w:color w:val="auto"/>
                <w:sz w:val="24"/>
                <w:szCs w:val="24"/>
              </w:rPr>
            </w:pPr>
            <w:r>
              <w:rPr>
                <w:color w:val="auto"/>
                <w:sz w:val="24"/>
                <w:szCs w:val="24"/>
              </w:rPr>
              <w:t>施工工期</w:t>
            </w:r>
          </w:p>
        </w:tc>
        <w:tc>
          <w:tcPr>
            <w:tcW w:w="2606" w:type="dxa"/>
            <w:vAlign w:val="center"/>
          </w:tcPr>
          <w:p>
            <w:pPr>
              <w:pStyle w:val="31"/>
              <w:spacing w:line="240" w:lineRule="auto"/>
              <w:jc w:val="center"/>
              <w:rPr>
                <w:rFonts w:hint="default"/>
                <w:color w:val="auto"/>
                <w:sz w:val="24"/>
                <w:szCs w:val="24"/>
              </w:rPr>
            </w:pPr>
            <w:r>
              <w:rPr>
                <w:rFonts w:hint="eastAsia"/>
                <w:color w:val="auto"/>
                <w:sz w:val="24"/>
                <w:szCs w:val="24"/>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566" w:type="dxa"/>
            <w:vAlign w:val="center"/>
          </w:tcPr>
          <w:p>
            <w:pPr>
              <w:pStyle w:val="31"/>
              <w:spacing w:line="240" w:lineRule="auto"/>
              <w:rPr>
                <w:rFonts w:hint="default"/>
                <w:sz w:val="24"/>
                <w:szCs w:val="24"/>
              </w:rPr>
            </w:pPr>
            <w:r>
              <w:rPr>
                <w:sz w:val="24"/>
                <w:szCs w:val="24"/>
              </w:rPr>
              <w:t>是否开工建设</w:t>
            </w:r>
          </w:p>
        </w:tc>
        <w:tc>
          <w:tcPr>
            <w:tcW w:w="6956" w:type="dxa"/>
            <w:gridSpan w:val="3"/>
            <w:vAlign w:val="center"/>
          </w:tcPr>
          <w:p>
            <w:pPr>
              <w:pStyle w:val="31"/>
              <w:spacing w:line="240" w:lineRule="auto"/>
              <w:jc w:val="both"/>
              <w:rPr>
                <w:rFonts w:hint="default"/>
                <w:sz w:val="24"/>
                <w:szCs w:val="24"/>
              </w:rPr>
            </w:pPr>
            <w:r>
              <w:rPr>
                <w:sz w:val="24"/>
                <w:szCs w:val="24"/>
              </w:rPr>
              <w:sym w:font="Wingdings" w:char="00FE"/>
            </w:r>
            <w:r>
              <w:rPr>
                <w:sz w:val="24"/>
                <w:szCs w:val="24"/>
              </w:rPr>
              <w:t>否</w:t>
            </w:r>
          </w:p>
          <w:p>
            <w:pPr>
              <w:pStyle w:val="31"/>
              <w:spacing w:line="240" w:lineRule="auto"/>
              <w:jc w:val="both"/>
              <w:rPr>
                <w:rFonts w:hint="default"/>
                <w:sz w:val="24"/>
                <w:szCs w:val="24"/>
              </w:rPr>
            </w:pPr>
            <w:r>
              <w:rPr>
                <w:sz w:val="24"/>
                <w:szCs w:val="24"/>
              </w:rPr>
              <w:sym w:font="Wingdings" w:char="00A8"/>
            </w:r>
            <w:r>
              <w:rPr>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566" w:type="dxa"/>
            <w:vAlign w:val="center"/>
          </w:tcPr>
          <w:p>
            <w:pPr>
              <w:pStyle w:val="31"/>
              <w:spacing w:line="240" w:lineRule="auto"/>
              <w:rPr>
                <w:rFonts w:hint="default"/>
              </w:rPr>
            </w:pPr>
            <w:r>
              <w:t>专项评价设置情况</w:t>
            </w:r>
          </w:p>
        </w:tc>
        <w:tc>
          <w:tcPr>
            <w:tcW w:w="6956" w:type="dxa"/>
            <w:gridSpan w:val="3"/>
            <w:vAlign w:val="center"/>
          </w:tcPr>
          <w:p>
            <w:pPr>
              <w:pStyle w:val="31"/>
              <w:spacing w:line="240" w:lineRule="auto"/>
              <w:rPr>
                <w:rFonts w:hint="default"/>
              </w:rPr>
            </w:pPr>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566" w:type="dxa"/>
            <w:vAlign w:val="center"/>
          </w:tcPr>
          <w:p>
            <w:pPr>
              <w:pStyle w:val="31"/>
              <w:spacing w:line="240" w:lineRule="auto"/>
              <w:rPr>
                <w:rFonts w:hint="default"/>
              </w:rPr>
            </w:pPr>
            <w:r>
              <w:t>规划情况</w:t>
            </w:r>
          </w:p>
        </w:tc>
        <w:tc>
          <w:tcPr>
            <w:tcW w:w="6956" w:type="dxa"/>
            <w:gridSpan w:val="3"/>
            <w:vAlign w:val="center"/>
          </w:tcPr>
          <w:p>
            <w:pPr>
              <w:pStyle w:val="31"/>
              <w:keepNext/>
              <w:keepLines/>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rPr>
              <w:t>《新疆维吾尔自治区矿产资源总体规划》（2021-2025年），自然资源部；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566" w:type="dxa"/>
            <w:vAlign w:val="center"/>
          </w:tcPr>
          <w:p>
            <w:pPr>
              <w:pStyle w:val="31"/>
              <w:keepNext/>
              <w:keepLines w:val="0"/>
              <w:pageBreakBefore w:val="0"/>
              <w:widowControl w:val="0"/>
              <w:kinsoku/>
              <w:wordWrap w:val="0"/>
              <w:overflowPunct/>
              <w:topLinePunct w:val="0"/>
              <w:bidi w:val="0"/>
              <w:adjustRightInd/>
              <w:snapToGrid/>
              <w:spacing w:line="240" w:lineRule="auto"/>
              <w:textAlignment w:val="auto"/>
              <w:rPr>
                <w:rFonts w:hint="default"/>
              </w:rPr>
            </w:pPr>
            <w:r>
              <w:t>规划环境影响评价情况</w:t>
            </w:r>
          </w:p>
        </w:tc>
        <w:tc>
          <w:tcPr>
            <w:tcW w:w="6956" w:type="dxa"/>
            <w:gridSpan w:val="3"/>
            <w:vAlign w:val="center"/>
          </w:tcPr>
          <w:p>
            <w:pPr>
              <w:pStyle w:val="31"/>
              <w:keepNext/>
              <w:keepLines w:val="0"/>
              <w:pageBreakBefore w:val="0"/>
              <w:widowControl w:val="0"/>
              <w:kinsoku/>
              <w:wordWrap w:val="0"/>
              <w:overflowPunct/>
              <w:topLinePunct w:val="0"/>
              <w:autoSpaceDE/>
              <w:autoSpaceDN/>
              <w:bidi w:val="0"/>
              <w:adjustRightInd/>
              <w:snapToGrid/>
              <w:spacing w:line="360" w:lineRule="auto"/>
              <w:textAlignment w:val="auto"/>
              <w:rPr>
                <w:rFonts w:hint="default"/>
              </w:rPr>
            </w:pPr>
            <w:r>
              <w:rPr>
                <w:rFonts w:hint="default"/>
              </w:rPr>
              <w:t>《关于&lt;新疆维</w:t>
            </w:r>
            <w:r>
              <w:rPr>
                <w:rFonts w:hint="default" w:ascii="Times New Roman" w:hAnsi="Times New Roman" w:eastAsia="宋体"/>
              </w:rPr>
              <w:t>吾尔自治区矿产资源总体规划（2021-2025）环境影响报告书&gt;的审查意见》环审〔</w:t>
            </w:r>
            <w:r>
              <w:rPr>
                <w:rFonts w:hint="default" w:ascii="Times New Roman" w:hAnsi="Times New Roman" w:eastAsia="宋体"/>
                <w:lang w:val="en-US" w:eastAsia="zh-CN"/>
              </w:rPr>
              <w:t>2022</w:t>
            </w:r>
            <w:r>
              <w:rPr>
                <w:rFonts w:hint="default" w:ascii="Times New Roman" w:hAnsi="Times New Roman" w:eastAsia="宋体"/>
              </w:rPr>
              <w:t>〕124号，2022年8月12日，生态环境部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1" w:hRule="atLeast"/>
          <w:jc w:val="center"/>
        </w:trPr>
        <w:tc>
          <w:tcPr>
            <w:tcW w:w="1566" w:type="dxa"/>
            <w:vAlign w:val="center"/>
          </w:tcPr>
          <w:p>
            <w:pPr>
              <w:pStyle w:val="31"/>
              <w:keepNext/>
              <w:keepLines w:val="0"/>
              <w:pageBreakBefore w:val="0"/>
              <w:widowControl w:val="0"/>
              <w:kinsoku/>
              <w:wordWrap w:val="0"/>
              <w:overflowPunct/>
              <w:topLinePunct w:val="0"/>
              <w:bidi w:val="0"/>
              <w:adjustRightInd/>
              <w:snapToGrid/>
              <w:spacing w:line="240" w:lineRule="auto"/>
              <w:textAlignment w:val="auto"/>
              <w:rPr>
                <w:rFonts w:hint="default"/>
              </w:rPr>
            </w:pPr>
            <w:r>
              <w:t>规划及规划环境影响评价符合性分析</w:t>
            </w:r>
          </w:p>
        </w:tc>
        <w:tc>
          <w:tcPr>
            <w:tcW w:w="6956" w:type="dxa"/>
            <w:gridSpan w:val="3"/>
            <w:vAlign w:val="center"/>
          </w:tcPr>
          <w:p>
            <w:pPr>
              <w:pStyle w:val="31"/>
              <w:keepNext/>
              <w:keepLines w:val="0"/>
              <w:pageBreakBefore w:val="0"/>
              <w:widowControl w:val="0"/>
              <w:numPr>
                <w:ilvl w:val="0"/>
                <w:numId w:val="0"/>
              </w:numPr>
              <w:kinsoku/>
              <w:wordWrap w:val="0"/>
              <w:overflowPunct/>
              <w:topLinePunct w:val="0"/>
              <w:bidi w:val="0"/>
              <w:adjustRightInd/>
              <w:snapToGrid/>
              <w:spacing w:line="360" w:lineRule="auto"/>
              <w:ind w:firstLine="0" w:firstLineChars="0"/>
              <w:jc w:val="left"/>
              <w:textAlignment w:val="auto"/>
              <w:rPr>
                <w:rFonts w:hint="default" w:ascii="Times New Roman" w:hAnsi="Times New Roman" w:cs="Times New Roman"/>
                <w:b/>
                <w:bCs/>
                <w:lang w:val="en-US" w:eastAsia="zh-CN"/>
              </w:rPr>
            </w:pPr>
            <w:r>
              <w:rPr>
                <w:rFonts w:hint="default" w:ascii="Times New Roman" w:hAnsi="Times New Roman" w:eastAsia="宋体" w:cs="Times New Roman"/>
                <w:b/>
                <w:bCs/>
                <w:kern w:val="44"/>
                <w:sz w:val="24"/>
                <w:szCs w:val="24"/>
                <w:lang w:val="en-US" w:eastAsia="zh-CN" w:bidi="ar-SA"/>
              </w:rPr>
              <w:t>1</w:t>
            </w:r>
            <w:r>
              <w:rPr>
                <w:rFonts w:hint="eastAsia" w:ascii="Times New Roman" w:hAnsi="Times New Roman" w:cs="Times New Roman"/>
                <w:b/>
                <w:bCs/>
                <w:kern w:val="44"/>
                <w:sz w:val="24"/>
                <w:szCs w:val="24"/>
                <w:lang w:val="en-US" w:eastAsia="zh-CN" w:bidi="ar-SA"/>
              </w:rPr>
              <w:t>.</w:t>
            </w:r>
            <w:r>
              <w:rPr>
                <w:rFonts w:hint="default" w:ascii="Times New Roman" w:hAnsi="Times New Roman" w:cs="Times New Roman"/>
                <w:b/>
                <w:bCs/>
                <w:lang w:val="en-US" w:eastAsia="zh-CN"/>
              </w:rPr>
              <w:t>项目与《新疆维吾尔自治区矿产资源总体规划（2021－2025年）》的符合性分析</w:t>
            </w:r>
          </w:p>
          <w:p>
            <w:pPr>
              <w:pStyle w:val="31"/>
              <w:keepNext/>
              <w:keepLines w:val="0"/>
              <w:pageBreakBefore w:val="0"/>
              <w:widowControl w:val="0"/>
              <w:numPr>
                <w:ilvl w:val="0"/>
                <w:numId w:val="0"/>
              </w:numPr>
              <w:kinsoku/>
              <w:wordWrap w:val="0"/>
              <w:overflowPunct/>
              <w:topLinePunct w:val="0"/>
              <w:bidi w:val="0"/>
              <w:adjustRightInd/>
              <w:snapToGrid/>
              <w:spacing w:line="240" w:lineRule="auto"/>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表1-1   与《新疆维吾尔自治区矿产资源总体规划（2021－2025年）》符合性分析</w:t>
            </w:r>
          </w:p>
          <w:tbl>
            <w:tblPr>
              <w:tblStyle w:val="2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
              <w:gridCol w:w="3578"/>
              <w:gridCol w:w="2088"/>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center"/>
                </w:tcPr>
                <w:p>
                  <w:pPr>
                    <w:keepNext/>
                    <w:keepLines w:val="0"/>
                    <w:pageBreakBefore w:val="0"/>
                    <w:widowControl w:val="0"/>
                    <w:kinsoku/>
                    <w:wordWrap w:val="0"/>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序号</w:t>
                  </w:r>
                </w:p>
              </w:tc>
              <w:tc>
                <w:tcPr>
                  <w:tcW w:w="2659" w:type="pct"/>
                  <w:vAlign w:val="center"/>
                </w:tcPr>
                <w:p>
                  <w:pPr>
                    <w:keepNext/>
                    <w:keepLines w:val="0"/>
                    <w:pageBreakBefore w:val="0"/>
                    <w:widowControl w:val="0"/>
                    <w:kinsoku/>
                    <w:wordWrap w:val="0"/>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《新疆维吾尔自治区矿产资源总体规划（2021－2025年）》要求</w:t>
                  </w:r>
                </w:p>
              </w:tc>
              <w:tc>
                <w:tcPr>
                  <w:tcW w:w="1552" w:type="pct"/>
                  <w:vAlign w:val="center"/>
                </w:tcPr>
                <w:p>
                  <w:pPr>
                    <w:keepNext/>
                    <w:keepLines w:val="0"/>
                    <w:pageBreakBefore w:val="0"/>
                    <w:widowControl w:val="0"/>
                    <w:kinsoku/>
                    <w:wordWrap w:val="0"/>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本项目实际情况</w:t>
                  </w:r>
                </w:p>
              </w:tc>
              <w:tc>
                <w:tcPr>
                  <w:tcW w:w="506" w:type="pct"/>
                  <w:vAlign w:val="center"/>
                </w:tcPr>
                <w:p>
                  <w:pPr>
                    <w:keepNext/>
                    <w:keepLines w:val="0"/>
                    <w:pageBreakBefore w:val="0"/>
                    <w:widowControl w:val="0"/>
                    <w:kinsoku/>
                    <w:wordWrap w:val="0"/>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eastAsia="zh-CN"/>
                    </w:rPr>
                    <w:t>符合</w:t>
                  </w:r>
                  <w:r>
                    <w:rPr>
                      <w:rFonts w:hint="eastAsia" w:ascii="Times New Roman" w:hAnsi="Times New Roman" w:cs="Times New Roman"/>
                      <w:b/>
                      <w:bCs/>
                      <w:sz w:val="21"/>
                      <w:szCs w:val="21"/>
                      <w:lang w:val="en-US" w:eastAsia="zh-CN"/>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center"/>
                </w:tcPr>
                <w:p>
                  <w:pPr>
                    <w:keepNext/>
                    <w:keepLines w:val="0"/>
                    <w:pageBreakBefore w:val="0"/>
                    <w:widowControl w:val="0"/>
                    <w:kinsoku/>
                    <w:wordWrap w:val="0"/>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1</w:t>
                  </w:r>
                </w:p>
              </w:tc>
              <w:tc>
                <w:tcPr>
                  <w:tcW w:w="2659" w:type="pct"/>
                  <w:vAlign w:val="center"/>
                </w:tcPr>
                <w:p>
                  <w:pPr>
                    <w:keepNext/>
                    <w:keepLines w:val="0"/>
                    <w:pageBreakBefore w:val="0"/>
                    <w:widowControl w:val="0"/>
                    <w:kinsoku/>
                    <w:wordWrap w:val="0"/>
                    <w:overflowPunct/>
                    <w:topLinePunct w:val="0"/>
                    <w:bidi w:val="0"/>
                    <w:adjustRightInd/>
                    <w:snapToGrid/>
                    <w:spacing w:line="240" w:lineRule="auto"/>
                    <w:ind w:firstLine="0" w:firstLineChars="0"/>
                    <w:jc w:val="center"/>
                    <w:textAlignment w:val="auto"/>
                    <w:rPr>
                      <w:rFonts w:hint="default" w:ascii="Times New Roman" w:hAnsi="Times New Roman" w:cs="Times New Roman"/>
                      <w:kern w:val="0"/>
                      <w:sz w:val="21"/>
                      <w:szCs w:val="21"/>
                      <w:vertAlign w:val="baseline"/>
                    </w:rPr>
                  </w:pPr>
                  <w:r>
                    <w:rPr>
                      <w:rFonts w:hint="default" w:ascii="Times New Roman" w:hAnsi="Times New Roman" w:cs="Times New Roman"/>
                      <w:kern w:val="0"/>
                      <w:sz w:val="21"/>
                      <w:szCs w:val="21"/>
                      <w:vertAlign w:val="baseline"/>
                    </w:rPr>
                    <w:t>重点勘查区：部署45个国家级和38个自治区级重点勘查区。在国家和自治区紧缺矿种的具有找矿潜力的区域，南疆四地州经济欠发达地区所在的西南天山、昆仑山以及阿尔金山地区等重点勘查区内，通过优先设置出让探矿权，引导商业性矿产资源勘查，促进社会资本投入。</w:t>
                  </w:r>
                </w:p>
              </w:tc>
              <w:tc>
                <w:tcPr>
                  <w:tcW w:w="1552" w:type="pct"/>
                  <w:vAlign w:val="center"/>
                </w:tcPr>
                <w:p>
                  <w:pPr>
                    <w:keepNext/>
                    <w:keepLines w:val="0"/>
                    <w:pageBreakBefore w:val="0"/>
                    <w:widowControl w:val="0"/>
                    <w:kinsoku/>
                    <w:wordWrap w:val="0"/>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kern w:val="0"/>
                      <w:sz w:val="21"/>
                      <w:szCs w:val="21"/>
                      <w:vertAlign w:val="baseline"/>
                      <w:lang w:eastAsia="zh-CN"/>
                    </w:rPr>
                  </w:pPr>
                  <w:r>
                    <w:rPr>
                      <w:rFonts w:hint="default" w:ascii="Times New Roman" w:hAnsi="Times New Roman" w:eastAsia="宋体" w:cs="Times New Roman"/>
                      <w:kern w:val="0"/>
                      <w:sz w:val="21"/>
                      <w:szCs w:val="21"/>
                      <w:vertAlign w:val="baseline"/>
                      <w:lang w:eastAsia="zh-CN"/>
                    </w:rPr>
                    <w:t>本项目砂石矿采矿权已下发采砂证，本项目的建成后，有利于</w:t>
                  </w:r>
                  <w:r>
                    <w:rPr>
                      <w:rFonts w:hint="default" w:ascii="Times New Roman" w:hAnsi="Times New Roman" w:cs="Times New Roman"/>
                      <w:sz w:val="21"/>
                      <w:szCs w:val="21"/>
                      <w:lang w:val="en-US" w:eastAsia="zh-CN"/>
                    </w:rPr>
                    <w:t>托克逊</w:t>
                  </w:r>
                  <w:r>
                    <w:rPr>
                      <w:rFonts w:hint="default" w:ascii="Times New Roman" w:hAnsi="Times New Roman" w:eastAsia="宋体" w:cs="Times New Roman"/>
                      <w:sz w:val="21"/>
                      <w:szCs w:val="21"/>
                      <w:lang w:eastAsia="zh-CN"/>
                    </w:rPr>
                    <w:t>县</w:t>
                  </w:r>
                  <w:r>
                    <w:rPr>
                      <w:rFonts w:hint="default" w:ascii="Times New Roman" w:hAnsi="Times New Roman" w:eastAsia="宋体" w:cs="Times New Roman"/>
                      <w:kern w:val="0"/>
                      <w:sz w:val="21"/>
                      <w:szCs w:val="21"/>
                      <w:vertAlign w:val="baseline"/>
                      <w:lang w:eastAsia="zh-CN"/>
                    </w:rPr>
                    <w:t>的社会发展。</w:t>
                  </w:r>
                </w:p>
              </w:tc>
              <w:tc>
                <w:tcPr>
                  <w:tcW w:w="506" w:type="pct"/>
                  <w:vAlign w:val="center"/>
                </w:tcPr>
                <w:p>
                  <w:pPr>
                    <w:keepNext/>
                    <w:keepLines w:val="0"/>
                    <w:pageBreakBefore w:val="0"/>
                    <w:widowControl w:val="0"/>
                    <w:kinsoku/>
                    <w:wordWrap w:val="0"/>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0"/>
                      <w:sz w:val="21"/>
                      <w:szCs w:val="21"/>
                      <w:vertAlign w:val="baseline"/>
                      <w:lang w:eastAsia="zh-CN"/>
                    </w:rPr>
                  </w:pPr>
                  <w:r>
                    <w:rPr>
                      <w:rFonts w:hint="default" w:ascii="Times New Roman" w:hAnsi="Times New Roman" w:cs="Times New Roman"/>
                      <w:kern w:val="0"/>
                      <w:sz w:val="21"/>
                      <w:szCs w:val="21"/>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center"/>
                </w:tcPr>
                <w:p>
                  <w:pPr>
                    <w:keepNext/>
                    <w:keepLines w:val="0"/>
                    <w:pageBreakBefore w:val="0"/>
                    <w:widowControl w:val="0"/>
                    <w:kinsoku/>
                    <w:wordWrap w:val="0"/>
                    <w:overflowPunct/>
                    <w:topLinePunct w:val="0"/>
                    <w:autoSpaceDE w:val="0"/>
                    <w:autoSpaceDN w:val="0"/>
                    <w:bidi w:val="0"/>
                    <w:adjustRightInd/>
                    <w:snapToGrid/>
                    <w:spacing w:line="240" w:lineRule="auto"/>
                    <w:ind w:left="0" w:leftChars="0" w:firstLine="0" w:firstLineChars="0"/>
                    <w:jc w:val="center"/>
                    <w:textAlignment w:val="auto"/>
                    <w:rPr>
                      <w:rFonts w:hint="eastAsia" w:eastAsia="宋体"/>
                      <w:kern w:val="0"/>
                      <w:sz w:val="21"/>
                      <w:szCs w:val="21"/>
                      <w:vertAlign w:val="baseline"/>
                      <w:lang w:val="en-US" w:eastAsia="zh-CN"/>
                    </w:rPr>
                  </w:pPr>
                  <w:r>
                    <w:rPr>
                      <w:rFonts w:hint="eastAsia"/>
                      <w:kern w:val="0"/>
                      <w:sz w:val="21"/>
                      <w:szCs w:val="21"/>
                      <w:vertAlign w:val="baseline"/>
                      <w:lang w:val="en-US" w:eastAsia="zh-CN"/>
                    </w:rPr>
                    <w:t>2</w:t>
                  </w:r>
                </w:p>
              </w:tc>
              <w:tc>
                <w:tcPr>
                  <w:tcW w:w="2659" w:type="pct"/>
                  <w:vAlign w:val="center"/>
                </w:tcPr>
                <w:p>
                  <w:pPr>
                    <w:keepNext/>
                    <w:keepLines w:val="0"/>
                    <w:pageBreakBefore w:val="0"/>
                    <w:widowControl w:val="0"/>
                    <w:kinsoku/>
                    <w:wordWrap w:val="0"/>
                    <w:overflowPunct/>
                    <w:topLinePunct w:val="0"/>
                    <w:bidi w:val="0"/>
                    <w:adjustRightInd/>
                    <w:snapToGrid/>
                    <w:spacing w:line="240" w:lineRule="auto"/>
                    <w:ind w:firstLine="0" w:firstLineChars="0"/>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限制勘查区：钨、稀土等国家规定实行保护性开采的特定矿种分布区域；严重供大于求以及下游产业产能过剩、耗能大、污染重的矿产分布区域；具有地方特色且资源储量有限，需要保护的区域；虽有可靠的资源基础和市场需求，但现阶段开发技术条件不成熟的区域；军事管理区，国家和自治区级自然保护区、风景名胜区、历史遗迹保护区，重要饮用水水源保护区、重要湿地保护区、国家级森林公园、地质公园，铁路、高速公路、国道、省道、油气管线等线型工程两侧一定距离内，重要工业区、大型水利工程设施、城镇市政工程设施等一定范围内，机场、国防工程设施圈定的地区。把生态文明建设目标任务落实到国土资源管理工作中，做好探矿权稳妥有序退出保护区基础工作，并确保新设探矿权不再进入国家和自治区级自然保护区。</w:t>
                  </w:r>
                </w:p>
              </w:tc>
              <w:tc>
                <w:tcPr>
                  <w:tcW w:w="1552" w:type="pct"/>
                  <w:vAlign w:val="center"/>
                </w:tcPr>
                <w:p>
                  <w:pPr>
                    <w:keepNext/>
                    <w:keepLines w:val="0"/>
                    <w:pageBreakBefore w:val="0"/>
                    <w:widowControl w:val="0"/>
                    <w:kinsoku/>
                    <w:wordWrap w:val="0"/>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本项目不涉及军事管理区，国家和自治区级自然保护区、风景名胜区、历史遗迹保护区，重要饮用水水源保护区、重要湿地保护区、国家级森林公园、地质公园，铁路、</w:t>
                  </w:r>
                  <w:r>
                    <w:rPr>
                      <w:rFonts w:hint="default" w:ascii="Times New Roman" w:hAnsi="Times New Roman" w:eastAsia="宋体" w:cs="Times New Roman"/>
                      <w:color w:val="auto"/>
                      <w:sz w:val="21"/>
                      <w:szCs w:val="21"/>
                      <w:lang w:val="en-US" w:eastAsia="zh-CN"/>
                    </w:rPr>
                    <w:t>高速公路</w:t>
                  </w:r>
                  <w:r>
                    <w:rPr>
                      <w:rFonts w:hint="default" w:ascii="Times New Roman" w:hAnsi="Times New Roman" w:eastAsia="宋体" w:cs="Times New Roman"/>
                      <w:sz w:val="21"/>
                      <w:szCs w:val="21"/>
                      <w:lang w:val="en-US" w:eastAsia="zh-CN"/>
                    </w:rPr>
                    <w:t>、国道、省道、油气管线等线型工程两侧一定距离内，重要工业区、大型水利工程设施、城镇市政工程设施等一定范围内，机场、国防工程设施圈定的地区及有关法律法规规定的限制勘查区。</w:t>
                  </w:r>
                </w:p>
              </w:tc>
              <w:tc>
                <w:tcPr>
                  <w:tcW w:w="506" w:type="pct"/>
                  <w:vAlign w:val="center"/>
                </w:tcPr>
                <w:p>
                  <w:pPr>
                    <w:keepNext/>
                    <w:keepLines w:val="0"/>
                    <w:pageBreakBefore w:val="0"/>
                    <w:widowControl w:val="0"/>
                    <w:kinsoku/>
                    <w:wordWrap w:val="0"/>
                    <w:overflowPunct/>
                    <w:topLinePunct w:val="0"/>
                    <w:autoSpaceDE w:val="0"/>
                    <w:autoSpaceDN w:val="0"/>
                    <w:bidi w:val="0"/>
                    <w:adjustRightInd/>
                    <w:snapToGrid/>
                    <w:spacing w:line="240" w:lineRule="auto"/>
                    <w:ind w:left="0" w:leftChars="0" w:firstLine="0" w:firstLineChars="0"/>
                    <w:jc w:val="center"/>
                    <w:textAlignment w:val="auto"/>
                    <w:rPr>
                      <w:rFonts w:hint="eastAsia" w:eastAsia="宋体"/>
                      <w:kern w:val="0"/>
                      <w:sz w:val="21"/>
                      <w:szCs w:val="21"/>
                      <w:vertAlign w:val="baseline"/>
                      <w:lang w:val="en-US" w:eastAsia="zh-CN"/>
                    </w:rPr>
                  </w:pPr>
                  <w:r>
                    <w:rPr>
                      <w:rFonts w:hint="eastAsia"/>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center"/>
                </w:tcPr>
                <w:p>
                  <w:pPr>
                    <w:keepNext/>
                    <w:keepLines w:val="0"/>
                    <w:pageBreakBefore w:val="0"/>
                    <w:widowControl w:val="0"/>
                    <w:kinsoku/>
                    <w:wordWrap w:val="0"/>
                    <w:overflowPunct/>
                    <w:topLinePunct w:val="0"/>
                    <w:autoSpaceDE w:val="0"/>
                    <w:autoSpaceDN w:val="0"/>
                    <w:bidi w:val="0"/>
                    <w:adjustRightInd/>
                    <w:snapToGrid/>
                    <w:spacing w:line="240" w:lineRule="auto"/>
                    <w:ind w:left="0" w:leftChars="0" w:firstLine="0" w:firstLineChars="0"/>
                    <w:jc w:val="center"/>
                    <w:textAlignment w:val="auto"/>
                    <w:rPr>
                      <w:rFonts w:hint="eastAsia" w:eastAsia="宋体"/>
                      <w:kern w:val="0"/>
                      <w:sz w:val="21"/>
                      <w:szCs w:val="21"/>
                      <w:vertAlign w:val="baseline"/>
                      <w:lang w:val="en-US" w:eastAsia="zh-CN"/>
                    </w:rPr>
                  </w:pPr>
                  <w:r>
                    <w:rPr>
                      <w:rFonts w:hint="eastAsia"/>
                      <w:kern w:val="0"/>
                      <w:sz w:val="21"/>
                      <w:szCs w:val="21"/>
                      <w:vertAlign w:val="baseline"/>
                      <w:lang w:val="en-US" w:eastAsia="zh-CN"/>
                    </w:rPr>
                    <w:t>3</w:t>
                  </w:r>
                </w:p>
              </w:tc>
              <w:tc>
                <w:tcPr>
                  <w:tcW w:w="2659" w:type="pct"/>
                  <w:vAlign w:val="center"/>
                </w:tcPr>
                <w:p>
                  <w:pPr>
                    <w:keepNext/>
                    <w:keepLines w:val="0"/>
                    <w:pageBreakBefore w:val="0"/>
                    <w:widowControl w:val="0"/>
                    <w:kinsoku/>
                    <w:wordWrap w:val="0"/>
                    <w:overflowPunct/>
                    <w:topLinePunct w:val="0"/>
                    <w:bidi w:val="0"/>
                    <w:adjustRightInd/>
                    <w:snapToGrid/>
                    <w:spacing w:line="240" w:lineRule="auto"/>
                    <w:ind w:firstLine="0" w:firstLineChars="0"/>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重点矿区：加大《全国矿产资源规划（2016－2020年）》划定的35个国家规划矿区开发力度。加强阿尔泰山，塔里木盆地、准噶尔盆地、吐哈盆地及周边，西准噶尔，东准噶尔，西天山，东天山，西南天山，西昆仑，阿尔金山等9大区域矿产资源开发。重点矿区内新建矿山必须符合国家、自治区产业政策和规划，达到国家有关矿山企业准入条件；矿山采矿规模不低于本规划确定的矿山最低开采规模，矿山占有矿石资源储量与矿山开采规模及矿山服务年限相匹配，具备与矿山开采规模相配套的人才、资金、技术和管理资质条件。统筹安排重点矿区内的矿产资源勘查开发活动，争取国家相关优惠政策，引导和支持各类生产要素聚集，加强矿产资源整合开发力度，优化布局和矿山企业结构，促进规模开采和集约利用</w:t>
                  </w:r>
                </w:p>
              </w:tc>
              <w:tc>
                <w:tcPr>
                  <w:tcW w:w="1552" w:type="pct"/>
                  <w:vAlign w:val="center"/>
                </w:tcPr>
                <w:p>
                  <w:pPr>
                    <w:keepNext/>
                    <w:keepLines w:val="0"/>
                    <w:pageBreakBefore w:val="0"/>
                    <w:widowControl w:val="0"/>
                    <w:kinsoku/>
                    <w:wordWrap w:val="0"/>
                    <w:overflowPunct/>
                    <w:topLinePunct w:val="0"/>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本项目位于新疆自治区</w:t>
                  </w:r>
                  <w:r>
                    <w:rPr>
                      <w:rFonts w:hint="eastAsia" w:cs="Times New Roman"/>
                      <w:sz w:val="21"/>
                      <w:szCs w:val="21"/>
                      <w:lang w:val="en-US" w:eastAsia="zh-CN"/>
                    </w:rPr>
                    <w:t>吐鲁番市托克逊县</w:t>
                  </w:r>
                  <w:r>
                    <w:rPr>
                      <w:rFonts w:hint="eastAsia" w:ascii="Times New Roman" w:hAnsi="Times New Roman" w:eastAsia="宋体" w:cs="Times New Roman"/>
                      <w:sz w:val="21"/>
                      <w:szCs w:val="21"/>
                      <w:lang w:eastAsia="zh-CN"/>
                    </w:rPr>
                    <w:t>，项目的建设有利于矿山资源的开发，矿山占有矿石资源储量与矿山开采规模及矿山服务年限相匹配，具备与矿山开采规模相配套的人才、资金、技术和管理资质条件，符合当地的矿产资源总体规划</w:t>
                  </w:r>
                  <w:r>
                    <w:rPr>
                      <w:rFonts w:hint="eastAsia" w:cs="Times New Roman"/>
                      <w:sz w:val="21"/>
                      <w:szCs w:val="21"/>
                      <w:lang w:eastAsia="zh-CN"/>
                    </w:rPr>
                    <w:t>。</w:t>
                  </w:r>
                </w:p>
              </w:tc>
              <w:tc>
                <w:tcPr>
                  <w:tcW w:w="506" w:type="pct"/>
                  <w:vAlign w:val="center"/>
                </w:tcPr>
                <w:p>
                  <w:pPr>
                    <w:keepNext/>
                    <w:keepLines w:val="0"/>
                    <w:pageBreakBefore w:val="0"/>
                    <w:widowControl w:val="0"/>
                    <w:kinsoku/>
                    <w:wordWrap w:val="0"/>
                    <w:overflowPunct/>
                    <w:topLinePunct w:val="0"/>
                    <w:autoSpaceDE w:val="0"/>
                    <w:autoSpaceDN w:val="0"/>
                    <w:bidi w:val="0"/>
                    <w:adjustRightInd/>
                    <w:snapToGrid/>
                    <w:spacing w:line="240" w:lineRule="auto"/>
                    <w:ind w:left="0" w:leftChars="0" w:firstLine="0" w:firstLineChars="0"/>
                    <w:jc w:val="center"/>
                    <w:textAlignment w:val="auto"/>
                    <w:rPr>
                      <w:rFonts w:hint="eastAsia" w:eastAsia="宋体"/>
                      <w:kern w:val="0"/>
                      <w:sz w:val="21"/>
                      <w:szCs w:val="21"/>
                      <w:vertAlign w:val="baseline"/>
                      <w:lang w:eastAsia="zh-CN"/>
                    </w:rPr>
                  </w:pPr>
                  <w:r>
                    <w:rPr>
                      <w:rFonts w:hint="eastAsia"/>
                      <w:kern w:val="0"/>
                      <w:sz w:val="21"/>
                      <w:szCs w:val="21"/>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center"/>
                </w:tcPr>
                <w:p>
                  <w:pPr>
                    <w:keepNext/>
                    <w:keepLines w:val="0"/>
                    <w:pageBreakBefore w:val="0"/>
                    <w:widowControl w:val="0"/>
                    <w:kinsoku/>
                    <w:wordWrap w:val="0"/>
                    <w:overflowPunct/>
                    <w:topLinePunct w:val="0"/>
                    <w:bidi w:val="0"/>
                    <w:adjustRightInd/>
                    <w:snapToGrid/>
                    <w:spacing w:line="240" w:lineRule="auto"/>
                    <w:ind w:left="0" w:leftChars="0" w:firstLine="0" w:firstLineChars="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w:t>
                  </w:r>
                </w:p>
              </w:tc>
              <w:tc>
                <w:tcPr>
                  <w:tcW w:w="2659" w:type="pct"/>
                  <w:vAlign w:val="center"/>
                </w:tcPr>
                <w:p>
                  <w:pPr>
                    <w:keepNext/>
                    <w:keepLines w:val="0"/>
                    <w:pageBreakBefore w:val="0"/>
                    <w:widowControl w:val="0"/>
                    <w:kinsoku/>
                    <w:wordWrap w:val="0"/>
                    <w:overflowPunct/>
                    <w:topLinePunct w:val="0"/>
                    <w:bidi w:val="0"/>
                    <w:adjustRightInd/>
                    <w:snapToGrid/>
                    <w:spacing w:line="240" w:lineRule="auto"/>
                    <w:ind w:firstLine="0" w:firstLineChars="0"/>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限制开采区：严重供大于求以及下游产业产能过剩、耗能大、污染重的矿产分布区域；具有地方特色且需保护性限制开采矿种的分布区域；虽有可靠的资源基础，但当前市场容量有限，应用研究不够，资源利用方式不合理的区域；在较高技术经济条件与一定外部条件下，才能达到资源合理利用的区域；需要进行矿产资源储备和保护的矿产地；钨矿分布区域；国家和地方规定的其他限制开采矿产资源的区域。区内要进一步严格矿业权管理，按照现行法律法规加强监督管理</w:t>
                  </w:r>
                </w:p>
              </w:tc>
              <w:tc>
                <w:tcPr>
                  <w:tcW w:w="1552" w:type="pct"/>
                  <w:vAlign w:val="center"/>
                </w:tcPr>
                <w:p>
                  <w:pPr>
                    <w:keepNext/>
                    <w:keepLines w:val="0"/>
                    <w:pageBreakBefore w:val="0"/>
                    <w:widowControl w:val="0"/>
                    <w:kinsoku/>
                    <w:wordWrap w:val="0"/>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本项目不在限制开采区，</w:t>
                  </w:r>
                  <w:r>
                    <w:rPr>
                      <w:rFonts w:hint="eastAsia" w:ascii="Times New Roman" w:hAnsi="Times New Roman" w:eastAsia="宋体" w:cs="Times New Roman"/>
                      <w:sz w:val="21"/>
                      <w:szCs w:val="21"/>
                      <w:lang w:val="en-US" w:eastAsia="zh-CN"/>
                    </w:rPr>
                    <w:t>符合规定。</w:t>
                  </w:r>
                </w:p>
              </w:tc>
              <w:tc>
                <w:tcPr>
                  <w:tcW w:w="506" w:type="pct"/>
                  <w:vAlign w:val="center"/>
                </w:tcPr>
                <w:p>
                  <w:pPr>
                    <w:keepNext/>
                    <w:keepLines w:val="0"/>
                    <w:pageBreakBefore w:val="0"/>
                    <w:widowControl w:val="0"/>
                    <w:kinsoku/>
                    <w:wordWrap w:val="0"/>
                    <w:overflowPunct/>
                    <w:topLinePunct w:val="0"/>
                    <w:autoSpaceDE w:val="0"/>
                    <w:autoSpaceDN w:val="0"/>
                    <w:bidi w:val="0"/>
                    <w:adjustRightInd/>
                    <w:snapToGrid/>
                    <w:spacing w:line="240" w:lineRule="auto"/>
                    <w:ind w:left="0" w:leftChars="0" w:firstLine="0" w:firstLineChars="0"/>
                    <w:jc w:val="center"/>
                    <w:textAlignment w:val="auto"/>
                    <w:rPr>
                      <w:rFonts w:hint="eastAsia" w:eastAsia="宋体"/>
                      <w:kern w:val="0"/>
                      <w:sz w:val="21"/>
                      <w:szCs w:val="21"/>
                      <w:vertAlign w:val="baseline"/>
                      <w:lang w:eastAsia="zh-CN"/>
                    </w:rPr>
                  </w:pPr>
                  <w:r>
                    <w:rPr>
                      <w:rFonts w:hint="eastAsia"/>
                      <w:kern w:val="0"/>
                      <w:sz w:val="21"/>
                      <w:szCs w:val="21"/>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center"/>
                </w:tcPr>
                <w:p>
                  <w:pPr>
                    <w:keepNext/>
                    <w:keepLines w:val="0"/>
                    <w:pageBreakBefore w:val="0"/>
                    <w:widowControl w:val="0"/>
                    <w:kinsoku/>
                    <w:wordWrap w:val="0"/>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c>
                <w:tcPr>
                  <w:tcW w:w="2659" w:type="pct"/>
                  <w:vAlign w:val="center"/>
                </w:tcPr>
                <w:p>
                  <w:pPr>
                    <w:keepNext/>
                    <w:keepLines w:val="0"/>
                    <w:pageBreakBefore w:val="0"/>
                    <w:widowControl w:val="0"/>
                    <w:kinsoku/>
                    <w:wordWrap w:val="0"/>
                    <w:overflowPunct/>
                    <w:topLinePunct w:val="0"/>
                    <w:bidi w:val="0"/>
                    <w:adjustRightInd/>
                    <w:snapToGrid/>
                    <w:spacing w:line="240" w:lineRule="auto"/>
                    <w:ind w:firstLine="0" w:firstLineChars="0"/>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禁止开采区：国家和自治区级自然保护区、风景名胜区、历史遗迹保护区，重要饮用水水源保护区、重要湿地保护区、国家级森林公园、地质公园；铁路、高速公路、国道、省道、油气管线等线型工程两侧一定距离内；军事管理区、重要工业区、大型水利工程设施、城镇市政工程设施等一定范围内，机场和国防工程设施圈定的地区。</w:t>
                  </w:r>
                </w:p>
              </w:tc>
              <w:tc>
                <w:tcPr>
                  <w:tcW w:w="1552" w:type="pct"/>
                  <w:vAlign w:val="center"/>
                </w:tcPr>
                <w:p>
                  <w:pPr>
                    <w:keepNext/>
                    <w:keepLines w:val="0"/>
                    <w:pageBreakBefore w:val="0"/>
                    <w:widowControl w:val="0"/>
                    <w:kinsoku/>
                    <w:wordWrap w:val="0"/>
                    <w:overflowPunct/>
                    <w:topLinePunct w:val="0"/>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本项目不在</w:t>
                  </w:r>
                  <w:r>
                    <w:rPr>
                      <w:rFonts w:hint="eastAsia" w:ascii="Times New Roman" w:hAnsi="Times New Roman" w:eastAsia="宋体" w:cs="Times New Roman"/>
                      <w:sz w:val="21"/>
                      <w:szCs w:val="21"/>
                    </w:rPr>
                    <w:t>禁止开采区</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符合规定。</w:t>
                  </w:r>
                </w:p>
              </w:tc>
              <w:tc>
                <w:tcPr>
                  <w:tcW w:w="506" w:type="pct"/>
                  <w:vAlign w:val="center"/>
                </w:tcPr>
                <w:p>
                  <w:pPr>
                    <w:keepNext/>
                    <w:keepLines w:val="0"/>
                    <w:pageBreakBefore w:val="0"/>
                    <w:widowControl w:val="0"/>
                    <w:kinsoku/>
                    <w:wordWrap w:val="0"/>
                    <w:overflowPunct/>
                    <w:topLinePunct w:val="0"/>
                    <w:autoSpaceDE w:val="0"/>
                    <w:autoSpaceDN w:val="0"/>
                    <w:bidi w:val="0"/>
                    <w:adjustRightInd/>
                    <w:snapToGrid/>
                    <w:spacing w:line="240" w:lineRule="auto"/>
                    <w:ind w:left="0" w:leftChars="0" w:firstLine="0" w:firstLineChars="0"/>
                    <w:jc w:val="center"/>
                    <w:textAlignment w:val="auto"/>
                    <w:rPr>
                      <w:rFonts w:hint="eastAsia"/>
                      <w:kern w:val="0"/>
                      <w:sz w:val="21"/>
                      <w:szCs w:val="21"/>
                      <w:vertAlign w:val="baseline"/>
                      <w:lang w:eastAsia="zh-CN"/>
                    </w:rPr>
                  </w:pPr>
                  <w:r>
                    <w:rPr>
                      <w:rFonts w:hint="eastAsia"/>
                      <w:kern w:val="0"/>
                      <w:sz w:val="21"/>
                      <w:szCs w:val="21"/>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center"/>
                </w:tcPr>
                <w:p>
                  <w:pPr>
                    <w:keepNext/>
                    <w:keepLines w:val="0"/>
                    <w:pageBreakBefore w:val="0"/>
                    <w:widowControl w:val="0"/>
                    <w:kinsoku/>
                    <w:wordWrap w:val="0"/>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w:t>
                  </w:r>
                </w:p>
              </w:tc>
              <w:tc>
                <w:tcPr>
                  <w:tcW w:w="2659" w:type="pct"/>
                  <w:vAlign w:val="center"/>
                </w:tcPr>
                <w:p>
                  <w:pPr>
                    <w:keepNext/>
                    <w:keepLines w:val="0"/>
                    <w:pageBreakBefore w:val="0"/>
                    <w:widowControl w:val="0"/>
                    <w:kinsoku/>
                    <w:wordWrap w:val="0"/>
                    <w:overflowPunct/>
                    <w:topLinePunct w:val="0"/>
                    <w:bidi w:val="0"/>
                    <w:adjustRightInd/>
                    <w:snapToGrid/>
                    <w:spacing w:line="240" w:lineRule="auto"/>
                    <w:ind w:firstLine="0" w:firstLineChars="0"/>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全面落实主体功能区规划和生态保护要求，严格执行矿产资源规划分区管理措施。区内未经主管部门同意，不得新设与资源环境保护功能不相符的矿业权。全面清理相关区域内已有的矿产资源勘查开发项目，研究制定退出补偿方案，在维护矿业权人合法权益的前提下逐步有序退出，及时复垦被破坏土地；确需保留的项目，实行清单式管理，明确资源环境保护要求和措施，强化资源环境保护</w:t>
                  </w:r>
                </w:p>
              </w:tc>
              <w:tc>
                <w:tcPr>
                  <w:tcW w:w="1552" w:type="pct"/>
                  <w:vAlign w:val="center"/>
                </w:tcPr>
                <w:p>
                  <w:pPr>
                    <w:keepNext/>
                    <w:keepLines w:val="0"/>
                    <w:pageBreakBefore w:val="0"/>
                    <w:widowControl w:val="0"/>
                    <w:kinsoku/>
                    <w:wordWrap w:val="0"/>
                    <w:overflowPunct/>
                    <w:topLinePunct w:val="0"/>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本项目建设单位</w:t>
                  </w:r>
                  <w:r>
                    <w:rPr>
                      <w:rFonts w:hint="eastAsia" w:cs="Times New Roman"/>
                      <w:sz w:val="21"/>
                      <w:szCs w:val="21"/>
                      <w:lang w:eastAsia="zh-CN"/>
                    </w:rPr>
                    <w:t>已</w:t>
                  </w:r>
                  <w:r>
                    <w:rPr>
                      <w:rFonts w:hint="eastAsia" w:ascii="Times New Roman" w:hAnsi="Times New Roman" w:eastAsia="宋体" w:cs="Times New Roman"/>
                      <w:sz w:val="21"/>
                      <w:szCs w:val="21"/>
                      <w:lang w:eastAsia="zh-CN"/>
                    </w:rPr>
                    <w:t>取得砂石矿采矿权，并已制定了矿产资源开发利用方案，建设单位已委托第三方公司编制矿产资源开发利用与生态保护修复方案，做到边开采边复垦。</w:t>
                  </w:r>
                </w:p>
              </w:tc>
              <w:tc>
                <w:tcPr>
                  <w:tcW w:w="506" w:type="pct"/>
                  <w:vAlign w:val="center"/>
                </w:tcPr>
                <w:p>
                  <w:pPr>
                    <w:keepNext/>
                    <w:keepLines w:val="0"/>
                    <w:pageBreakBefore w:val="0"/>
                    <w:widowControl w:val="0"/>
                    <w:kinsoku/>
                    <w:wordWrap w:val="0"/>
                    <w:overflowPunct/>
                    <w:topLinePunct w:val="0"/>
                    <w:autoSpaceDE w:val="0"/>
                    <w:autoSpaceDN w:val="0"/>
                    <w:bidi w:val="0"/>
                    <w:adjustRightInd/>
                    <w:snapToGrid/>
                    <w:spacing w:line="240" w:lineRule="auto"/>
                    <w:ind w:left="0" w:leftChars="0" w:firstLine="0" w:firstLineChars="0"/>
                    <w:jc w:val="center"/>
                    <w:textAlignment w:val="auto"/>
                    <w:rPr>
                      <w:rFonts w:hint="default"/>
                      <w:kern w:val="0"/>
                      <w:sz w:val="21"/>
                      <w:szCs w:val="21"/>
                      <w:vertAlign w:val="baseline"/>
                      <w:lang w:val="en-US" w:eastAsia="zh-CN"/>
                    </w:rPr>
                  </w:pPr>
                  <w:r>
                    <w:rPr>
                      <w:rFonts w:hint="eastAsia"/>
                      <w:kern w:val="0"/>
                      <w:sz w:val="21"/>
                      <w:szCs w:val="21"/>
                      <w:vertAlign w:val="baseline"/>
                      <w:lang w:eastAsia="zh-CN"/>
                    </w:rPr>
                    <w:t>符合</w:t>
                  </w:r>
                </w:p>
              </w:tc>
            </w:tr>
          </w:tbl>
          <w:p>
            <w:pPr>
              <w:keepNext/>
              <w:keepLines w:val="0"/>
              <w:pageBreakBefore w:val="0"/>
              <w:widowControl w:val="0"/>
              <w:numPr>
                <w:ilvl w:val="0"/>
                <w:numId w:val="0"/>
              </w:numPr>
              <w:kinsoku/>
              <w:wordWrap w:val="0"/>
              <w:overflowPunct/>
              <w:topLinePunct w:val="0"/>
              <w:bidi w:val="0"/>
              <w:adjustRightInd/>
              <w:snapToGrid/>
              <w:spacing w:line="360" w:lineRule="auto"/>
              <w:ind w:left="0" w:leftChars="0" w:firstLine="480" w:firstLineChars="200"/>
              <w:textAlignment w:val="auto"/>
              <w:rPr>
                <w:rFonts w:hint="eastAsia" w:ascii="Times New Roman" w:hAnsi="Times New Roman" w:eastAsia="宋体" w:cstheme="minorBidi"/>
                <w:b/>
                <w:bCs/>
                <w:kern w:val="2"/>
                <w:sz w:val="24"/>
                <w:szCs w:val="24"/>
                <w:lang w:val="en-US" w:eastAsia="zh-CN" w:bidi="ar-SA"/>
              </w:rPr>
            </w:pPr>
            <w:r>
              <w:rPr>
                <w:rFonts w:hint="eastAsia"/>
                <w:kern w:val="0"/>
                <w:sz w:val="24"/>
                <w:lang w:val="en-US" w:eastAsia="zh-CN"/>
              </w:rPr>
              <w:t>综上所述</w:t>
            </w:r>
            <w:r>
              <w:rPr>
                <w:rFonts w:hint="eastAsia"/>
                <w:kern w:val="0"/>
                <w:sz w:val="24"/>
              </w:rPr>
              <w:t>本项目</w:t>
            </w:r>
            <w:r>
              <w:rPr>
                <w:rFonts w:hint="eastAsia"/>
                <w:kern w:val="0"/>
                <w:sz w:val="24"/>
                <w:lang w:val="en-US" w:eastAsia="zh-CN"/>
              </w:rPr>
              <w:t>符合</w:t>
            </w:r>
            <w:r>
              <w:rPr>
                <w:rFonts w:hint="eastAsia"/>
                <w:kern w:val="0"/>
                <w:sz w:val="24"/>
              </w:rPr>
              <w:t>《新疆维吾尔自治区矿产资源总体规划（2021－2025年）》禁入条件，符合相关规划</w:t>
            </w:r>
          </w:p>
          <w:p>
            <w:pPr>
              <w:keepNext/>
              <w:keepLines w:val="0"/>
              <w:pageBreakBefore w:val="0"/>
              <w:widowControl w:val="0"/>
              <w:numPr>
                <w:ilvl w:val="0"/>
                <w:numId w:val="0"/>
              </w:numPr>
              <w:kinsoku/>
              <w:wordWrap w:val="0"/>
              <w:overflowPunct/>
              <w:topLinePunct w:val="0"/>
              <w:bidi w:val="0"/>
              <w:adjustRightInd/>
              <w:snapToGrid/>
              <w:spacing w:line="360" w:lineRule="auto"/>
              <w:ind w:left="0" w:leftChars="0" w:firstLine="0" w:firstLineChars="0"/>
              <w:textAlignment w:val="auto"/>
              <w:rPr>
                <w:rFonts w:hint="default" w:ascii="Times New Roman" w:hAnsi="Times New Roman" w:cs="Times New Roman"/>
                <w:b/>
                <w:bCs/>
                <w:lang w:val="en-US" w:eastAsia="zh-CN"/>
              </w:rPr>
            </w:pPr>
            <w:r>
              <w:rPr>
                <w:rFonts w:hint="default" w:ascii="Times New Roman" w:hAnsi="Times New Roman" w:eastAsia="宋体" w:cs="Times New Roman"/>
                <w:b/>
                <w:bCs/>
                <w:kern w:val="2"/>
                <w:sz w:val="24"/>
                <w:szCs w:val="24"/>
                <w:lang w:val="en-US" w:eastAsia="zh-CN" w:bidi="ar-SA"/>
              </w:rPr>
              <w:t>2</w:t>
            </w:r>
            <w:r>
              <w:rPr>
                <w:rFonts w:hint="eastAsia" w:ascii="Times New Roman" w:hAnsi="Times New Roman" w:cs="Times New Roman"/>
                <w:b/>
                <w:bCs/>
                <w:kern w:val="2"/>
                <w:sz w:val="24"/>
                <w:szCs w:val="24"/>
                <w:lang w:val="en-US" w:eastAsia="zh-CN" w:bidi="ar-SA"/>
              </w:rPr>
              <w:t>.</w:t>
            </w:r>
            <w:r>
              <w:rPr>
                <w:rFonts w:hint="default" w:ascii="Times New Roman" w:hAnsi="Times New Roman" w:cs="Times New Roman"/>
                <w:b/>
                <w:bCs/>
                <w:lang w:val="en-US" w:eastAsia="zh-CN"/>
              </w:rPr>
              <w:t>项目与《关于&lt;新疆维吾尔自治区矿产资源总体规划（2021-2025）环境影响报告书&gt;的审查意见》的符合性分析</w:t>
            </w:r>
          </w:p>
          <w:p>
            <w:pPr>
              <w:keepNext/>
              <w:keepLines w:val="0"/>
              <w:pageBreakBefore w:val="0"/>
              <w:widowControl w:val="0"/>
              <w:numPr>
                <w:ilvl w:val="0"/>
                <w:numId w:val="0"/>
              </w:numPr>
              <w:kinsoku/>
              <w:wordWrap w:val="0"/>
              <w:overflowPunct/>
              <w:topLinePunct w:val="0"/>
              <w:bidi w:val="0"/>
              <w:adjustRightInd/>
              <w:snapToGrid/>
              <w:spacing w:line="240" w:lineRule="auto"/>
              <w:jc w:val="center"/>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 xml:space="preserve">表1-2 </w:t>
            </w:r>
            <w:r>
              <w:rPr>
                <w:rFonts w:hint="eastAsia"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lang w:val="en-US" w:eastAsia="zh-CN"/>
              </w:rPr>
              <w:t>本项目与《关于&lt;新疆维吾尔自治区矿产资源总体规划（2021-2025）环境影响报告书&gt;的审查意见》符合性</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
              <w:gridCol w:w="4022"/>
              <w:gridCol w:w="1600"/>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76" w:type="pct"/>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center"/>
                    <w:textAlignment w:val="auto"/>
                    <w:rPr>
                      <w:b/>
                      <w:bCs/>
                      <w:sz w:val="21"/>
                      <w:szCs w:val="21"/>
                    </w:rPr>
                  </w:pPr>
                  <w:r>
                    <w:rPr>
                      <w:b/>
                      <w:bCs/>
                      <w:sz w:val="21"/>
                      <w:szCs w:val="21"/>
                    </w:rPr>
                    <w:t>序号</w:t>
                  </w:r>
                </w:p>
              </w:tc>
              <w:tc>
                <w:tcPr>
                  <w:tcW w:w="2989" w:type="pct"/>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center"/>
                    <w:textAlignment w:val="auto"/>
                    <w:rPr>
                      <w:b/>
                      <w:bCs/>
                      <w:sz w:val="21"/>
                      <w:szCs w:val="21"/>
                    </w:rPr>
                  </w:pPr>
                  <w:r>
                    <w:rPr>
                      <w:rFonts w:hint="eastAsia"/>
                      <w:b/>
                      <w:bCs/>
                      <w:sz w:val="21"/>
                      <w:szCs w:val="21"/>
                    </w:rPr>
                    <w:t>《关于&lt;新疆维吾尔自治区矿产资源总体规划（2021-2025）环境影响报告书&gt;的审查意见》</w:t>
                  </w:r>
                </w:p>
              </w:tc>
              <w:tc>
                <w:tcPr>
                  <w:tcW w:w="1189" w:type="pct"/>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center"/>
                    <w:textAlignment w:val="auto"/>
                    <w:rPr>
                      <w:b/>
                      <w:bCs/>
                      <w:sz w:val="21"/>
                      <w:szCs w:val="21"/>
                    </w:rPr>
                  </w:pPr>
                  <w:r>
                    <w:rPr>
                      <w:b/>
                      <w:bCs/>
                      <w:sz w:val="21"/>
                      <w:szCs w:val="21"/>
                    </w:rPr>
                    <w:t>本项目实际建设情况</w:t>
                  </w:r>
                </w:p>
              </w:tc>
              <w:tc>
                <w:tcPr>
                  <w:tcW w:w="544" w:type="pct"/>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center"/>
                    <w:textAlignment w:val="auto"/>
                    <w:rPr>
                      <w:rFonts w:hint="eastAsia" w:eastAsia="宋体"/>
                      <w:b/>
                      <w:bCs/>
                      <w:sz w:val="21"/>
                      <w:szCs w:val="21"/>
                      <w:lang w:val="en-US" w:eastAsia="zh-CN"/>
                    </w:rPr>
                  </w:pPr>
                  <w:r>
                    <w:rPr>
                      <w:b/>
                      <w:bCs/>
                      <w:sz w:val="21"/>
                      <w:szCs w:val="21"/>
                    </w:rPr>
                    <w:t>符合</w:t>
                  </w:r>
                  <w:r>
                    <w:rPr>
                      <w:rFonts w:hint="eastAsia"/>
                      <w:b/>
                      <w:bCs/>
                      <w:sz w:val="21"/>
                      <w:szCs w:val="21"/>
                      <w:lang w:val="en-US" w:eastAsia="zh-CN"/>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76" w:type="pct"/>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center"/>
                    <w:textAlignment w:val="auto"/>
                    <w:rPr>
                      <w:rFonts w:hint="eastAsia" w:eastAsia="宋体"/>
                      <w:sz w:val="21"/>
                      <w:szCs w:val="21"/>
                      <w:lang w:val="en-US" w:eastAsia="zh-CN"/>
                    </w:rPr>
                  </w:pPr>
                  <w:r>
                    <w:rPr>
                      <w:rFonts w:hint="eastAsia"/>
                      <w:sz w:val="21"/>
                      <w:szCs w:val="21"/>
                      <w:lang w:val="en-US" w:eastAsia="zh-CN"/>
                    </w:rPr>
                    <w:t>1</w:t>
                  </w:r>
                </w:p>
              </w:tc>
              <w:tc>
                <w:tcPr>
                  <w:tcW w:w="2989" w:type="pct"/>
                  <w:vAlign w:val="center"/>
                </w:tcPr>
                <w:p>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eastAsia="宋体"/>
                      <w:sz w:val="21"/>
                      <w:szCs w:val="21"/>
                      <w:lang w:eastAsia="zh-CN"/>
                    </w:rPr>
                  </w:pPr>
                  <w:r>
                    <w:rPr>
                      <w:rFonts w:hint="eastAsia" w:eastAsia="宋体"/>
                      <w:sz w:val="21"/>
                      <w:szCs w:val="21"/>
                      <w:lang w:eastAsia="zh-CN"/>
                    </w:rPr>
                    <w:t>（一）坚持生态优先，绿色发展。坚持以习近平生态文明思想为指导，严格落实绿水青山就是金山银山理念，立足于生态系统稳定和生态环境质量改善，处理好生态环境保护与矿产资源开发的关系，合理控制矿产资源开发规模与强度，不得占用依法应当禁止开发的区域，优先避让生态环境敏感区域。进一步强化《规划》的生态环境保护总体要求，将细化后的绿色开发、生态修复等相关目标、指标作为《规划》实施的硬约束。《规划》应严格执行国家矿产资源合理开发利用“三率”（即开采回采率、选矿回收率、综合利用率）相关要求，确保全区矿山整体“三率”水平达标率达到85%以上。优化并落实绿色矿山建设标准体系，到规划期末，全区大中型固体生产矿山基本达到绿色矿山建设水平。应进一步合理确定布局、规模、结构和开发时序，采取严格的生态保护和修复措施，确保优化后的《规划》符合绿色发展要求，推动生态环境保护与矿产资源开发目标同步实现。</w:t>
                  </w:r>
                </w:p>
              </w:tc>
              <w:tc>
                <w:tcPr>
                  <w:tcW w:w="1189" w:type="pct"/>
                  <w:vAlign w:val="center"/>
                </w:tcPr>
                <w:p>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sz w:val="21"/>
                      <w:szCs w:val="21"/>
                      <w:lang w:eastAsia="zh-CN"/>
                    </w:rPr>
                  </w:pPr>
                  <w:r>
                    <w:rPr>
                      <w:rFonts w:hint="eastAsia"/>
                      <w:sz w:val="21"/>
                      <w:szCs w:val="21"/>
                      <w:lang w:eastAsia="zh-CN"/>
                    </w:rPr>
                    <w:t>本项目不占用禁止开发的区域，矿区范围内无保护区等环境敏感目标；环评要求建筑用砂按照绿色矿山水平进行建设；环评中提出了生态保护和污染防治措施，确保矿山达到绿色矿山建设水平。</w:t>
                  </w:r>
                </w:p>
              </w:tc>
              <w:tc>
                <w:tcPr>
                  <w:tcW w:w="544" w:type="pct"/>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both"/>
                    <w:textAlignment w:val="auto"/>
                    <w:rPr>
                      <w:rFonts w:hint="eastAsia" w:eastAsia="宋体"/>
                      <w:sz w:val="21"/>
                      <w:szCs w:val="21"/>
                      <w:lang w:eastAsia="zh-CN"/>
                    </w:rPr>
                  </w:pPr>
                  <w:r>
                    <w:rPr>
                      <w:rFonts w:hint="eastAsia"/>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0" w:hRule="atLeast"/>
              </w:trPr>
              <w:tc>
                <w:tcPr>
                  <w:tcW w:w="276" w:type="pct"/>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center"/>
                    <w:textAlignment w:val="auto"/>
                    <w:rPr>
                      <w:rFonts w:hint="default"/>
                      <w:sz w:val="21"/>
                      <w:szCs w:val="21"/>
                      <w:lang w:val="en-US" w:eastAsia="zh-CN"/>
                    </w:rPr>
                  </w:pPr>
                  <w:r>
                    <w:rPr>
                      <w:rFonts w:hint="eastAsia"/>
                      <w:sz w:val="21"/>
                      <w:szCs w:val="21"/>
                      <w:lang w:val="en-US" w:eastAsia="zh-CN"/>
                    </w:rPr>
                    <w:t>2</w:t>
                  </w:r>
                </w:p>
              </w:tc>
              <w:tc>
                <w:tcPr>
                  <w:tcW w:w="2989" w:type="pct"/>
                  <w:vAlign w:val="center"/>
                </w:tcPr>
                <w:p>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eastAsia="宋体"/>
                      <w:sz w:val="21"/>
                      <w:szCs w:val="21"/>
                      <w:lang w:eastAsia="zh-CN"/>
                    </w:rPr>
                  </w:pPr>
                  <w:r>
                    <w:rPr>
                      <w:rFonts w:hint="eastAsia" w:eastAsia="宋体"/>
                      <w:sz w:val="21"/>
                      <w:szCs w:val="21"/>
                      <w:lang w:eastAsia="zh-CN"/>
                    </w:rPr>
                    <w:t>（二）严格保护生态空间，优化《规划》布局。将生态保护红线作为保障和维护区域生态安全的底线，应进一步优化矿业权设置和空间布局，依法依规对生态空间实施严格保护。与生态保护红线存在空间重叠的6个能源资源基地、24个国家规划矿区、22个重点勘查区、32个重点开采区等，后续设置矿业权时，应进一步优化布局，确保满足生态保护红线管控要求。与大气环境优先保护区（自然保护区、森林公园、世界遗产地等）存在空间重叠的90个勘查规划区块、25个开采规划区块，以及与水环境优先保护区存在空间重叠的462个勘查规划区块、153个开采规划区块和与农用地优先保护区存在空间重叠的28个勘查规划区块、8个开采规划区块等，后续设置矿业权时，应进一步优化布局、强化管控措施，确保满足生态环境分区管控及相关环境保护要求。</w:t>
                  </w:r>
                </w:p>
              </w:tc>
              <w:tc>
                <w:tcPr>
                  <w:tcW w:w="1189" w:type="pct"/>
                  <w:vAlign w:val="center"/>
                </w:tcPr>
                <w:p>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sz w:val="21"/>
                      <w:szCs w:val="21"/>
                      <w:lang w:eastAsia="zh-CN"/>
                    </w:rPr>
                  </w:pPr>
                  <w:r>
                    <w:rPr>
                      <w:rFonts w:hint="eastAsia"/>
                      <w:sz w:val="21"/>
                      <w:szCs w:val="21"/>
                      <w:lang w:eastAsia="zh-CN"/>
                    </w:rPr>
                    <w:t>本项目不涉及生态保护红线；属国家规划矿区；建筑用砂矿建设符合“三线一单”要求，符合生态环境分区管控及相关环境保护要求。</w:t>
                  </w:r>
                </w:p>
              </w:tc>
              <w:tc>
                <w:tcPr>
                  <w:tcW w:w="544" w:type="pct"/>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both"/>
                    <w:textAlignment w:val="auto"/>
                    <w:rPr>
                      <w:rFonts w:hint="eastAsia" w:eastAsia="宋体"/>
                      <w:sz w:val="21"/>
                      <w:szCs w:val="21"/>
                      <w:lang w:eastAsia="zh-CN"/>
                    </w:rPr>
                  </w:pPr>
                  <w:r>
                    <w:rPr>
                      <w:rFonts w:hint="eastAsia"/>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1" w:hRule="atLeast"/>
              </w:trPr>
              <w:tc>
                <w:tcPr>
                  <w:tcW w:w="276" w:type="pct"/>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center"/>
                    <w:textAlignment w:val="auto"/>
                    <w:rPr>
                      <w:rFonts w:hint="default"/>
                      <w:sz w:val="21"/>
                      <w:szCs w:val="21"/>
                      <w:lang w:val="en-US" w:eastAsia="zh-CN"/>
                    </w:rPr>
                  </w:pPr>
                  <w:r>
                    <w:rPr>
                      <w:rFonts w:hint="eastAsia"/>
                      <w:sz w:val="21"/>
                      <w:szCs w:val="21"/>
                      <w:lang w:val="en-US" w:eastAsia="zh-CN"/>
                    </w:rPr>
                    <w:t>3</w:t>
                  </w:r>
                </w:p>
              </w:tc>
              <w:tc>
                <w:tcPr>
                  <w:tcW w:w="2989" w:type="pct"/>
                  <w:vAlign w:val="center"/>
                </w:tcPr>
                <w:p>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三）严格产业准入，合理控制矿山开采种类和规模。严格落实《规划》提出的重点矿种矿山最低开采规模准入要求；进一步控制矿山总数，提高大中型矿山比例，加大低效产能压减、无效产能腾退力度，逐步关闭退出安全隐患突出、生态环境问题明显、违法违规问题多的“小弱散”矿山和未达到最低生产规模的矿山。禁止开采砷和放射性等有毒有害物质超过规定标准的煤炭，以及砂铁、汞、可耕地砖瓦用粘土等矿产；限制开采硫铁矿、砖瓦用粘土等矿产；严格控制开采钨、稀土等特定保护性矿产。严格尾矿库的新建和管理，确保符合相关要求。</w:t>
                  </w:r>
                </w:p>
              </w:tc>
              <w:tc>
                <w:tcPr>
                  <w:tcW w:w="1189" w:type="pct"/>
                  <w:vAlign w:val="center"/>
                </w:tcPr>
                <w:p>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default"/>
                      <w:sz w:val="21"/>
                      <w:szCs w:val="21"/>
                      <w:lang w:val="en-US" w:eastAsia="zh-CN"/>
                    </w:rPr>
                  </w:pPr>
                  <w:r>
                    <w:rPr>
                      <w:rFonts w:hint="default"/>
                      <w:sz w:val="21"/>
                      <w:szCs w:val="21"/>
                      <w:lang w:val="en-US" w:eastAsia="zh-CN"/>
                    </w:rPr>
                    <w:t>本项目建设规模符合矿区总体规划要求和《产业结构调整指导目录（2024年）》；建设规模符合矿山最低开采规模准入要求</w:t>
                  </w:r>
                  <w:r>
                    <w:rPr>
                      <w:rFonts w:hint="eastAsia"/>
                      <w:sz w:val="21"/>
                      <w:szCs w:val="21"/>
                      <w:lang w:val="en-US" w:eastAsia="zh-CN"/>
                    </w:rPr>
                    <w:t>。</w:t>
                  </w:r>
                </w:p>
              </w:tc>
              <w:tc>
                <w:tcPr>
                  <w:tcW w:w="544" w:type="pct"/>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both"/>
                    <w:textAlignment w:val="auto"/>
                    <w:rPr>
                      <w:rFonts w:hint="eastAsia" w:eastAsia="宋体"/>
                      <w:sz w:val="21"/>
                      <w:szCs w:val="21"/>
                      <w:lang w:eastAsia="zh-CN"/>
                    </w:rPr>
                  </w:pPr>
                  <w:r>
                    <w:rPr>
                      <w:rFonts w:hint="eastAsia"/>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276" w:type="pct"/>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center"/>
                    <w:textAlignment w:val="auto"/>
                    <w:rPr>
                      <w:rFonts w:hint="default"/>
                      <w:sz w:val="21"/>
                      <w:szCs w:val="21"/>
                      <w:lang w:val="en-US" w:eastAsia="zh-CN"/>
                    </w:rPr>
                  </w:pPr>
                  <w:r>
                    <w:rPr>
                      <w:rFonts w:hint="eastAsia"/>
                      <w:sz w:val="21"/>
                      <w:szCs w:val="21"/>
                      <w:lang w:val="en-US" w:eastAsia="zh-CN"/>
                    </w:rPr>
                    <w:t>4</w:t>
                  </w:r>
                </w:p>
              </w:tc>
              <w:tc>
                <w:tcPr>
                  <w:tcW w:w="2989" w:type="pct"/>
                  <w:vAlign w:val="center"/>
                </w:tcPr>
                <w:p>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sz w:val="21"/>
                      <w:szCs w:val="21"/>
                    </w:rPr>
                  </w:pPr>
                  <w:r>
                    <w:rPr>
                      <w:rFonts w:hint="eastAsia"/>
                      <w:sz w:val="21"/>
                      <w:szCs w:val="21"/>
                      <w:lang w:eastAsia="zh-CN"/>
                    </w:rPr>
                    <w:t>（</w:t>
                  </w:r>
                  <w:r>
                    <w:rPr>
                      <w:rFonts w:hint="eastAsia"/>
                      <w:sz w:val="21"/>
                      <w:szCs w:val="21"/>
                    </w:rPr>
                    <w:t>四）严格环境准入，保护区域生态功能。按照新疆维吾尔自治区生态环境分区管控方案、生态环境保护规划等新要求，与大气环境优先保护区、水环境优先保护区、农用地优先保护区等存在空间重叠的现有矿业权、勘查规划区块、开采规划区块，应严格执行相应管控要求，控制勘查、开采活动范围和强度，严格执行绿色勘查、开采及矿山环境生态保护修复相关要求，确保生态系统结构和主要功能不受破坏。严格控制涉及生物多样性保护优先区域、国家重点生态功能区、国家重要生态功能区、水源涵养区、水土流失重点防治区等区域矿产资源开发活动，并采取相应保护措施，防止加剧对重点生态功能区的不良环境影响。</w:t>
                  </w:r>
                </w:p>
              </w:tc>
              <w:tc>
                <w:tcPr>
                  <w:tcW w:w="1189" w:type="pct"/>
                  <w:vAlign w:val="center"/>
                </w:tcPr>
                <w:p>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eastAsia="宋体"/>
                      <w:sz w:val="21"/>
                      <w:szCs w:val="21"/>
                      <w:lang w:eastAsia="zh-CN"/>
                    </w:rPr>
                  </w:pPr>
                  <w:r>
                    <w:rPr>
                      <w:rFonts w:hint="eastAsia" w:eastAsia="宋体"/>
                      <w:sz w:val="21"/>
                      <w:szCs w:val="21"/>
                      <w:lang w:eastAsia="zh-CN"/>
                    </w:rPr>
                    <w:t>建筑用砂矿建设符合自治区生态环境分区管控方案；不涉及生态红线；矿山建设和运营过程中采取了污染防治措施和生态保护措施，减轻建筑用砂矿开采带来的不良环境影响。</w:t>
                  </w:r>
                </w:p>
              </w:tc>
              <w:tc>
                <w:tcPr>
                  <w:tcW w:w="544" w:type="pct"/>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both"/>
                    <w:textAlignment w:val="auto"/>
                    <w:rPr>
                      <w:rFonts w:hint="eastAsia" w:eastAsia="宋体"/>
                      <w:sz w:val="21"/>
                      <w:szCs w:val="21"/>
                      <w:lang w:eastAsia="zh-CN"/>
                    </w:rPr>
                  </w:pPr>
                  <w:r>
                    <w:rPr>
                      <w:rFonts w:hint="eastAsia"/>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trPr>
              <w:tc>
                <w:tcPr>
                  <w:tcW w:w="276" w:type="pct"/>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center"/>
                    <w:textAlignment w:val="auto"/>
                    <w:rPr>
                      <w:rFonts w:hint="default"/>
                      <w:sz w:val="21"/>
                      <w:szCs w:val="21"/>
                      <w:lang w:val="en-US" w:eastAsia="zh-CN"/>
                    </w:rPr>
                  </w:pPr>
                  <w:r>
                    <w:rPr>
                      <w:rFonts w:hint="eastAsia"/>
                      <w:sz w:val="21"/>
                      <w:szCs w:val="21"/>
                      <w:lang w:val="en-US" w:eastAsia="zh-CN"/>
                    </w:rPr>
                    <w:t>5</w:t>
                  </w:r>
                </w:p>
              </w:tc>
              <w:tc>
                <w:tcPr>
                  <w:tcW w:w="2989" w:type="pct"/>
                  <w:vAlign w:val="center"/>
                </w:tcPr>
                <w:p>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sz w:val="21"/>
                      <w:szCs w:val="21"/>
                      <w:lang w:eastAsia="zh-CN"/>
                    </w:rPr>
                  </w:pPr>
                  <w:r>
                    <w:rPr>
                      <w:rFonts w:hint="eastAsia"/>
                      <w:sz w:val="21"/>
                      <w:szCs w:val="21"/>
                      <w:lang w:eastAsia="zh-CN"/>
                    </w:rPr>
                    <w:t>（五）加强矿山生态修复和环境治理。结合区域生态环境质量改善目标和主要生态环境问题，分区域、分矿种确定矿山生态修复和环境治理总体要求，将目标任务分解细化到具体矿区、矿山，确保“十四五”规划期矿山生态修复治理面积不低于11000公顷。重视关闭矿山及历史遗留矿山的生态环境问题，明确污染治理、生态修复的任务、要求和完成时限。对可能造成重金属污染等环境问题的矿区，进一步优化开发方式，推进结构调整，加大治理投入。</w:t>
                  </w:r>
                </w:p>
              </w:tc>
              <w:tc>
                <w:tcPr>
                  <w:tcW w:w="1189" w:type="pct"/>
                  <w:vAlign w:val="center"/>
                </w:tcPr>
                <w:p>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eastAsia="宋体"/>
                      <w:sz w:val="21"/>
                      <w:szCs w:val="21"/>
                      <w:lang w:eastAsia="zh-CN"/>
                    </w:rPr>
                  </w:pPr>
                  <w:r>
                    <w:rPr>
                      <w:rFonts w:hint="eastAsia" w:eastAsia="宋体"/>
                      <w:sz w:val="21"/>
                      <w:szCs w:val="21"/>
                      <w:lang w:eastAsia="zh-CN"/>
                    </w:rPr>
                    <w:t>已加强矿山生态恢复和环境治理；对运营过程中的废气、废水等提出污染防治措施。</w:t>
                  </w:r>
                </w:p>
              </w:tc>
              <w:tc>
                <w:tcPr>
                  <w:tcW w:w="544" w:type="pct"/>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both"/>
                    <w:textAlignment w:val="auto"/>
                    <w:rPr>
                      <w:rFonts w:hint="default"/>
                      <w:sz w:val="21"/>
                      <w:szCs w:val="21"/>
                      <w:lang w:val="en-US" w:eastAsia="zh-CN"/>
                    </w:rPr>
                  </w:pPr>
                  <w:r>
                    <w:rPr>
                      <w:rFonts w:hint="eastAsia"/>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6" w:hRule="atLeast"/>
              </w:trPr>
              <w:tc>
                <w:tcPr>
                  <w:tcW w:w="276" w:type="pct"/>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center"/>
                    <w:textAlignment w:val="auto"/>
                    <w:rPr>
                      <w:rFonts w:hint="default"/>
                      <w:sz w:val="21"/>
                      <w:szCs w:val="21"/>
                      <w:lang w:val="en-US" w:eastAsia="zh-CN"/>
                    </w:rPr>
                  </w:pPr>
                  <w:r>
                    <w:rPr>
                      <w:rFonts w:hint="eastAsia"/>
                      <w:sz w:val="21"/>
                      <w:szCs w:val="21"/>
                      <w:lang w:val="en-US" w:eastAsia="zh-CN"/>
                    </w:rPr>
                    <w:t>6</w:t>
                  </w:r>
                </w:p>
              </w:tc>
              <w:tc>
                <w:tcPr>
                  <w:tcW w:w="2989" w:type="pct"/>
                  <w:vAlign w:val="center"/>
                </w:tcPr>
                <w:p>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sz w:val="21"/>
                      <w:szCs w:val="21"/>
                      <w:lang w:eastAsia="zh-CN"/>
                    </w:rPr>
                  </w:pPr>
                  <w:r>
                    <w:rPr>
                      <w:rFonts w:hint="eastAsia"/>
                      <w:sz w:val="21"/>
                      <w:szCs w:val="21"/>
                      <w:lang w:eastAsia="zh-CN"/>
                    </w:rPr>
                    <w:t>（六）加强生态环境保护监测和预警。结合生态保护、饮用水水源保护区及水环境功能区水质保护及改善要求、土壤污染防治目标等，推进重点矿区建立生态、地表水、地下水、土壤等环境要素的长期监测监控体系，明确责任主体、强化资金保障，其中，在用尾矿库100%安装在线监测装置；组织开展主要矿种集中开采区域生态修复效果评估，并根据监测和评估结果增加和优化必要的保护措施。针对地表水环境及土壤环境累积影响、地下水环境质量下降、生态退化等情形，建立预警机制。</w:t>
                  </w:r>
                </w:p>
              </w:tc>
              <w:tc>
                <w:tcPr>
                  <w:tcW w:w="1189" w:type="pct"/>
                  <w:vAlign w:val="center"/>
                </w:tcPr>
                <w:p>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eastAsia="宋体"/>
                      <w:sz w:val="21"/>
                      <w:szCs w:val="21"/>
                      <w:lang w:eastAsia="zh-CN"/>
                    </w:rPr>
                  </w:pPr>
                  <w:r>
                    <w:rPr>
                      <w:rFonts w:hint="eastAsia" w:eastAsia="宋体"/>
                      <w:sz w:val="21"/>
                      <w:szCs w:val="21"/>
                      <w:lang w:eastAsia="zh-CN"/>
                    </w:rPr>
                    <w:t>环评要求建筑用砂矿建设生态、地下水、土壤等监控体系和预警机制；采取污染防治措施和生态保护措施，防止地下水、土壤环境质量下降。</w:t>
                  </w:r>
                </w:p>
              </w:tc>
              <w:tc>
                <w:tcPr>
                  <w:tcW w:w="544" w:type="pct"/>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both"/>
                    <w:textAlignment w:val="auto"/>
                    <w:rPr>
                      <w:rFonts w:hint="eastAsia"/>
                      <w:sz w:val="21"/>
                      <w:szCs w:val="21"/>
                      <w:lang w:eastAsia="zh-CN"/>
                    </w:rPr>
                  </w:pPr>
                  <w:r>
                    <w:rPr>
                      <w:rFonts w:hint="eastAsia"/>
                      <w:sz w:val="21"/>
                      <w:szCs w:val="21"/>
                      <w:lang w:eastAsia="zh-CN"/>
                    </w:rPr>
                    <w:t>符合</w:t>
                  </w:r>
                </w:p>
              </w:tc>
            </w:tr>
          </w:tbl>
          <w:p>
            <w:pPr>
              <w:keepNext/>
              <w:keepLines w:val="0"/>
              <w:pageBreakBefore w:val="0"/>
              <w:widowControl w:val="0"/>
              <w:kinsoku/>
              <w:wordWrap w:val="0"/>
              <w:overflowPunct/>
              <w:topLinePunct w:val="0"/>
              <w:bidi w:val="0"/>
              <w:adjustRightInd/>
              <w:snapToGrid/>
              <w:spacing w:line="360" w:lineRule="auto"/>
              <w:ind w:firstLine="1440"/>
              <w:textAlignment w:val="auto"/>
              <w:rPr>
                <w:rFonts w:hint="default"/>
                <w:lang w:val="en-US" w:eastAsia="zh-CN"/>
              </w:rPr>
            </w:pPr>
            <w:r>
              <w:rPr>
                <w:rFonts w:hint="eastAsia" w:ascii="Times New Roman" w:hAnsi="Times New Roman" w:eastAsia="宋体" w:cs="Times New Roman"/>
                <w:b w:val="0"/>
                <w:bCs w:val="0"/>
                <w:color w:val="auto"/>
                <w:sz w:val="24"/>
                <w:szCs w:val="24"/>
                <w:lang w:val="en-US" w:eastAsia="zh-CN"/>
              </w:rPr>
              <w:t>综上所述，本项目符合《关于&lt;新疆维吾尔自治区矿产资源总体规划（2021-2025）环境影响报告书&gt;的审查意见》</w:t>
            </w:r>
            <w:r>
              <w:rPr>
                <w:rFonts w:hint="eastAsia" w:cs="Times New Roman"/>
                <w:b w:val="0"/>
                <w:bCs w:val="0"/>
                <w:color w:val="auto"/>
                <w:sz w:val="24"/>
                <w:szCs w:val="24"/>
                <w:lang w:val="en-US" w:eastAsia="zh-CN"/>
              </w:rPr>
              <w:t>的相关</w:t>
            </w:r>
            <w:r>
              <w:rPr>
                <w:rFonts w:hint="eastAsia" w:ascii="Times New Roman" w:eastAsia="宋体"/>
                <w:sz w:val="24"/>
                <w:szCs w:val="32"/>
                <w:lang w:val="en-US" w:eastAsia="zh-CN"/>
              </w:rPr>
              <w:t>要求</w:t>
            </w:r>
            <w:r>
              <w:rPr>
                <w:rFonts w:hint="eastAsia" w:ascii="Times New Roman" w:hAnsi="Times New Roman" w:eastAsia="宋体" w:cs="Times New Roman"/>
                <w:b w:val="0"/>
                <w:bCs w:val="0"/>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1566" w:type="dxa"/>
            <w:vAlign w:val="center"/>
          </w:tcPr>
          <w:p>
            <w:pPr>
              <w:pStyle w:val="31"/>
              <w:spacing w:line="240" w:lineRule="auto"/>
            </w:pPr>
            <w:r>
              <w:t>其他符合性分析</w:t>
            </w:r>
          </w:p>
        </w:tc>
        <w:tc>
          <w:tcPr>
            <w:tcW w:w="6956" w:type="dxa"/>
            <w:gridSpan w:val="3"/>
            <w:vAlign w:val="center"/>
          </w:tcPr>
          <w:p>
            <w:pPr>
              <w:pStyle w:val="3"/>
              <w:numPr>
                <w:ilvl w:val="0"/>
                <w:numId w:val="0"/>
              </w:numPr>
              <w:tabs>
                <w:tab w:val="clear" w:pos="0"/>
              </w:tabs>
              <w:spacing w:line="240" w:lineRule="auto"/>
              <w:rPr>
                <w:rFonts w:hint="eastAsia" w:ascii="宋体" w:hAnsi="宋体" w:cs="宋体"/>
                <w:b/>
                <w:bCs/>
                <w:kern w:val="0"/>
                <w:sz w:val="24"/>
                <w:szCs w:val="24"/>
                <w:lang w:val="en-US" w:eastAsia="zh-CN" w:bidi="ar-SA"/>
              </w:rPr>
            </w:pPr>
            <w:r>
              <w:rPr>
                <w:rFonts w:hint="eastAsia" w:ascii="宋体" w:hAnsi="宋体" w:cs="宋体"/>
                <w:b/>
                <w:bCs/>
                <w:kern w:val="0"/>
                <w:sz w:val="24"/>
                <w:szCs w:val="24"/>
                <w:lang w:val="en-US" w:eastAsia="zh-CN" w:bidi="ar-SA"/>
              </w:rPr>
              <w:t>1.产业政策符合性分析</w:t>
            </w:r>
          </w:p>
          <w:p>
            <w:pPr>
              <w:spacing w:line="360" w:lineRule="auto"/>
              <w:ind w:firstLine="480"/>
              <w:rPr>
                <w:rFonts w:hint="default" w:ascii="Times New Roman" w:hAnsi="Times New Roman" w:cs="Times New Roman"/>
                <w:lang w:val="en-US" w:eastAsia="zh-CN"/>
              </w:rPr>
            </w:pPr>
            <w:r>
              <w:rPr>
                <w:rFonts w:hint="eastAsia" w:ascii="Times New Roman" w:hAnsi="Times New Roman" w:eastAsia="宋体" w:cstheme="minorBidi"/>
                <w:bCs/>
                <w:kern w:val="2"/>
                <w:sz w:val="24"/>
                <w:szCs w:val="24"/>
                <w:lang w:val="en-US" w:eastAsia="zh-CN" w:bidi="ar-SA"/>
              </w:rPr>
              <w:t>根据中华人民共和国国家发展和改革委员会令第7号《产业结构调整指导目录（2024年）》中的规定，本项目</w:t>
            </w:r>
            <w:r>
              <w:rPr>
                <w:rFonts w:hint="eastAsia" w:cstheme="minorBidi"/>
                <w:bCs/>
                <w:kern w:val="2"/>
                <w:sz w:val="24"/>
                <w:szCs w:val="24"/>
                <w:lang w:val="en-US" w:eastAsia="zh-CN" w:bidi="ar-SA"/>
              </w:rPr>
              <w:t>不属于鼓励类、限制类和淘汰类，为允许类。</w:t>
            </w:r>
            <w:r>
              <w:rPr>
                <w:rFonts w:hint="eastAsia" w:ascii="Times New Roman" w:hAnsi="Times New Roman" w:eastAsia="宋体" w:cstheme="minorBidi"/>
                <w:bCs/>
                <w:kern w:val="2"/>
                <w:sz w:val="24"/>
                <w:szCs w:val="24"/>
                <w:lang w:val="en-US" w:eastAsia="zh-CN" w:bidi="ar-SA"/>
              </w:rPr>
              <w:t>因此，项目建设符合国家相关</w:t>
            </w:r>
            <w:r>
              <w:rPr>
                <w:rFonts w:hint="default" w:ascii="Times New Roman" w:hAnsi="Times New Roman" w:eastAsia="宋体" w:cs="Times New Roman"/>
                <w:bCs/>
                <w:kern w:val="2"/>
                <w:sz w:val="24"/>
                <w:szCs w:val="24"/>
                <w:lang w:val="en-US" w:eastAsia="zh-CN" w:bidi="ar-SA"/>
              </w:rPr>
              <w:t>产业政策的要求。</w:t>
            </w:r>
          </w:p>
          <w:p>
            <w:pPr>
              <w:pStyle w:val="3"/>
              <w:numPr>
                <w:ilvl w:val="0"/>
                <w:numId w:val="0"/>
              </w:numPr>
              <w:tabs>
                <w:tab w:val="clear" w:pos="0"/>
              </w:tabs>
              <w:spacing w:line="240" w:lineRule="auto"/>
              <w:rPr>
                <w:rFonts w:hint="default" w:ascii="Times New Roman" w:hAnsi="Times New Roman" w:cs="Times New Roman"/>
                <w:bCs/>
                <w:kern w:val="0"/>
              </w:rPr>
            </w:pPr>
            <w:r>
              <w:rPr>
                <w:rFonts w:hint="default" w:ascii="Times New Roman" w:hAnsi="Times New Roman" w:cs="Times New Roman"/>
                <w:b/>
                <w:bCs/>
                <w:kern w:val="0"/>
                <w:sz w:val="24"/>
                <w:szCs w:val="24"/>
                <w:lang w:val="en-US" w:eastAsia="zh-CN" w:bidi="ar-SA"/>
              </w:rPr>
              <w:t>2</w:t>
            </w:r>
            <w:r>
              <w:rPr>
                <w:rFonts w:hint="default" w:ascii="Times New Roman" w:hAnsi="Times New Roman" w:eastAsia="宋体" w:cs="Times New Roman"/>
                <w:b/>
                <w:bCs/>
                <w:kern w:val="0"/>
                <w:sz w:val="24"/>
                <w:szCs w:val="24"/>
                <w:lang w:val="en-US" w:eastAsia="zh-CN" w:bidi="ar-SA"/>
              </w:rPr>
              <w:t>.</w:t>
            </w:r>
            <w:r>
              <w:rPr>
                <w:rFonts w:hint="default" w:ascii="Times New Roman" w:hAnsi="Times New Roman" w:cs="Times New Roman"/>
                <w:bCs/>
                <w:kern w:val="0"/>
              </w:rPr>
              <w:t>“三线一单”符合性分析</w:t>
            </w:r>
          </w:p>
          <w:p>
            <w:pPr>
              <w:numPr>
                <w:ilvl w:val="0"/>
                <w:numId w:val="0"/>
              </w:numPr>
              <w:autoSpaceDE w:val="0"/>
              <w:autoSpaceDN w:val="0"/>
              <w:adjustRightInd w:val="0"/>
              <w:snapToGrid w:val="0"/>
              <w:ind w:firstLine="480" w:firstLineChars="200"/>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（1）与新疆维吾尔自治区“三线一单”符合性分析</w:t>
            </w:r>
          </w:p>
          <w:p>
            <w:pPr>
              <w:numPr>
                <w:ilvl w:val="0"/>
                <w:numId w:val="0"/>
              </w:numPr>
              <w:autoSpaceDE w:val="0"/>
              <w:autoSpaceDN w:val="0"/>
              <w:adjustRightInd w:val="0"/>
              <w:snapToGrid w:val="0"/>
              <w:spacing w:line="360" w:lineRule="auto"/>
              <w:ind w:firstLine="480" w:firstLineChars="200"/>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根据新疆维吾尔自治区人民政府办公厅新政发〔2021〕18号《关于印发《新疆维吾尔自治区“三线一单”生态环境分区管控方案》的通知》要求，</w:t>
            </w:r>
            <w:r>
              <w:rPr>
                <w:rFonts w:hint="eastAsia" w:ascii="Times New Roman" w:hAnsi="Times New Roman" w:eastAsia="宋体" w:cs="Times New Roman"/>
                <w:color w:val="auto"/>
                <w:kern w:val="0"/>
                <w:sz w:val="24"/>
                <w:szCs w:val="24"/>
                <w:lang w:val="en-US" w:eastAsia="zh-CN" w:bidi="ar-SA"/>
              </w:rPr>
              <w:t>本项目符合性</w:t>
            </w:r>
            <w:r>
              <w:rPr>
                <w:rFonts w:hint="default" w:ascii="Times New Roman" w:hAnsi="Times New Roman" w:eastAsia="宋体" w:cs="Times New Roman"/>
                <w:color w:val="auto"/>
                <w:kern w:val="0"/>
                <w:sz w:val="24"/>
                <w:szCs w:val="24"/>
                <w:lang w:val="en-US" w:eastAsia="zh-CN" w:bidi="ar-SA"/>
              </w:rPr>
              <w:t>分析如下</w:t>
            </w:r>
            <w:r>
              <w:rPr>
                <w:rFonts w:hint="eastAsia" w:ascii="Times New Roman" w:hAnsi="Times New Roman" w:eastAsia="宋体" w:cs="Times New Roman"/>
                <w:color w:val="auto"/>
                <w:kern w:val="0"/>
                <w:sz w:val="24"/>
                <w:szCs w:val="24"/>
                <w:lang w:val="en-US" w:eastAsia="zh-CN" w:bidi="ar-SA"/>
              </w:rPr>
              <w:t>：</w:t>
            </w:r>
          </w:p>
          <w:p>
            <w:pPr>
              <w:pStyle w:val="46"/>
              <w:spacing w:line="240" w:lineRule="auto"/>
              <w:ind w:left="0" w:leftChars="0" w:firstLine="0" w:firstLineChars="0"/>
              <w:jc w:val="center"/>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表1-3</w:t>
            </w:r>
            <w:r>
              <w:rPr>
                <w:rFonts w:hint="eastAsia" w:ascii="Times New Roman" w:hAnsi="Times New Roman" w:eastAsia="宋体" w:cs="Times New Roman"/>
                <w:b/>
                <w:bCs/>
                <w:color w:val="auto"/>
                <w:kern w:val="0"/>
                <w:sz w:val="21"/>
                <w:szCs w:val="21"/>
                <w:lang w:val="en-US" w:eastAsia="zh-CN" w:bidi="ar-SA"/>
              </w:rPr>
              <w:t xml:space="preserve">  </w:t>
            </w:r>
            <w:r>
              <w:rPr>
                <w:rFonts w:hint="default" w:ascii="Times New Roman" w:hAnsi="Times New Roman" w:eastAsia="宋体" w:cs="Times New Roman"/>
                <w:b/>
                <w:bCs/>
                <w:color w:val="auto"/>
                <w:kern w:val="0"/>
                <w:sz w:val="21"/>
                <w:szCs w:val="21"/>
                <w:lang w:val="en-US" w:eastAsia="zh-CN" w:bidi="ar-SA"/>
              </w:rPr>
              <w:t>与新疆维吾尔自治区“三线一单”符合性分析</w:t>
            </w:r>
          </w:p>
          <w:tbl>
            <w:tblPr>
              <w:tblStyle w:val="47"/>
              <w:tblW w:w="4944"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1"/>
              <w:gridCol w:w="3091"/>
              <w:gridCol w:w="2566"/>
              <w:gridCol w:w="4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2734" w:type="pct"/>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firstLine="0" w:firstLineChars="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“三线一单”要求</w:t>
                  </w:r>
                </w:p>
              </w:tc>
              <w:tc>
                <w:tcPr>
                  <w:tcW w:w="1926"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firstLine="0" w:firstLineChars="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本项目情况</w:t>
                  </w:r>
                </w:p>
              </w:tc>
              <w:tc>
                <w:tcPr>
                  <w:tcW w:w="339"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firstLine="0" w:firstLineChars="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4" w:hRule="atLeast"/>
                <w:jc w:val="center"/>
              </w:trPr>
              <w:tc>
                <w:tcPr>
                  <w:tcW w:w="414" w:type="pct"/>
                  <w:vAlign w:val="center"/>
                </w:tcPr>
                <w:p>
                  <w:pPr>
                    <w:pStyle w:val="4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生态保护红线</w:t>
                  </w:r>
                </w:p>
              </w:tc>
              <w:tc>
                <w:tcPr>
                  <w:tcW w:w="2319" w:type="pct"/>
                  <w:vAlign w:val="center"/>
                </w:tcPr>
                <w:p>
                  <w:pPr>
                    <w:pStyle w:val="4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指在生态空间范围内具有特殊重要生态功能、必须强制性严格保护的区域，是保障和维护国家生态安全的底线和生命线，通常包括具有重要水源涵养、生物多样性维护、水土保持、防风固沙、海岸生态稳定等功能的生态功能重要区域，以及水土流失、土地沙化、石漠化、盐渍化等生态环境敏感脆弱区域。</w:t>
                  </w:r>
                </w:p>
              </w:tc>
              <w:tc>
                <w:tcPr>
                  <w:tcW w:w="1926" w:type="pct"/>
                  <w:vAlign w:val="center"/>
                </w:tcPr>
                <w:p>
                  <w:pPr>
                    <w:pStyle w:val="46"/>
                    <w:keepNext w:val="0"/>
                    <w:keepLines w:val="0"/>
                    <w:pageBreakBefore w:val="0"/>
                    <w:widowControl/>
                    <w:kinsoku w:val="0"/>
                    <w:wordWrap/>
                    <w:overflowPunct/>
                    <w:topLinePunct w:val="0"/>
                    <w:autoSpaceDE w:val="0"/>
                    <w:autoSpaceDN w:val="0"/>
                    <w:bidi w:val="0"/>
                    <w:adjustRightInd/>
                    <w:snapToGrid/>
                    <w:spacing w:line="240" w:lineRule="auto"/>
                    <w:ind w:right="0" w:firstLine="0" w:firstLineChars="0"/>
                    <w:jc w:val="center"/>
                    <w:textAlignment w:val="baseline"/>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项目位于新疆维吾尔自治区吐鲁番地区</w:t>
                  </w:r>
                  <w:r>
                    <w:rPr>
                      <w:rFonts w:hint="eastAsia" w:ascii="Times New Roman" w:hAnsi="Times New Roman" w:eastAsia="宋体" w:cs="Times New Roman"/>
                      <w:b w:val="0"/>
                      <w:bCs w:val="0"/>
                      <w:color w:val="auto"/>
                      <w:kern w:val="2"/>
                      <w:sz w:val="21"/>
                      <w:szCs w:val="21"/>
                      <w:vertAlign w:val="baseline"/>
                      <w:lang w:val="en-US" w:eastAsia="zh-CN" w:bidi="ar-SA"/>
                    </w:rPr>
                    <w:t>托克逊县</w:t>
                  </w:r>
                  <w:r>
                    <w:rPr>
                      <w:rFonts w:hint="default" w:ascii="Times New Roman" w:hAnsi="Times New Roman" w:eastAsia="宋体" w:cs="Times New Roman"/>
                      <w:b w:val="0"/>
                      <w:bCs w:val="0"/>
                      <w:color w:val="auto"/>
                      <w:kern w:val="2"/>
                      <w:sz w:val="21"/>
                      <w:szCs w:val="21"/>
                      <w:vertAlign w:val="baseline"/>
                      <w:lang w:val="en-US" w:eastAsia="zh-CN" w:bidi="ar-SA"/>
                    </w:rPr>
                    <w:t>，项目周边无自然保护区、饮用水源地保护区等生态保护目标，符合生态保护红线要求。</w:t>
                  </w:r>
                </w:p>
              </w:tc>
              <w:tc>
                <w:tcPr>
                  <w:tcW w:w="339" w:type="pct"/>
                  <w:vAlign w:val="center"/>
                </w:tcPr>
                <w:p>
                  <w:pPr>
                    <w:pStyle w:val="46"/>
                    <w:keepNext w:val="0"/>
                    <w:keepLines w:val="0"/>
                    <w:pageBreakBefore w:val="0"/>
                    <w:widowControl/>
                    <w:kinsoku w:val="0"/>
                    <w:wordWrap/>
                    <w:overflowPunct/>
                    <w:topLinePunct w:val="0"/>
                    <w:autoSpaceDE w:val="0"/>
                    <w:autoSpaceDN w:val="0"/>
                    <w:bidi w:val="0"/>
                    <w:adjustRightInd/>
                    <w:snapToGrid/>
                    <w:spacing w:line="240" w:lineRule="auto"/>
                    <w:ind w:right="0" w:firstLine="0" w:firstLineChars="0"/>
                    <w:jc w:val="center"/>
                    <w:textAlignment w:val="baseline"/>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jc w:val="center"/>
              </w:trPr>
              <w:tc>
                <w:tcPr>
                  <w:tcW w:w="414" w:type="pct"/>
                  <w:vAlign w:val="center"/>
                </w:tcPr>
                <w:p>
                  <w:pPr>
                    <w:pStyle w:val="4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环境质量底线</w:t>
                  </w:r>
                </w:p>
              </w:tc>
              <w:tc>
                <w:tcPr>
                  <w:tcW w:w="2319" w:type="pct"/>
                  <w:vAlign w:val="center"/>
                </w:tcPr>
                <w:p>
                  <w:pPr>
                    <w:pStyle w:val="4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tc>
              <w:tc>
                <w:tcPr>
                  <w:tcW w:w="1926" w:type="pct"/>
                  <w:vAlign w:val="center"/>
                </w:tcPr>
                <w:p>
                  <w:pPr>
                    <w:pStyle w:val="4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本项目产生的废气、废水、噪声、固废等污染物均采取了严格的治理和处置措施，污染物能达标排放，采取相应措施后经预测能够满足相关标准要求，符合环境质量底线的要求，不会对环境质量底线产生冲击。</w:t>
                  </w:r>
                </w:p>
              </w:tc>
              <w:tc>
                <w:tcPr>
                  <w:tcW w:w="339" w:type="pct"/>
                  <w:vAlign w:val="center"/>
                </w:tcPr>
                <w:p>
                  <w:pPr>
                    <w:pStyle w:val="4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5" w:hRule="atLeast"/>
                <w:jc w:val="center"/>
              </w:trPr>
              <w:tc>
                <w:tcPr>
                  <w:tcW w:w="414" w:type="pct"/>
                  <w:vAlign w:val="center"/>
                </w:tcPr>
                <w:p>
                  <w:pPr>
                    <w:pStyle w:val="46"/>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center"/>
                    <w:textAlignment w:val="baseline"/>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资源利用上线</w:t>
                  </w:r>
                </w:p>
              </w:tc>
              <w:tc>
                <w:tcPr>
                  <w:tcW w:w="2319" w:type="pct"/>
                  <w:vAlign w:val="center"/>
                </w:tcPr>
                <w:p>
                  <w:pPr>
                    <w:pStyle w:val="4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指按照自然资源资产“只能增值、不能贬值”的原则，以保障生态安全和改善环境质量为目的，利用自然资源资产负债表，结合自然资源开发管控，提出的分区域分阶段的资源开发利用总量、强度、效率等上线管控要求。</w:t>
                  </w:r>
                </w:p>
              </w:tc>
              <w:tc>
                <w:tcPr>
                  <w:tcW w:w="1926" w:type="pct"/>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default" w:ascii="Times New Roman" w:hAnsi="Times New Roman" w:eastAsia="宋体" w:cs="Times New Roman"/>
                      <w:b w:val="0"/>
                      <w:bCs w:val="0"/>
                      <w:color w:val="auto"/>
                      <w:kern w:val="2"/>
                      <w:sz w:val="21"/>
                      <w:szCs w:val="21"/>
                      <w:vertAlign w:val="baseline"/>
                      <w:lang w:val="en-US" w:eastAsia="zh-CN" w:bidi="ar-SA"/>
                    </w:rPr>
                  </w:pPr>
                </w:p>
                <w:p>
                  <w:pPr>
                    <w:pStyle w:val="4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本项目为土砂石开采项目，运营期间仅使用少量水资源和电，不会突破资源利用上线。</w:t>
                  </w:r>
                </w:p>
              </w:tc>
              <w:tc>
                <w:tcPr>
                  <w:tcW w:w="339" w:type="pct"/>
                  <w:vAlign w:val="center"/>
                </w:tcPr>
                <w:p>
                  <w:pPr>
                    <w:pStyle w:val="4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2" w:hRule="atLeast"/>
                <w:jc w:val="center"/>
              </w:trPr>
              <w:tc>
                <w:tcPr>
                  <w:tcW w:w="414" w:type="pct"/>
                  <w:tcBorders>
                    <w:bottom w:val="single" w:color="000000" w:sz="6" w:space="0"/>
                  </w:tcBorders>
                  <w:vAlign w:val="center"/>
                </w:tcPr>
                <w:p>
                  <w:pPr>
                    <w:pStyle w:val="46"/>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center"/>
                    <w:textAlignment w:val="baseline"/>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环境准入清单</w:t>
                  </w:r>
                </w:p>
              </w:tc>
              <w:tc>
                <w:tcPr>
                  <w:tcW w:w="2319" w:type="pct"/>
                  <w:tcBorders>
                    <w:bottom w:val="single" w:color="000000" w:sz="6" w:space="0"/>
                  </w:tcBorders>
                  <w:vAlign w:val="center"/>
                </w:tcPr>
                <w:p>
                  <w:pPr>
                    <w:pStyle w:val="4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指基于环境管控单元，统筹考虑生态保护红线、环境质量底线、资源利用上线的管控要求，提出的空间布局、污染物排放、环境风险、资源开发利用等方面禁止和限制的环境准入要求。</w:t>
                  </w:r>
                </w:p>
              </w:tc>
              <w:tc>
                <w:tcPr>
                  <w:tcW w:w="1926" w:type="pct"/>
                  <w:tcBorders>
                    <w:bottom w:val="single" w:color="000000" w:sz="6" w:space="0"/>
                  </w:tcBorders>
                  <w:vAlign w:val="center"/>
                </w:tcPr>
                <w:p>
                  <w:pPr>
                    <w:pStyle w:val="4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本项目属于土砂石开采项目，根据《吐鲁番市“三线一单”生态环境分区管控方案》中附件3吐鲁番市生态环境准入清单分析，本项目符合鄯善县生态环境准入清单要求。本项目不属于《新疆维吾尔自治区28个国家重点生态功能区县（市）产业准入负面清单（试行）》中产业准入负面清单范畴。</w:t>
                  </w:r>
                </w:p>
              </w:tc>
              <w:tc>
                <w:tcPr>
                  <w:tcW w:w="339" w:type="pct"/>
                  <w:tcBorders>
                    <w:bottom w:val="single" w:color="000000" w:sz="6" w:space="0"/>
                  </w:tcBorders>
                  <w:vAlign w:val="center"/>
                </w:tcPr>
                <w:p>
                  <w:pPr>
                    <w:pStyle w:val="4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符合</w:t>
                  </w:r>
                </w:p>
              </w:tc>
            </w:tr>
          </w:tbl>
          <w:p>
            <w:pPr>
              <w:keepNext w:val="0"/>
              <w:keepLines w:val="0"/>
              <w:suppressLineNumbers w:val="0"/>
              <w:spacing w:before="0" w:beforeAutospacing="0" w:after="0" w:afterAutospacing="0" w:line="360" w:lineRule="auto"/>
              <w:ind w:left="0" w:right="0" w:firstLine="480" w:firstLineChars="200"/>
              <w:outlineLvl w:val="1"/>
              <w:rPr>
                <w:rFonts w:hint="default" w:ascii="Times New Roman" w:hAnsi="Times New Roman" w:eastAsia="宋体" w:cs="Times New Roman"/>
                <w:color w:val="auto"/>
                <w:sz w:val="24"/>
                <w:szCs w:val="20"/>
                <w:lang w:val="en-US" w:eastAsia="zh-CN"/>
              </w:rPr>
            </w:pPr>
            <w:r>
              <w:rPr>
                <w:rFonts w:hint="eastAsia" w:cs="Times New Roman"/>
                <w:color w:val="auto"/>
                <w:sz w:val="24"/>
                <w:szCs w:val="20"/>
                <w:lang w:val="en-US" w:eastAsia="zh-CN"/>
              </w:rPr>
              <w:t>综上所述</w:t>
            </w:r>
            <w:r>
              <w:rPr>
                <w:rFonts w:hint="default" w:ascii="Times New Roman" w:hAnsi="Times New Roman" w:eastAsia="宋体" w:cs="Times New Roman"/>
                <w:color w:val="auto"/>
                <w:sz w:val="24"/>
                <w:szCs w:val="20"/>
                <w:lang w:val="en-US" w:eastAsia="zh-CN"/>
              </w:rPr>
              <w:t>，本项目与《新疆维吾尔自治区“三线一单”生态环境分区管控方案的通知》相符。</w:t>
            </w:r>
          </w:p>
          <w:p>
            <w:pPr>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jc w:val="left"/>
              <w:textAlignment w:val="auto"/>
              <w:rPr>
                <w:rFonts w:hint="default" w:ascii="Times New Roman" w:hAnsi="Times New Roman" w:eastAsia="宋体" w:cs="Times New Roman"/>
                <w:b/>
                <w:bCs/>
                <w:color w:val="auto"/>
                <w:kern w:val="0"/>
                <w:sz w:val="24"/>
                <w:szCs w:val="24"/>
                <w:lang w:eastAsia="zh-CN"/>
              </w:rPr>
            </w:pPr>
            <w:r>
              <w:rPr>
                <w:rFonts w:hint="eastAsia" w:cs="Times New Roman"/>
                <w:b/>
                <w:bCs/>
                <w:color w:val="auto"/>
                <w:kern w:val="0"/>
                <w:sz w:val="24"/>
                <w:szCs w:val="24"/>
                <w:lang w:val="en-US" w:eastAsia="zh-CN"/>
              </w:rPr>
              <w:t>2、与《吐鲁番市生态环境分区管控成果动态更新情况说明》</w:t>
            </w:r>
            <w:r>
              <w:rPr>
                <w:rFonts w:hint="default" w:ascii="Times New Roman" w:hAnsi="Times New Roman" w:eastAsia="宋体" w:cs="Times New Roman"/>
                <w:b/>
                <w:bCs/>
                <w:color w:val="auto"/>
                <w:kern w:val="0"/>
                <w:sz w:val="24"/>
                <w:szCs w:val="24"/>
                <w:lang w:eastAsia="zh-CN"/>
              </w:rPr>
              <w:t>的符合性分析</w:t>
            </w:r>
          </w:p>
          <w:p>
            <w:pPr>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firstLine="480" w:firstLineChars="200"/>
              <w:jc w:val="left"/>
              <w:textAlignment w:val="auto"/>
              <w:rPr>
                <w:rFonts w:hint="eastAsia" w:cs="Times New Roman"/>
                <w:b w:val="0"/>
                <w:bCs w:val="0"/>
                <w:color w:val="auto"/>
                <w:kern w:val="0"/>
                <w:sz w:val="24"/>
                <w:szCs w:val="24"/>
                <w:lang w:eastAsia="zh-CN"/>
              </w:rPr>
            </w:pPr>
            <w:r>
              <w:rPr>
                <w:rFonts w:hint="eastAsia" w:cs="Times New Roman"/>
                <w:b w:val="0"/>
                <w:bCs w:val="0"/>
                <w:color w:val="auto"/>
                <w:kern w:val="0"/>
                <w:sz w:val="24"/>
                <w:szCs w:val="24"/>
                <w:lang w:val="en-US" w:eastAsia="zh-CN"/>
              </w:rPr>
              <w:t>本项目位于</w:t>
            </w:r>
            <w:r>
              <w:rPr>
                <w:rFonts w:hint="default" w:ascii="Times New Roman" w:hAnsi="Times New Roman" w:cs="Times New Roman"/>
                <w:b w:val="0"/>
                <w:bCs w:val="0"/>
                <w:color w:val="auto"/>
                <w:kern w:val="0"/>
                <w:sz w:val="24"/>
                <w:szCs w:val="24"/>
              </w:rPr>
              <w:t>托克逊县托克逊县45°方位直线距离14千米处</w:t>
            </w:r>
            <w:r>
              <w:rPr>
                <w:rFonts w:hint="eastAsia" w:cs="Times New Roman"/>
                <w:b w:val="0"/>
                <w:bCs w:val="0"/>
                <w:color w:val="auto"/>
                <w:kern w:val="0"/>
                <w:sz w:val="24"/>
                <w:szCs w:val="24"/>
                <w:lang w:eastAsia="zh-CN"/>
              </w:rPr>
              <w:t>，所在的区域属于托克逊县一般管控单元（ZH65042230001），生态环境管控单元图见附图1。本项目与其符合情况见下表：</w:t>
            </w:r>
          </w:p>
          <w:p>
            <w:pPr>
              <w:keepNext w:val="0"/>
              <w:keepLines w:val="0"/>
              <w:pageBreakBefore w:val="0"/>
              <w:widowControl/>
              <w:suppressLineNumbers w:val="0"/>
              <w:kinsoku/>
              <w:overflowPunct/>
              <w:topLinePunct w:val="0"/>
              <w:bidi w:val="0"/>
              <w:spacing w:line="240" w:lineRule="auto"/>
              <w:ind w:right="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eastAsia="宋体" w:cs="Times New Roman"/>
                <w:b/>
                <w:bCs/>
                <w:color w:val="auto"/>
                <w:kern w:val="0"/>
                <w:sz w:val="21"/>
                <w:szCs w:val="21"/>
                <w:lang w:val="en-US" w:eastAsia="zh-CN" w:bidi="ar"/>
              </w:rPr>
              <w:t>表1-</w:t>
            </w:r>
            <w:r>
              <w:rPr>
                <w:rFonts w:hint="eastAsia" w:ascii="Times New Roman" w:hAnsi="Times New Roman" w:eastAsia="宋体" w:cs="Times New Roman"/>
                <w:b/>
                <w:bCs/>
                <w:color w:val="auto"/>
                <w:kern w:val="0"/>
                <w:sz w:val="21"/>
                <w:szCs w:val="21"/>
                <w:lang w:val="en-US" w:eastAsia="zh-CN" w:bidi="ar"/>
              </w:rPr>
              <w:t>2</w:t>
            </w:r>
            <w:r>
              <w:rPr>
                <w:rFonts w:hint="default" w:ascii="Times New Roman" w:hAnsi="Times New Roman" w:eastAsia="宋体" w:cs="Times New Roman"/>
                <w:b/>
                <w:bCs/>
                <w:color w:val="auto"/>
                <w:kern w:val="0"/>
                <w:sz w:val="21"/>
                <w:szCs w:val="21"/>
                <w:lang w:val="en-US" w:eastAsia="zh-CN" w:bidi="ar"/>
              </w:rPr>
              <w:t xml:space="preserve">   吐鲁番市生态环境分区管控成果动态更新情况说明符合性分析一览表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027"/>
              <w:gridCol w:w="1962"/>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26" w:type="pct"/>
                  <w:gridSpan w:val="2"/>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bCs/>
                      <w:color w:val="auto"/>
                      <w:kern w:val="0"/>
                      <w:sz w:val="21"/>
                      <w:szCs w:val="21"/>
                      <w:vertAlign w:val="baseline"/>
                      <w:lang w:val="en-US" w:eastAsia="zh-CN"/>
                    </w:rPr>
                  </w:pPr>
                  <w:r>
                    <w:rPr>
                      <w:rFonts w:hint="default" w:ascii="Times New Roman" w:hAnsi="Times New Roman" w:eastAsia="宋体" w:cs="Times New Roman"/>
                      <w:b/>
                      <w:bCs/>
                      <w:color w:val="auto"/>
                      <w:kern w:val="0"/>
                      <w:sz w:val="21"/>
                      <w:szCs w:val="21"/>
                      <w:vertAlign w:val="baseline"/>
                      <w:lang w:val="en-US" w:eastAsia="zh-CN"/>
                    </w:rPr>
                    <w:t>管控要求</w:t>
                  </w:r>
                </w:p>
              </w:tc>
              <w:tc>
                <w:tcPr>
                  <w:tcW w:w="1458" w:type="pc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bCs/>
                      <w:color w:val="auto"/>
                      <w:kern w:val="0"/>
                      <w:sz w:val="21"/>
                      <w:szCs w:val="21"/>
                      <w:vertAlign w:val="baseline"/>
                      <w:lang w:val="en-US" w:eastAsia="zh-CN"/>
                    </w:rPr>
                  </w:pPr>
                  <w:r>
                    <w:rPr>
                      <w:rFonts w:hint="default" w:ascii="Times New Roman" w:hAnsi="Times New Roman" w:eastAsia="宋体" w:cs="Times New Roman"/>
                      <w:b/>
                      <w:bCs/>
                      <w:color w:val="auto"/>
                      <w:kern w:val="0"/>
                      <w:sz w:val="21"/>
                      <w:szCs w:val="21"/>
                      <w:vertAlign w:val="baseline"/>
                      <w:lang w:val="en-US" w:eastAsia="zh-CN"/>
                    </w:rPr>
                    <w:t>本项目情况</w:t>
                  </w:r>
                </w:p>
              </w:tc>
              <w:tc>
                <w:tcPr>
                  <w:tcW w:w="714" w:type="pc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bCs/>
                      <w:color w:val="auto"/>
                      <w:kern w:val="0"/>
                      <w:sz w:val="21"/>
                      <w:szCs w:val="21"/>
                      <w:vertAlign w:val="baseline"/>
                      <w:lang w:val="en-US" w:eastAsia="zh-CN"/>
                    </w:rPr>
                  </w:pPr>
                  <w:r>
                    <w:rPr>
                      <w:rFonts w:hint="default" w:ascii="Times New Roman" w:hAnsi="Times New Roman" w:eastAsia="宋体" w:cs="Times New Roman"/>
                      <w:b/>
                      <w:bCs/>
                      <w:color w:val="auto"/>
                      <w:kern w:val="0"/>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7" w:type="pc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val="0"/>
                      <w:color w:val="auto"/>
                      <w:kern w:val="0"/>
                      <w:sz w:val="21"/>
                      <w:szCs w:val="21"/>
                      <w:vertAlign w:val="baseline"/>
                      <w:lang w:val="en-US" w:eastAsia="zh-CN"/>
                    </w:rPr>
                  </w:pPr>
                  <w:r>
                    <w:rPr>
                      <w:rFonts w:hint="default" w:ascii="Times New Roman" w:hAnsi="Times New Roman" w:eastAsia="宋体" w:cs="Times New Roman"/>
                      <w:b w:val="0"/>
                      <w:bCs w:val="0"/>
                      <w:color w:val="auto"/>
                      <w:kern w:val="0"/>
                      <w:sz w:val="21"/>
                      <w:szCs w:val="21"/>
                      <w:vertAlign w:val="baseline"/>
                      <w:lang w:val="en-US" w:eastAsia="zh-CN"/>
                    </w:rPr>
                    <w:t>空间布局约束</w:t>
                  </w:r>
                </w:p>
              </w:tc>
              <w:tc>
                <w:tcPr>
                  <w:tcW w:w="2248" w:type="pct"/>
                  <w:tcBorders>
                    <w:tl2br w:val="nil"/>
                    <w:tr2bl w:val="nil"/>
                  </w:tcBorders>
                  <w:noWrap w:val="0"/>
                  <w:vAlign w:val="center"/>
                </w:tcPr>
                <w:p>
                  <w:pPr>
                    <w:pStyle w:val="5"/>
                    <w:keepNext w:val="0"/>
                    <w:keepLines w:val="0"/>
                    <w:pageBreakBefore w:val="0"/>
                    <w:widowControl w:val="0"/>
                    <w:kinsoku/>
                    <w:wordWrap w:val="0"/>
                    <w:overflowPunct/>
                    <w:topLinePunct w:val="0"/>
                    <w:autoSpaceDE/>
                    <w:autoSpaceDN/>
                    <w:bidi w:val="0"/>
                    <w:adjustRightInd/>
                    <w:snapToGrid/>
                    <w:spacing w:line="240" w:lineRule="auto"/>
                    <w:ind w:firstLine="0" w:firstLineChars="0"/>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1.原则上禁止建设涉及一类重金属、持久性有机污染物排放的工业项目。</w:t>
                  </w:r>
                </w:p>
                <w:p>
                  <w:pPr>
                    <w:pStyle w:val="5"/>
                    <w:keepNext w:val="0"/>
                    <w:keepLines w:val="0"/>
                    <w:pageBreakBefore w:val="0"/>
                    <w:widowControl w:val="0"/>
                    <w:kinsoku/>
                    <w:wordWrap w:val="0"/>
                    <w:overflowPunct/>
                    <w:topLinePunct w:val="0"/>
                    <w:autoSpaceDE/>
                    <w:autoSpaceDN/>
                    <w:bidi w:val="0"/>
                    <w:adjustRightInd/>
                    <w:snapToGrid/>
                    <w:spacing w:line="240" w:lineRule="auto"/>
                    <w:ind w:firstLine="0" w:firstLineChars="0"/>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2.限制进行大规模高强度工业化、城镇化开发，严格控制金属冶炼、石油化工、焦化等“高污染、高环境风险产品”工业项目，原则上不增加产能。现有“高污染、高环境风险产品”工业项目持续削减污染物排放总量并严格控制环境风险。</w:t>
                  </w:r>
                </w:p>
                <w:p>
                  <w:pPr>
                    <w:pStyle w:val="5"/>
                    <w:keepNext w:val="0"/>
                    <w:keepLines w:val="0"/>
                    <w:pageBreakBefore w:val="0"/>
                    <w:widowControl w:val="0"/>
                    <w:kinsoku/>
                    <w:wordWrap w:val="0"/>
                    <w:overflowPunct/>
                    <w:topLinePunct w:val="0"/>
                    <w:autoSpaceDE/>
                    <w:autoSpaceDN/>
                    <w:bidi w:val="0"/>
                    <w:adjustRightInd/>
                    <w:snapToGrid/>
                    <w:spacing w:line="240" w:lineRule="auto"/>
                    <w:ind w:firstLine="0" w:firstLineChars="0"/>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3.推进新能源的开发和利用，鼓励发展风力发电和太阳能发电。</w:t>
                  </w:r>
                </w:p>
                <w:p>
                  <w:pPr>
                    <w:pStyle w:val="5"/>
                    <w:keepNext w:val="0"/>
                    <w:keepLines w:val="0"/>
                    <w:pageBreakBefore w:val="0"/>
                    <w:widowControl w:val="0"/>
                    <w:kinsoku/>
                    <w:wordWrap w:val="0"/>
                    <w:overflowPunct/>
                    <w:topLinePunct w:val="0"/>
                    <w:autoSpaceDE/>
                    <w:autoSpaceDN/>
                    <w:bidi w:val="0"/>
                    <w:adjustRightInd/>
                    <w:snapToGrid/>
                    <w:spacing w:line="240" w:lineRule="auto"/>
                    <w:ind w:firstLine="0" w:firstLineChars="0"/>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4.建立集镇居住商业区、耕地保护区与工业功能区等集聚区块之间的防护带。</w:t>
                  </w:r>
                </w:p>
                <w:p>
                  <w:pPr>
                    <w:pStyle w:val="5"/>
                    <w:keepNext w:val="0"/>
                    <w:keepLines w:val="0"/>
                    <w:pageBreakBefore w:val="0"/>
                    <w:widowControl w:val="0"/>
                    <w:kinsoku/>
                    <w:wordWrap w:val="0"/>
                    <w:overflowPunct/>
                    <w:topLinePunct w:val="0"/>
                    <w:autoSpaceDE/>
                    <w:autoSpaceDN/>
                    <w:bidi w:val="0"/>
                    <w:adjustRightInd/>
                    <w:snapToGrid/>
                    <w:spacing w:line="240" w:lineRule="auto"/>
                    <w:ind w:firstLine="0" w:firstLineChars="0"/>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5.严格执行畜禽养殖禁养区规定，根据区域用地和消纳水平，合理确定养殖规模。加强基本农田保护，严格限制非农项目占用耕地。</w:t>
                  </w:r>
                </w:p>
              </w:tc>
              <w:tc>
                <w:tcPr>
                  <w:tcW w:w="1955" w:type="dxa"/>
                  <w:tcBorders>
                    <w:tl2br w:val="nil"/>
                    <w:tr2bl w:val="nil"/>
                  </w:tcBorders>
                  <w:noWrap w:val="0"/>
                  <w:vAlign w:val="center"/>
                </w:tcPr>
                <w:p>
                  <w:pPr>
                    <w:pageBreakBefore w:val="0"/>
                    <w:wordWrap w:val="0"/>
                    <w:bidi w:val="0"/>
                    <w:spacing w:line="240" w:lineRule="auto"/>
                    <w:ind w:left="0" w:leftChars="0" w:firstLine="0" w:firstLineChars="0"/>
                    <w:rPr>
                      <w:rFonts w:hint="default" w:ascii="Times New Roman" w:hAnsi="Times New Roman" w:eastAsia="宋体" w:cs="Times New Roman"/>
                      <w:b w:val="0"/>
                      <w:bCs w:val="0"/>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本项目为非金属矿采选业，</w:t>
                  </w:r>
                  <w:r>
                    <w:rPr>
                      <w:rFonts w:hint="eastAsia" w:cs="Times New Roman"/>
                      <w:color w:val="auto"/>
                      <w:kern w:val="0"/>
                      <w:sz w:val="21"/>
                      <w:szCs w:val="21"/>
                      <w:vertAlign w:val="baseline"/>
                      <w:lang w:val="en-US" w:eastAsia="zh-CN"/>
                    </w:rPr>
                    <w:t>不</w:t>
                  </w:r>
                  <w:r>
                    <w:rPr>
                      <w:rFonts w:hint="default" w:ascii="Times New Roman" w:hAnsi="Times New Roman" w:eastAsia="宋体" w:cs="Times New Roman"/>
                      <w:color w:val="auto"/>
                      <w:kern w:val="0"/>
                      <w:sz w:val="21"/>
                      <w:szCs w:val="21"/>
                      <w:vertAlign w:val="baseline"/>
                      <w:lang w:val="en-US" w:eastAsia="zh-CN"/>
                    </w:rPr>
                    <w:t>涉及一类重金属、持久性有机污染物排放</w:t>
                  </w:r>
                  <w:r>
                    <w:rPr>
                      <w:rFonts w:hint="eastAsia" w:cs="Times New Roman"/>
                      <w:color w:val="auto"/>
                      <w:kern w:val="0"/>
                      <w:sz w:val="21"/>
                      <w:szCs w:val="21"/>
                      <w:vertAlign w:val="baseline"/>
                      <w:lang w:val="en-US" w:eastAsia="zh-CN"/>
                    </w:rPr>
                    <w:t>；不属于“</w:t>
                  </w:r>
                  <w:r>
                    <w:rPr>
                      <w:rFonts w:hint="default" w:ascii="Times New Roman" w:hAnsi="Times New Roman" w:eastAsia="宋体" w:cs="Times New Roman"/>
                      <w:color w:val="auto"/>
                      <w:kern w:val="0"/>
                      <w:sz w:val="21"/>
                      <w:szCs w:val="21"/>
                      <w:vertAlign w:val="baseline"/>
                      <w:lang w:val="en-US" w:eastAsia="zh-CN"/>
                    </w:rPr>
                    <w:t>高污染、高环境风险产品”工业项目</w:t>
                  </w:r>
                  <w:r>
                    <w:rPr>
                      <w:rFonts w:hint="eastAsia" w:cs="Times New Roman"/>
                      <w:color w:val="auto"/>
                      <w:kern w:val="0"/>
                      <w:sz w:val="21"/>
                      <w:szCs w:val="21"/>
                      <w:vertAlign w:val="baseline"/>
                      <w:lang w:val="en-US" w:eastAsia="zh-CN"/>
                    </w:rPr>
                    <w:t>。</w:t>
                  </w:r>
                </w:p>
              </w:tc>
              <w:tc>
                <w:tcPr>
                  <w:tcW w:w="714" w:type="pc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val="0"/>
                      <w:color w:val="auto"/>
                      <w:kern w:val="0"/>
                      <w:sz w:val="21"/>
                      <w:szCs w:val="21"/>
                      <w:vertAlign w:val="baseline"/>
                      <w:lang w:val="en-US" w:eastAsia="zh-CN"/>
                    </w:rPr>
                  </w:pPr>
                  <w:r>
                    <w:rPr>
                      <w:rFonts w:hint="default" w:ascii="Times New Roman" w:hAnsi="Times New Roman" w:eastAsia="宋体" w:cs="Times New Roman"/>
                      <w:b w:val="0"/>
                      <w:bCs w:val="0"/>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7" w:type="pc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val="0"/>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vertAlign w:val="baseline"/>
                      <w:lang w:val="en-US" w:eastAsia="zh-CN"/>
                      <w14:textFill>
                        <w14:solidFill>
                          <w14:schemeClr w14:val="tx1"/>
                        </w14:solidFill>
                      </w14:textFill>
                    </w:rPr>
                    <w:t>污染</w:t>
                  </w:r>
                </w:p>
                <w:p>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val="0"/>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vertAlign w:val="baseline"/>
                      <w:lang w:val="en-US" w:eastAsia="zh-CN"/>
                      <w14:textFill>
                        <w14:solidFill>
                          <w14:schemeClr w14:val="tx1"/>
                        </w14:solidFill>
                      </w14:textFill>
                    </w:rPr>
                    <w:t>物排</w:t>
                  </w:r>
                </w:p>
                <w:p>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val="0"/>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vertAlign w:val="baseline"/>
                      <w:lang w:val="en-US" w:eastAsia="zh-CN"/>
                      <w14:textFill>
                        <w14:solidFill>
                          <w14:schemeClr w14:val="tx1"/>
                        </w14:solidFill>
                      </w14:textFill>
                    </w:rPr>
                    <w:t>放管</w:t>
                  </w:r>
                </w:p>
                <w:p>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val="0"/>
                      <w:color w:val="FF0000"/>
                      <w:kern w:val="0"/>
                      <w:sz w:val="21"/>
                      <w:szCs w:val="21"/>
                      <w:vertAlign w:val="baseline"/>
                      <w:lang w:val="en-US" w:eastAsia="zh-CN"/>
                    </w:rPr>
                  </w:pPr>
                  <w:r>
                    <w:rPr>
                      <w:rFonts w:hint="default" w:ascii="Times New Roman" w:hAnsi="Times New Roman" w:eastAsia="宋体" w:cs="Times New Roman"/>
                      <w:b w:val="0"/>
                      <w:bCs w:val="0"/>
                      <w:color w:val="000000" w:themeColor="text1"/>
                      <w:kern w:val="0"/>
                      <w:sz w:val="21"/>
                      <w:szCs w:val="21"/>
                      <w:vertAlign w:val="baseline"/>
                      <w:lang w:val="en-US" w:eastAsia="zh-CN"/>
                      <w14:textFill>
                        <w14:solidFill>
                          <w14:schemeClr w14:val="tx1"/>
                        </w14:solidFill>
                      </w14:textFill>
                    </w:rPr>
                    <w:t>控</w:t>
                  </w:r>
                </w:p>
              </w:tc>
              <w:tc>
                <w:tcPr>
                  <w:tcW w:w="3016"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center"/>
                    <w:rPr>
                      <w:rFonts w:hint="default" w:ascii="Times New Roman" w:hAnsi="Times New Roman" w:eastAsia="宋体" w:cs="Times New Roman"/>
                      <w:b w:val="0"/>
                      <w:bCs/>
                      <w:color w:val="000000" w:themeColor="text1"/>
                      <w:sz w:val="21"/>
                      <w:szCs w:val="21"/>
                      <w:lang w:bidi="ar"/>
                      <w14:textFill>
                        <w14:solidFill>
                          <w14:schemeClr w14:val="tx1"/>
                        </w14:solidFill>
                      </w14:textFill>
                    </w:rPr>
                  </w:pPr>
                  <w:r>
                    <w:rPr>
                      <w:rFonts w:hint="default" w:ascii="Times New Roman" w:hAnsi="Times New Roman" w:eastAsia="宋体" w:cs="Times New Roman"/>
                      <w:b w:val="0"/>
                      <w:bCs/>
                      <w:color w:val="000000" w:themeColor="text1"/>
                      <w:sz w:val="21"/>
                      <w:szCs w:val="21"/>
                      <w:lang w:bidi="ar"/>
                      <w14:textFill>
                        <w14:solidFill>
                          <w14:schemeClr w14:val="tx1"/>
                        </w14:solidFill>
                      </w14:textFill>
                    </w:rPr>
                    <w:t>1.加强农业面源污染治理，科学合理使用化肥农药，逐步削减农业面源污染物排放量。</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center"/>
                    <w:rPr>
                      <w:rFonts w:hint="default" w:ascii="Times New Roman" w:hAnsi="Times New Roman" w:eastAsia="宋体" w:cs="Times New Roman"/>
                      <w:b w:val="0"/>
                      <w:bCs/>
                      <w:color w:val="FF0000"/>
                      <w:kern w:val="0"/>
                      <w:sz w:val="21"/>
                      <w:szCs w:val="21"/>
                      <w:vertAlign w:val="baseline"/>
                      <w:lang w:val="en-US" w:eastAsia="zh-CN"/>
                    </w:rPr>
                  </w:pPr>
                  <w:r>
                    <w:rPr>
                      <w:rFonts w:hint="default" w:ascii="Times New Roman" w:hAnsi="Times New Roman" w:eastAsia="宋体" w:cs="Times New Roman"/>
                      <w:b w:val="0"/>
                      <w:bCs/>
                      <w:color w:val="000000" w:themeColor="text1"/>
                      <w:sz w:val="21"/>
                      <w:szCs w:val="21"/>
                      <w:lang w:bidi="ar"/>
                      <w14:textFill>
                        <w14:solidFill>
                          <w14:schemeClr w14:val="tx1"/>
                        </w14:solidFill>
                      </w14:textFill>
                    </w:rPr>
                    <w:t>2.加强矿产资源开采的环境保护工作。</w:t>
                  </w:r>
                </w:p>
              </w:tc>
              <w:tc>
                <w:tcPr>
                  <w:tcW w:w="1955"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spacing w:line="240" w:lineRule="auto"/>
                    <w:ind w:firstLine="0" w:firstLineChars="0"/>
                    <w:jc w:val="both"/>
                    <w:textAlignment w:val="auto"/>
                    <w:rPr>
                      <w:rFonts w:hint="default" w:ascii="Times New Roman" w:hAnsi="Times New Roman" w:eastAsia="宋体" w:cs="Times New Roman"/>
                      <w:b w:val="0"/>
                      <w:bCs w:val="0"/>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本项目开采过程中制定严格的生态环境保护措施，加强对矿山的环境保护</w:t>
                  </w:r>
                  <w:r>
                    <w:rPr>
                      <w:rFonts w:hint="eastAsia" w:ascii="Times New Roman" w:hAnsi="Times New Roman" w:eastAsia="宋体" w:cs="Times New Roman"/>
                      <w:color w:val="auto"/>
                      <w:kern w:val="0"/>
                      <w:sz w:val="21"/>
                      <w:szCs w:val="21"/>
                      <w:vertAlign w:val="baseline"/>
                      <w:lang w:val="en-US" w:eastAsia="zh-CN"/>
                    </w:rPr>
                    <w:t>，</w:t>
                  </w:r>
                  <w:r>
                    <w:rPr>
                      <w:rFonts w:hint="default" w:ascii="Times New Roman" w:hAnsi="Times New Roman" w:eastAsia="宋体" w:cs="Times New Roman"/>
                      <w:color w:val="auto"/>
                      <w:kern w:val="0"/>
                      <w:sz w:val="21"/>
                      <w:szCs w:val="21"/>
                      <w:vertAlign w:val="baseline"/>
                      <w:lang w:val="en-US" w:eastAsia="zh-CN"/>
                    </w:rPr>
                    <w:t>因地制宜采取复垦利用、植树种草或者其它利用措施</w:t>
                  </w:r>
                  <w:r>
                    <w:rPr>
                      <w:rFonts w:hint="eastAsia" w:cs="Times New Roman"/>
                      <w:color w:val="auto"/>
                      <w:kern w:val="0"/>
                      <w:sz w:val="21"/>
                      <w:szCs w:val="21"/>
                      <w:vertAlign w:val="baseline"/>
                      <w:lang w:val="en-US" w:eastAsia="zh-CN"/>
                    </w:rPr>
                    <w:t>。</w:t>
                  </w:r>
                </w:p>
              </w:tc>
              <w:tc>
                <w:tcPr>
                  <w:tcW w:w="714" w:type="pc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val="0"/>
                      <w:color w:val="auto"/>
                      <w:kern w:val="0"/>
                      <w:sz w:val="21"/>
                      <w:szCs w:val="21"/>
                      <w:vertAlign w:val="baseline"/>
                      <w:lang w:val="en-US" w:eastAsia="zh-CN"/>
                    </w:rPr>
                  </w:pPr>
                  <w:r>
                    <w:rPr>
                      <w:rFonts w:hint="default" w:ascii="Times New Roman" w:hAnsi="Times New Roman" w:eastAsia="宋体" w:cs="Times New Roman"/>
                      <w:b w:val="0"/>
                      <w:bCs w:val="0"/>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7" w:type="pc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val="0"/>
                      <w:color w:val="auto"/>
                      <w:kern w:val="0"/>
                      <w:sz w:val="21"/>
                      <w:szCs w:val="21"/>
                      <w:vertAlign w:val="baseline"/>
                      <w:lang w:val="en-US" w:eastAsia="zh-CN"/>
                    </w:rPr>
                  </w:pPr>
                  <w:r>
                    <w:rPr>
                      <w:rFonts w:hint="default" w:ascii="Times New Roman" w:hAnsi="Times New Roman" w:eastAsia="宋体" w:cs="Times New Roman"/>
                      <w:b w:val="0"/>
                      <w:bCs w:val="0"/>
                      <w:color w:val="auto"/>
                      <w:kern w:val="0"/>
                      <w:sz w:val="21"/>
                      <w:szCs w:val="21"/>
                      <w:vertAlign w:val="baseline"/>
                      <w:lang w:val="en-US" w:eastAsia="zh-CN"/>
                    </w:rPr>
                    <w:t>环境风险防控</w:t>
                  </w:r>
                </w:p>
              </w:tc>
              <w:tc>
                <w:tcPr>
                  <w:tcW w:w="3016"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center"/>
                    <w:rPr>
                      <w:rFonts w:hint="default" w:ascii="Times New Roman" w:hAnsi="Times New Roman" w:eastAsia="宋体" w:cs="Times New Roman"/>
                      <w:b w:val="0"/>
                      <w:bCs/>
                      <w:color w:val="auto"/>
                      <w:kern w:val="0"/>
                      <w:sz w:val="21"/>
                      <w:szCs w:val="21"/>
                      <w:vertAlign w:val="baseline"/>
                      <w:lang w:val="en-US" w:eastAsia="zh-CN"/>
                    </w:rPr>
                  </w:pPr>
                  <w:r>
                    <w:rPr>
                      <w:rFonts w:hint="default" w:ascii="Times New Roman" w:hAnsi="Times New Roman" w:eastAsia="宋体" w:cs="Times New Roman"/>
                      <w:b w:val="0"/>
                      <w:bCs/>
                      <w:color w:val="000000" w:themeColor="text1"/>
                      <w:sz w:val="21"/>
                      <w:szCs w:val="21"/>
                      <w:lang w:bidi="ar"/>
                      <w14:textFill>
                        <w14:solidFill>
                          <w14:schemeClr w14:val="tx1"/>
                        </w14:solidFill>
                      </w14:textFill>
                    </w:rPr>
                    <w:t>禁止向农用地排放重金属或者其他有毒有害物质含量超标的污水、污泥，以及可能造成土壤污染的尾矿、矿渣等。加强农田土壤、灌溉水的监测及评价，对周边或区域环境风险源进行评估。</w:t>
                  </w:r>
                </w:p>
              </w:tc>
              <w:tc>
                <w:tcPr>
                  <w:tcW w:w="1955" w:type="dxa"/>
                  <w:tcBorders>
                    <w:tl2br w:val="nil"/>
                    <w:tr2bl w:val="nil"/>
                  </w:tcBorders>
                  <w:noWrap w:val="0"/>
                  <w:vAlign w:val="center"/>
                </w:tcPr>
                <w:p>
                  <w:pPr>
                    <w:keepNext w:val="0"/>
                    <w:keepLines w:val="0"/>
                    <w:pageBreakBefore w:val="0"/>
                    <w:widowControl/>
                    <w:suppressLineNumbers w:val="0"/>
                    <w:wordWrap w:val="0"/>
                    <w:bidi w:val="0"/>
                    <w:spacing w:line="240" w:lineRule="auto"/>
                    <w:ind w:firstLine="0" w:firstLineChars="0"/>
                    <w:jc w:val="both"/>
                    <w:rPr>
                      <w:rFonts w:hint="default" w:ascii="Times New Roman" w:hAnsi="Times New Roman" w:eastAsia="宋体" w:cs="Times New Roman"/>
                      <w:b w:val="0"/>
                      <w:bCs w:val="0"/>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本项目</w:t>
                  </w:r>
                  <w:r>
                    <w:rPr>
                      <w:rFonts w:hint="eastAsia" w:cs="Times New Roman"/>
                      <w:color w:val="auto"/>
                      <w:kern w:val="0"/>
                      <w:sz w:val="21"/>
                      <w:szCs w:val="21"/>
                      <w:vertAlign w:val="baseline"/>
                      <w:lang w:val="en-US" w:eastAsia="zh-CN"/>
                    </w:rPr>
                    <w:t>不涉及</w:t>
                  </w:r>
                  <w:r>
                    <w:rPr>
                      <w:rFonts w:hint="default" w:ascii="Times New Roman" w:hAnsi="Times New Roman" w:eastAsia="宋体" w:cs="Times New Roman"/>
                      <w:color w:val="auto"/>
                      <w:kern w:val="0"/>
                      <w:sz w:val="21"/>
                      <w:szCs w:val="21"/>
                      <w:vertAlign w:val="baseline"/>
                      <w:lang w:val="en-US" w:eastAsia="zh-CN"/>
                    </w:rPr>
                    <w:t>重金属或者其他有毒有害物质含量超标的污水、污泥以及可能造成土壤污染的尾矿、矿渣等。</w:t>
                  </w:r>
                </w:p>
              </w:tc>
              <w:tc>
                <w:tcPr>
                  <w:tcW w:w="714" w:type="pc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val="0"/>
                      <w:color w:val="auto"/>
                      <w:kern w:val="0"/>
                      <w:sz w:val="21"/>
                      <w:szCs w:val="21"/>
                      <w:vertAlign w:val="baseline"/>
                      <w:lang w:val="en-US" w:eastAsia="zh-CN"/>
                    </w:rPr>
                  </w:pPr>
                  <w:r>
                    <w:rPr>
                      <w:rFonts w:hint="default" w:ascii="Times New Roman" w:hAnsi="Times New Roman" w:eastAsia="宋体" w:cs="Times New Roman"/>
                      <w:b w:val="0"/>
                      <w:bCs w:val="0"/>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7" w:type="pc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val="0"/>
                      <w:color w:val="auto"/>
                      <w:kern w:val="0"/>
                      <w:sz w:val="21"/>
                      <w:szCs w:val="21"/>
                      <w:vertAlign w:val="baseline"/>
                      <w:lang w:val="en-US" w:eastAsia="zh-CN"/>
                    </w:rPr>
                  </w:pPr>
                  <w:r>
                    <w:rPr>
                      <w:rFonts w:hint="default" w:ascii="Times New Roman" w:hAnsi="Times New Roman" w:eastAsia="宋体" w:cs="Times New Roman"/>
                      <w:b w:val="0"/>
                      <w:bCs w:val="0"/>
                      <w:color w:val="auto"/>
                      <w:kern w:val="0"/>
                      <w:sz w:val="21"/>
                      <w:szCs w:val="21"/>
                      <w:vertAlign w:val="baseline"/>
                      <w:lang w:val="en-US" w:eastAsia="zh-CN"/>
                    </w:rPr>
                    <w:t>资源利用效率要求</w:t>
                  </w:r>
                </w:p>
              </w:tc>
              <w:tc>
                <w:tcPr>
                  <w:tcW w:w="2248" w:type="pc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color w:val="auto"/>
                      <w:kern w:val="0"/>
                      <w:sz w:val="21"/>
                      <w:szCs w:val="21"/>
                      <w:vertAlign w:val="baseline"/>
                      <w:lang w:val="en-US" w:eastAsia="zh-CN"/>
                    </w:rPr>
                  </w:pPr>
                  <w:r>
                    <w:rPr>
                      <w:rFonts w:hint="default" w:ascii="Times New Roman" w:hAnsi="Times New Roman" w:eastAsia="宋体" w:cs="Times New Roman"/>
                      <w:b w:val="0"/>
                      <w:bCs/>
                      <w:color w:val="000000" w:themeColor="text1"/>
                      <w:sz w:val="21"/>
                      <w:szCs w:val="21"/>
                      <w:lang w:bidi="ar"/>
                      <w14:textFill>
                        <w14:solidFill>
                          <w14:schemeClr w14:val="tx1"/>
                        </w14:solidFill>
                      </w14:textFill>
                    </w:rPr>
                    <w:t>实行水资源消耗总量和强度双控，推进农业节水，提高农业用水效率。优化能源结构，加强能源清洁利用</w:t>
                  </w:r>
                  <w:r>
                    <w:rPr>
                      <w:rFonts w:hint="default" w:ascii="Times New Roman" w:hAnsi="Times New Roman" w:eastAsia="宋体" w:cs="Times New Roman"/>
                      <w:b w:val="0"/>
                      <w:bCs/>
                      <w:color w:val="000000" w:themeColor="text1"/>
                      <w:sz w:val="21"/>
                      <w:szCs w:val="21"/>
                      <w:lang w:eastAsia="zh-CN" w:bidi="ar"/>
                      <w14:textFill>
                        <w14:solidFill>
                          <w14:schemeClr w14:val="tx1"/>
                        </w14:solidFill>
                      </w14:textFill>
                    </w:rPr>
                    <w:t>。</w:t>
                  </w:r>
                </w:p>
              </w:tc>
              <w:tc>
                <w:tcPr>
                  <w:tcW w:w="1955" w:type="dxa"/>
                  <w:tcBorders>
                    <w:tl2br w:val="nil"/>
                    <w:tr2bl w:val="nil"/>
                  </w:tcBorders>
                  <w:noWrap w:val="0"/>
                  <w:vAlign w:val="center"/>
                </w:tcPr>
                <w:p>
                  <w:pPr>
                    <w:pageBreakBefore w:val="0"/>
                    <w:wordWrap w:val="0"/>
                    <w:bidi w:val="0"/>
                    <w:spacing w:line="240" w:lineRule="auto"/>
                    <w:ind w:firstLine="0" w:firstLineChars="0"/>
                    <w:jc w:val="both"/>
                    <w:rPr>
                      <w:rFonts w:hint="default" w:ascii="Times New Roman" w:hAnsi="Times New Roman" w:eastAsia="宋体" w:cs="Times New Roman"/>
                      <w:b w:val="0"/>
                      <w:bCs w:val="0"/>
                      <w:color w:val="auto"/>
                      <w:kern w:val="0"/>
                      <w:sz w:val="21"/>
                      <w:szCs w:val="21"/>
                      <w:vertAlign w:val="baseline"/>
                      <w:lang w:val="en-US" w:eastAsia="zh-CN"/>
                    </w:rPr>
                  </w:pPr>
                  <w:r>
                    <w:rPr>
                      <w:rFonts w:hint="eastAsia" w:ascii="Times New Roman" w:hAnsi="Times New Roman" w:eastAsia="宋体" w:cs="Times New Roman"/>
                      <w:color w:val="auto"/>
                      <w:kern w:val="0"/>
                      <w:sz w:val="21"/>
                      <w:szCs w:val="21"/>
                      <w:vertAlign w:val="baseline"/>
                      <w:lang w:val="en-US" w:eastAsia="zh-CN"/>
                    </w:rPr>
                    <w:t>本项目</w:t>
                  </w:r>
                  <w:r>
                    <w:rPr>
                      <w:rFonts w:hint="default" w:ascii="Times New Roman" w:hAnsi="Times New Roman" w:cs="Times New Roman"/>
                      <w:b w:val="0"/>
                      <w:color w:val="auto"/>
                      <w:kern w:val="2"/>
                      <w:sz w:val="21"/>
                      <w:szCs w:val="21"/>
                      <w:lang w:val="en-US" w:eastAsia="zh-CN" w:bidi="ar-SA"/>
                    </w:rPr>
                    <w:t>生产废水经三级沉淀池沉淀后全部回用，不外排；食堂废水经隔油处理后与其他生活污水</w:t>
                  </w:r>
                  <w:r>
                    <w:rPr>
                      <w:rFonts w:hint="eastAsia" w:ascii="Times New Roman" w:hAnsi="Times New Roman" w:cs="Times New Roman"/>
                      <w:b w:val="0"/>
                      <w:color w:val="auto"/>
                      <w:kern w:val="2"/>
                      <w:sz w:val="21"/>
                      <w:szCs w:val="21"/>
                      <w:lang w:val="en-US" w:eastAsia="zh-CN" w:bidi="ar-SA"/>
                    </w:rPr>
                    <w:t>通过</w:t>
                  </w:r>
                  <w:r>
                    <w:rPr>
                      <w:rFonts w:hint="default" w:ascii="Times New Roman" w:hAnsi="Times New Roman" w:cs="Times New Roman"/>
                      <w:b w:val="0"/>
                      <w:color w:val="auto"/>
                      <w:kern w:val="2"/>
                      <w:sz w:val="21"/>
                      <w:szCs w:val="21"/>
                      <w:lang w:val="en-US" w:eastAsia="zh-CN" w:bidi="ar-SA"/>
                    </w:rPr>
                    <w:t>地埋式一体化污水处理设施处理后用于场地洒水抑尘</w:t>
                  </w:r>
                  <w:r>
                    <w:rPr>
                      <w:rFonts w:hint="eastAsia" w:ascii="Times New Roman" w:hAnsi="Times New Roman" w:eastAsia="宋体" w:cs="Times New Roman"/>
                      <w:color w:val="auto"/>
                      <w:kern w:val="0"/>
                      <w:sz w:val="21"/>
                      <w:szCs w:val="21"/>
                      <w:vertAlign w:val="baseline"/>
                      <w:lang w:val="en-US" w:eastAsia="zh-CN"/>
                    </w:rPr>
                    <w:t>。</w:t>
                  </w:r>
                </w:p>
              </w:tc>
              <w:tc>
                <w:tcPr>
                  <w:tcW w:w="714" w:type="pc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val="0"/>
                      <w:color w:val="auto"/>
                      <w:kern w:val="0"/>
                      <w:sz w:val="21"/>
                      <w:szCs w:val="21"/>
                      <w:vertAlign w:val="baseline"/>
                      <w:lang w:val="en-US" w:eastAsia="zh-CN"/>
                    </w:rPr>
                  </w:pPr>
                  <w:r>
                    <w:rPr>
                      <w:rFonts w:hint="default" w:ascii="Times New Roman" w:hAnsi="Times New Roman" w:eastAsia="宋体" w:cs="Times New Roman"/>
                      <w:b w:val="0"/>
                      <w:bCs w:val="0"/>
                      <w:color w:val="auto"/>
                      <w:kern w:val="0"/>
                      <w:sz w:val="21"/>
                      <w:szCs w:val="21"/>
                      <w:vertAlign w:val="baseline"/>
                      <w:lang w:val="en-US" w:eastAsia="zh-CN"/>
                    </w:rPr>
                    <w:t>符合</w:t>
                  </w:r>
                </w:p>
              </w:tc>
            </w:tr>
          </w:tbl>
          <w:p>
            <w:pPr>
              <w:spacing w:line="360" w:lineRule="auto"/>
              <w:ind w:firstLine="480"/>
              <w:rPr>
                <w:rFonts w:hint="eastAsia"/>
                <w:color w:val="auto"/>
              </w:rPr>
            </w:pPr>
            <w:r>
              <w:rPr>
                <w:rFonts w:ascii="Times New Roman" w:hAnsi="Times New Roman"/>
                <w:b w:val="0"/>
                <w:bCs w:val="0"/>
                <w:color w:val="auto"/>
                <w:szCs w:val="21"/>
                <w:highlight w:val="none"/>
              </w:rPr>
              <w:t>综上所述，本项目的建设符合“</w:t>
            </w:r>
            <w:r>
              <w:rPr>
                <w:rFonts w:hint="eastAsia" w:ascii="Times New Roman" w:hAnsi="Times New Roman"/>
                <w:b w:val="0"/>
                <w:bCs w:val="0"/>
                <w:color w:val="auto"/>
                <w:szCs w:val="21"/>
                <w:highlight w:val="none"/>
              </w:rPr>
              <w:t>吐鲁番市生态环境分区管控成果动态更新情况说明</w:t>
            </w:r>
            <w:r>
              <w:rPr>
                <w:rFonts w:ascii="Times New Roman" w:hAnsi="Times New Roman"/>
                <w:b w:val="0"/>
                <w:bCs w:val="0"/>
                <w:color w:val="auto"/>
                <w:szCs w:val="21"/>
                <w:highlight w:val="none"/>
              </w:rPr>
              <w:t>”的要求。</w:t>
            </w:r>
          </w:p>
          <w:p>
            <w:pPr>
              <w:keepNext w:val="0"/>
              <w:keepLines w:val="0"/>
              <w:widowControl/>
              <w:numPr>
                <w:ilvl w:val="0"/>
                <w:numId w:val="0"/>
              </w:numPr>
              <w:suppressLineNumbers w:val="0"/>
              <w:spacing w:line="360" w:lineRule="auto"/>
              <w:ind w:leftChars="0"/>
              <w:jc w:val="left"/>
            </w:pPr>
            <w:r>
              <w:rPr>
                <w:rFonts w:hint="eastAsia" w:cstheme="minorBidi"/>
                <w:b/>
                <w:bCs/>
                <w:kern w:val="2"/>
                <w:sz w:val="24"/>
                <w:szCs w:val="24"/>
                <w:lang w:val="en-US" w:eastAsia="zh-CN" w:bidi="ar-SA"/>
              </w:rPr>
              <w:t>3.</w:t>
            </w:r>
            <w:r>
              <w:rPr>
                <w:rFonts w:hint="eastAsia" w:ascii="Times New Roman" w:hAnsi="Times New Roman" w:eastAsia="宋体" w:cstheme="minorBidi"/>
                <w:b/>
                <w:bCs/>
                <w:kern w:val="2"/>
                <w:sz w:val="24"/>
                <w:szCs w:val="24"/>
                <w:lang w:val="en-US" w:eastAsia="zh-CN" w:bidi="ar-SA"/>
              </w:rPr>
              <w:t>与《矿山生态环境保护与污染防治技术政策》</w:t>
            </w:r>
            <w:r>
              <w:rPr>
                <w:rFonts w:hint="eastAsia" w:cstheme="minorBidi"/>
                <w:b/>
                <w:bCs/>
                <w:kern w:val="2"/>
                <w:sz w:val="24"/>
                <w:szCs w:val="24"/>
                <w:lang w:val="en-US" w:eastAsia="zh-CN" w:bidi="ar-SA"/>
              </w:rPr>
              <w:t>（环发</w:t>
            </w:r>
            <w:r>
              <w:rPr>
                <w:rFonts w:hint="default" w:ascii="Times New Roman" w:hAnsi="Times New Roman" w:eastAsia="宋体" w:cstheme="minorBidi"/>
                <w:b/>
                <w:bCs/>
                <w:kern w:val="2"/>
                <w:sz w:val="24"/>
                <w:szCs w:val="24"/>
                <w:lang w:val="en-US" w:eastAsia="zh-CN" w:bidi="ar-SA"/>
              </w:rPr>
              <w:t>〔20</w:t>
            </w:r>
            <w:r>
              <w:rPr>
                <w:rFonts w:hint="eastAsia" w:ascii="Times New Roman" w:hAnsi="Times New Roman" w:eastAsia="宋体" w:cstheme="minorBidi"/>
                <w:b/>
                <w:bCs/>
                <w:kern w:val="2"/>
                <w:sz w:val="24"/>
                <w:szCs w:val="24"/>
                <w:lang w:val="en-US" w:eastAsia="zh-CN" w:bidi="ar-SA"/>
              </w:rPr>
              <w:t>05</w:t>
            </w:r>
            <w:r>
              <w:rPr>
                <w:rFonts w:hint="default" w:ascii="Times New Roman" w:hAnsi="Times New Roman" w:eastAsia="宋体" w:cstheme="minorBidi"/>
                <w:b/>
                <w:bCs/>
                <w:kern w:val="2"/>
                <w:sz w:val="24"/>
                <w:szCs w:val="24"/>
                <w:lang w:val="en-US" w:eastAsia="zh-CN" w:bidi="ar-SA"/>
              </w:rPr>
              <w:t>〕</w:t>
            </w:r>
            <w:r>
              <w:rPr>
                <w:rFonts w:hint="eastAsia" w:cstheme="minorBidi"/>
                <w:b/>
                <w:bCs/>
                <w:kern w:val="2"/>
                <w:sz w:val="24"/>
                <w:szCs w:val="24"/>
                <w:lang w:val="en-US" w:eastAsia="zh-CN" w:bidi="ar-SA"/>
              </w:rPr>
              <w:t>109号）</w:t>
            </w:r>
            <w:r>
              <w:rPr>
                <w:rFonts w:hint="eastAsia" w:ascii="Times New Roman" w:hAnsi="Times New Roman" w:eastAsia="宋体" w:cstheme="minorBidi"/>
                <w:b/>
                <w:bCs/>
                <w:kern w:val="2"/>
                <w:sz w:val="24"/>
                <w:szCs w:val="24"/>
                <w:lang w:val="en-US" w:eastAsia="zh-CN" w:bidi="ar-SA"/>
              </w:rPr>
              <w:t>符合性分析</w:t>
            </w:r>
            <w:r>
              <w:rPr>
                <w:rFonts w:ascii="仿宋_GB2312" w:hAnsi="仿宋_GB2312" w:eastAsia="仿宋_GB2312" w:cs="仿宋_GB2312"/>
                <w:b/>
                <w:bCs/>
                <w:color w:val="000000"/>
                <w:kern w:val="0"/>
                <w:sz w:val="28"/>
                <w:szCs w:val="28"/>
                <w:lang w:val="en-US" w:eastAsia="zh-CN" w:bidi="ar"/>
              </w:rPr>
              <w:t xml:space="preserve"> </w:t>
            </w:r>
          </w:p>
          <w:p>
            <w:pPr>
              <w:spacing w:line="240" w:lineRule="auto"/>
              <w:ind w:firstLine="480"/>
              <w:jc w:val="center"/>
              <w:rPr>
                <w:rFonts w:hint="default" w:ascii="Times New Roman" w:hAnsi="Times New Roman" w:eastAsia="宋体" w:cstheme="minorBidi"/>
                <w:b/>
                <w:bCs w:val="0"/>
                <w:kern w:val="2"/>
                <w:sz w:val="21"/>
                <w:szCs w:val="21"/>
                <w:lang w:val="en-US" w:eastAsia="zh-CN" w:bidi="ar-SA"/>
              </w:rPr>
            </w:pPr>
            <w:r>
              <w:rPr>
                <w:rFonts w:hint="eastAsia" w:cstheme="minorBidi"/>
                <w:b/>
                <w:bCs w:val="0"/>
                <w:kern w:val="2"/>
                <w:sz w:val="21"/>
                <w:szCs w:val="21"/>
                <w:lang w:val="en-US" w:eastAsia="zh-CN" w:bidi="ar-SA"/>
              </w:rPr>
              <w:t>表1-4  项目与《矿山生态环境保护与污染防治技术政策》（环发</w:t>
            </w:r>
            <w:r>
              <w:rPr>
                <w:rFonts w:hint="default" w:ascii="Times New Roman" w:hAnsi="Times New Roman" w:eastAsia="宋体" w:cstheme="minorBidi"/>
                <w:b/>
                <w:bCs/>
                <w:kern w:val="2"/>
                <w:sz w:val="24"/>
                <w:szCs w:val="24"/>
                <w:lang w:val="en-US" w:eastAsia="zh-CN" w:bidi="ar-SA"/>
              </w:rPr>
              <w:t>〔20</w:t>
            </w:r>
            <w:r>
              <w:rPr>
                <w:rFonts w:hint="eastAsia" w:ascii="Times New Roman" w:hAnsi="Times New Roman" w:eastAsia="宋体" w:cstheme="minorBidi"/>
                <w:b/>
                <w:bCs/>
                <w:kern w:val="2"/>
                <w:sz w:val="24"/>
                <w:szCs w:val="24"/>
                <w:lang w:val="en-US" w:eastAsia="zh-CN" w:bidi="ar-SA"/>
              </w:rPr>
              <w:t>05</w:t>
            </w:r>
            <w:r>
              <w:rPr>
                <w:rFonts w:hint="default" w:ascii="Times New Roman" w:hAnsi="Times New Roman" w:eastAsia="宋体" w:cstheme="minorBidi"/>
                <w:b/>
                <w:bCs/>
                <w:kern w:val="2"/>
                <w:sz w:val="24"/>
                <w:szCs w:val="24"/>
                <w:lang w:val="en-US" w:eastAsia="zh-CN" w:bidi="ar-SA"/>
              </w:rPr>
              <w:t>〕</w:t>
            </w:r>
            <w:r>
              <w:rPr>
                <w:rFonts w:hint="eastAsia" w:ascii="Times New Roman" w:hAnsi="Times New Roman" w:eastAsia="宋体" w:cstheme="minorBidi"/>
                <w:b/>
                <w:bCs/>
                <w:kern w:val="2"/>
                <w:sz w:val="24"/>
                <w:szCs w:val="24"/>
                <w:lang w:val="en-US" w:eastAsia="zh-CN" w:bidi="ar-SA"/>
              </w:rPr>
              <w:t>10</w:t>
            </w:r>
            <w:r>
              <w:rPr>
                <w:rFonts w:hint="eastAsia" w:cstheme="minorBidi"/>
                <w:b/>
                <w:bCs w:val="0"/>
                <w:kern w:val="2"/>
                <w:sz w:val="21"/>
                <w:szCs w:val="21"/>
                <w:lang w:val="en-US" w:eastAsia="zh-CN" w:bidi="ar-SA"/>
              </w:rPr>
              <w:t>9号）符合性分析</w:t>
            </w:r>
          </w:p>
          <w:tbl>
            <w:tblPr>
              <w:tblStyle w:val="2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2936"/>
              <w:gridCol w:w="2515"/>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8" w:type="pct"/>
                  <w:vAlign w:val="center"/>
                </w:tcPr>
                <w:p>
                  <w:pPr>
                    <w:spacing w:line="240" w:lineRule="auto"/>
                    <w:ind w:firstLine="0" w:firstLineChars="0"/>
                    <w:jc w:val="center"/>
                    <w:rPr>
                      <w:rFonts w:hint="eastAsia" w:ascii="Times New Roman" w:hAnsi="Times New Roman" w:eastAsia="宋体" w:cstheme="minorBidi"/>
                      <w:b/>
                      <w:bCs w:val="0"/>
                      <w:kern w:val="44"/>
                      <w:sz w:val="21"/>
                      <w:szCs w:val="24"/>
                      <w:lang w:val="en-US" w:eastAsia="zh-CN" w:bidi="ar-SA"/>
                    </w:rPr>
                  </w:pPr>
                  <w:r>
                    <w:rPr>
                      <w:rFonts w:hint="eastAsia" w:ascii="Times New Roman" w:hAnsi="Times New Roman" w:eastAsia="宋体" w:cstheme="minorBidi"/>
                      <w:b/>
                      <w:bCs w:val="0"/>
                      <w:kern w:val="44"/>
                      <w:sz w:val="21"/>
                      <w:szCs w:val="24"/>
                      <w:lang w:val="en-US" w:eastAsia="zh-CN" w:bidi="ar-SA"/>
                    </w:rPr>
                    <w:t>序号</w:t>
                  </w:r>
                </w:p>
              </w:tc>
              <w:tc>
                <w:tcPr>
                  <w:tcW w:w="2183" w:type="pct"/>
                  <w:vAlign w:val="center"/>
                </w:tcPr>
                <w:p>
                  <w:pPr>
                    <w:spacing w:line="240" w:lineRule="auto"/>
                    <w:ind w:firstLine="0" w:firstLineChars="0"/>
                    <w:jc w:val="center"/>
                    <w:rPr>
                      <w:rFonts w:hint="eastAsia" w:ascii="Times New Roman" w:hAnsi="Times New Roman" w:eastAsia="宋体" w:cstheme="minorBidi"/>
                      <w:b/>
                      <w:bCs w:val="0"/>
                      <w:kern w:val="44"/>
                      <w:sz w:val="21"/>
                      <w:szCs w:val="24"/>
                      <w:lang w:val="en-US" w:eastAsia="zh-CN" w:bidi="ar-SA"/>
                    </w:rPr>
                  </w:pPr>
                  <w:r>
                    <w:rPr>
                      <w:rFonts w:hint="eastAsia" w:ascii="Times New Roman" w:hAnsi="Times New Roman" w:eastAsia="宋体" w:cstheme="minorBidi"/>
                      <w:b/>
                      <w:bCs w:val="0"/>
                      <w:kern w:val="44"/>
                      <w:sz w:val="21"/>
                      <w:szCs w:val="24"/>
                      <w:lang w:val="en-US" w:eastAsia="zh-CN" w:bidi="ar-SA"/>
                    </w:rPr>
                    <w:t>具体要求</w:t>
                  </w:r>
                </w:p>
              </w:tc>
              <w:tc>
                <w:tcPr>
                  <w:tcW w:w="1869" w:type="pct"/>
                  <w:vAlign w:val="center"/>
                </w:tcPr>
                <w:p>
                  <w:pPr>
                    <w:spacing w:line="240" w:lineRule="auto"/>
                    <w:ind w:firstLine="0" w:firstLineChars="0"/>
                    <w:jc w:val="center"/>
                    <w:rPr>
                      <w:rFonts w:hint="eastAsia" w:ascii="Times New Roman" w:hAnsi="Times New Roman" w:eastAsia="宋体" w:cstheme="minorBidi"/>
                      <w:b/>
                      <w:bCs w:val="0"/>
                      <w:kern w:val="44"/>
                      <w:sz w:val="21"/>
                      <w:szCs w:val="24"/>
                      <w:lang w:val="en-US" w:eastAsia="zh-CN" w:bidi="ar-SA"/>
                    </w:rPr>
                  </w:pPr>
                  <w:r>
                    <w:rPr>
                      <w:rFonts w:hint="eastAsia" w:ascii="Times New Roman" w:hAnsi="Times New Roman" w:eastAsia="宋体" w:cstheme="minorBidi"/>
                      <w:b/>
                      <w:bCs w:val="0"/>
                      <w:kern w:val="44"/>
                      <w:sz w:val="21"/>
                      <w:szCs w:val="24"/>
                      <w:lang w:val="en-US" w:eastAsia="zh-CN" w:bidi="ar-SA"/>
                    </w:rPr>
                    <w:t>本项</w:t>
                  </w:r>
                  <w:bookmarkStart w:id="27" w:name="_GoBack"/>
                  <w:bookmarkEnd w:id="27"/>
                  <w:r>
                    <w:rPr>
                      <w:rFonts w:hint="eastAsia" w:ascii="Times New Roman" w:hAnsi="Times New Roman" w:eastAsia="宋体" w:cstheme="minorBidi"/>
                      <w:b/>
                      <w:bCs w:val="0"/>
                      <w:kern w:val="44"/>
                      <w:sz w:val="21"/>
                      <w:szCs w:val="24"/>
                      <w:lang w:val="en-US" w:eastAsia="zh-CN" w:bidi="ar-SA"/>
                    </w:rPr>
                    <w:t>目</w:t>
                  </w:r>
                </w:p>
              </w:tc>
              <w:tc>
                <w:tcPr>
                  <w:tcW w:w="548" w:type="pct"/>
                  <w:vAlign w:val="center"/>
                </w:tcPr>
                <w:p>
                  <w:pPr>
                    <w:spacing w:line="240" w:lineRule="auto"/>
                    <w:ind w:firstLine="0" w:firstLineChars="0"/>
                    <w:jc w:val="center"/>
                    <w:rPr>
                      <w:rFonts w:hint="eastAsia" w:ascii="Times New Roman" w:hAnsi="Times New Roman" w:eastAsia="宋体" w:cstheme="minorBidi"/>
                      <w:b/>
                      <w:bCs w:val="0"/>
                      <w:kern w:val="44"/>
                      <w:sz w:val="21"/>
                      <w:szCs w:val="24"/>
                      <w:lang w:val="en-US" w:eastAsia="zh-CN" w:bidi="ar-SA"/>
                    </w:rPr>
                  </w:pPr>
                  <w:r>
                    <w:rPr>
                      <w:rFonts w:hint="eastAsia" w:ascii="Times New Roman" w:hAnsi="Times New Roman" w:eastAsia="宋体" w:cstheme="minorBidi"/>
                      <w:b/>
                      <w:bCs w:val="0"/>
                      <w:kern w:val="44"/>
                      <w:sz w:val="21"/>
                      <w:szCs w:val="24"/>
                      <w:lang w:val="en-US" w:eastAsia="zh-CN" w:bidi="ar-SA"/>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8" w:type="pct"/>
                  <w:vAlign w:val="center"/>
                </w:tcPr>
                <w:p>
                  <w:pPr>
                    <w:spacing w:line="240" w:lineRule="auto"/>
                    <w:ind w:firstLine="0" w:firstLineChars="0"/>
                    <w:jc w:val="center"/>
                    <w:rPr>
                      <w:rFonts w:hint="default"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1</w:t>
                  </w:r>
                </w:p>
              </w:tc>
              <w:tc>
                <w:tcPr>
                  <w:tcW w:w="2183" w:type="pct"/>
                  <w:vAlign w:val="center"/>
                </w:tcPr>
                <w:p>
                  <w:pPr>
                    <w:spacing w:line="240" w:lineRule="auto"/>
                    <w:ind w:firstLine="0" w:firstLineChars="0"/>
                    <w:jc w:val="center"/>
                    <w:rPr>
                      <w:rFonts w:hint="eastAsia"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禁止在依法划定的自然保护区（核心区、缓冲区）、风景名胜区、森林公园、饮用水水源保护区、重要湖泊周边、文物古迹所在地、地质遗迹保护区、基本农田保护区等区域内采矿</w:t>
                  </w:r>
                </w:p>
              </w:tc>
              <w:tc>
                <w:tcPr>
                  <w:tcW w:w="1869" w:type="pct"/>
                  <w:vAlign w:val="center"/>
                </w:tcPr>
                <w:p>
                  <w:pPr>
                    <w:spacing w:line="240" w:lineRule="auto"/>
                    <w:ind w:firstLine="0" w:firstLineChars="0"/>
                    <w:jc w:val="center"/>
                    <w:rPr>
                      <w:rFonts w:hint="eastAsia" w:ascii="Times New Roman" w:hAnsi="Times New Roman" w:eastAsia="宋体" w:cstheme="minorBidi"/>
                      <w:b w:val="0"/>
                      <w:bCs/>
                      <w:kern w:val="44"/>
                      <w:sz w:val="21"/>
                      <w:szCs w:val="24"/>
                      <w:lang w:val="en-US" w:eastAsia="zh-CN" w:bidi="ar-SA"/>
                    </w:rPr>
                  </w:pPr>
                  <w:r>
                    <w:rPr>
                      <w:rFonts w:hint="eastAsia" w:cstheme="minorBidi"/>
                      <w:b w:val="0"/>
                      <w:bCs/>
                      <w:kern w:val="44"/>
                      <w:sz w:val="21"/>
                      <w:szCs w:val="24"/>
                      <w:lang w:val="en-US" w:eastAsia="zh-CN" w:bidi="ar-SA"/>
                    </w:rPr>
                    <w:t>本项目</w:t>
                  </w:r>
                  <w:r>
                    <w:rPr>
                      <w:rFonts w:hint="eastAsia" w:ascii="Times New Roman" w:hAnsi="Times New Roman" w:eastAsia="宋体" w:cstheme="minorBidi"/>
                      <w:b w:val="0"/>
                      <w:bCs/>
                      <w:kern w:val="44"/>
                      <w:sz w:val="21"/>
                      <w:szCs w:val="24"/>
                      <w:lang w:val="en-US" w:eastAsia="zh-CN" w:bidi="ar-SA"/>
                    </w:rPr>
                    <w:t>矿区不在风景名胜区内，评价区域内无国家和省级保护野生动物、植物及古树名木，项目评价范围内没有学校、医院、特殊文物保护单位和水源保护区等环境敏感点。</w:t>
                  </w:r>
                </w:p>
              </w:tc>
              <w:tc>
                <w:tcPr>
                  <w:tcW w:w="548" w:type="pct"/>
                  <w:vAlign w:val="center"/>
                </w:tcPr>
                <w:p>
                  <w:pPr>
                    <w:spacing w:line="240" w:lineRule="auto"/>
                    <w:ind w:firstLine="0" w:firstLineChars="0"/>
                    <w:jc w:val="center"/>
                    <w:rPr>
                      <w:rFonts w:hint="eastAsia"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8" w:type="pct"/>
                  <w:vAlign w:val="center"/>
                </w:tcPr>
                <w:p>
                  <w:pPr>
                    <w:spacing w:line="240" w:lineRule="auto"/>
                    <w:ind w:firstLine="0" w:firstLineChars="0"/>
                    <w:jc w:val="center"/>
                    <w:rPr>
                      <w:rFonts w:hint="default"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2</w:t>
                  </w:r>
                </w:p>
              </w:tc>
              <w:tc>
                <w:tcPr>
                  <w:tcW w:w="2183" w:type="pct"/>
                  <w:vAlign w:val="center"/>
                </w:tcPr>
                <w:p>
                  <w:pPr>
                    <w:spacing w:line="240" w:lineRule="auto"/>
                    <w:ind w:firstLine="0" w:firstLineChars="0"/>
                    <w:jc w:val="center"/>
                    <w:rPr>
                      <w:rFonts w:hint="eastAsia"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禁止在铁路、国道、省道两侧的直观可视范围内进行露天开采</w:t>
                  </w:r>
                </w:p>
              </w:tc>
              <w:tc>
                <w:tcPr>
                  <w:tcW w:w="1869" w:type="pct"/>
                  <w:vAlign w:val="center"/>
                </w:tcPr>
                <w:p>
                  <w:pPr>
                    <w:spacing w:line="240" w:lineRule="auto"/>
                    <w:ind w:firstLine="0" w:firstLineChars="0"/>
                    <w:jc w:val="center"/>
                    <w:rPr>
                      <w:rFonts w:hint="eastAsia"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本项目不在铁路、国道、省道两侧的直观可视范围内进行露天开采</w:t>
                  </w:r>
                </w:p>
              </w:tc>
              <w:tc>
                <w:tcPr>
                  <w:tcW w:w="548" w:type="pct"/>
                  <w:vAlign w:val="center"/>
                </w:tcPr>
                <w:p>
                  <w:pPr>
                    <w:spacing w:line="240" w:lineRule="auto"/>
                    <w:ind w:firstLine="0" w:firstLineChars="0"/>
                    <w:jc w:val="center"/>
                    <w:rPr>
                      <w:rFonts w:hint="eastAsia"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8" w:type="pct"/>
                  <w:vAlign w:val="center"/>
                </w:tcPr>
                <w:p>
                  <w:pPr>
                    <w:spacing w:line="240" w:lineRule="auto"/>
                    <w:ind w:firstLine="0" w:firstLineChars="0"/>
                    <w:jc w:val="center"/>
                    <w:rPr>
                      <w:rFonts w:hint="default"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3</w:t>
                  </w:r>
                </w:p>
              </w:tc>
              <w:tc>
                <w:tcPr>
                  <w:tcW w:w="2183" w:type="pct"/>
                  <w:vAlign w:val="center"/>
                </w:tcPr>
                <w:p>
                  <w:pPr>
                    <w:spacing w:line="240" w:lineRule="auto"/>
                    <w:ind w:firstLine="0" w:firstLineChars="0"/>
                    <w:jc w:val="center"/>
                    <w:rPr>
                      <w:rFonts w:hint="eastAsia"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禁止在地质灾害危险区开采矿产资源</w:t>
                  </w:r>
                </w:p>
              </w:tc>
              <w:tc>
                <w:tcPr>
                  <w:tcW w:w="1869" w:type="pct"/>
                  <w:vAlign w:val="center"/>
                </w:tcPr>
                <w:p>
                  <w:pPr>
                    <w:spacing w:line="240" w:lineRule="auto"/>
                    <w:ind w:firstLine="0" w:firstLineChars="0"/>
                    <w:jc w:val="center"/>
                    <w:rPr>
                      <w:rFonts w:hint="eastAsia"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本项目开采区域不属于地质灾害危险区开采矿产资源</w:t>
                  </w:r>
                </w:p>
              </w:tc>
              <w:tc>
                <w:tcPr>
                  <w:tcW w:w="548" w:type="pct"/>
                  <w:vAlign w:val="center"/>
                </w:tcPr>
                <w:p>
                  <w:pPr>
                    <w:spacing w:line="240" w:lineRule="auto"/>
                    <w:ind w:firstLine="0" w:firstLineChars="0"/>
                    <w:jc w:val="center"/>
                    <w:rPr>
                      <w:rFonts w:hint="eastAsia"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8" w:type="pct"/>
                  <w:vAlign w:val="center"/>
                </w:tcPr>
                <w:p>
                  <w:pPr>
                    <w:spacing w:line="240" w:lineRule="auto"/>
                    <w:ind w:firstLine="0" w:firstLineChars="0"/>
                    <w:jc w:val="center"/>
                    <w:rPr>
                      <w:rFonts w:hint="default"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4</w:t>
                  </w:r>
                </w:p>
              </w:tc>
              <w:tc>
                <w:tcPr>
                  <w:tcW w:w="2183" w:type="pct"/>
                  <w:vAlign w:val="center"/>
                </w:tcPr>
                <w:p>
                  <w:pPr>
                    <w:spacing w:line="240" w:lineRule="auto"/>
                    <w:ind w:firstLine="0" w:firstLineChars="0"/>
                    <w:jc w:val="center"/>
                    <w:rPr>
                      <w:rFonts w:hint="eastAsia"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禁止新建对生态环境产生不可恢复利用的、产生破坏性影响的矿产资源开发项目</w:t>
                  </w:r>
                </w:p>
              </w:tc>
              <w:tc>
                <w:tcPr>
                  <w:tcW w:w="1869" w:type="pct"/>
                  <w:vAlign w:val="center"/>
                </w:tcPr>
                <w:p>
                  <w:pPr>
                    <w:spacing w:line="240" w:lineRule="auto"/>
                    <w:ind w:firstLine="0" w:firstLineChars="0"/>
                    <w:jc w:val="center"/>
                    <w:rPr>
                      <w:rFonts w:hint="default"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本项目开采完成后由建设单位进行生态恢复</w:t>
                  </w:r>
                </w:p>
              </w:tc>
              <w:tc>
                <w:tcPr>
                  <w:tcW w:w="548" w:type="pct"/>
                  <w:vAlign w:val="center"/>
                </w:tcPr>
                <w:p>
                  <w:pPr>
                    <w:spacing w:line="240" w:lineRule="auto"/>
                    <w:ind w:firstLine="0" w:firstLineChars="0"/>
                    <w:jc w:val="center"/>
                    <w:rPr>
                      <w:rFonts w:hint="eastAsia"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符合</w:t>
                  </w:r>
                </w:p>
              </w:tc>
            </w:tr>
          </w:tbl>
          <w:p>
            <w:pPr>
              <w:spacing w:line="360" w:lineRule="auto"/>
              <w:ind w:left="0" w:leftChars="0" w:firstLine="0" w:firstLineChars="0"/>
              <w:rPr>
                <w:rFonts w:hint="default" w:ascii="Times New Roman" w:hAnsi="Times New Roman" w:eastAsia="宋体" w:cstheme="minorBidi"/>
                <w:b/>
                <w:bCs w:val="0"/>
                <w:kern w:val="2"/>
                <w:sz w:val="24"/>
                <w:szCs w:val="24"/>
                <w:lang w:val="en-US" w:eastAsia="zh-CN" w:bidi="ar-SA"/>
              </w:rPr>
            </w:pPr>
            <w:r>
              <w:rPr>
                <w:rFonts w:hint="eastAsia" w:ascii="Times New Roman" w:hAnsi="Times New Roman" w:eastAsia="宋体" w:cstheme="minorBidi"/>
                <w:b/>
                <w:bCs/>
                <w:kern w:val="2"/>
                <w:sz w:val="24"/>
                <w:szCs w:val="24"/>
                <w:lang w:val="en-US" w:eastAsia="zh-CN" w:bidi="ar-SA"/>
              </w:rPr>
              <w:t>4</w:t>
            </w:r>
            <w:r>
              <w:rPr>
                <w:rFonts w:hint="eastAsia" w:cstheme="minorBidi"/>
                <w:b/>
                <w:bCs/>
                <w:kern w:val="2"/>
                <w:sz w:val="24"/>
                <w:szCs w:val="24"/>
                <w:lang w:val="en-US" w:eastAsia="zh-CN" w:bidi="ar-SA"/>
              </w:rPr>
              <w:t>.</w:t>
            </w:r>
            <w:r>
              <w:rPr>
                <w:rFonts w:hint="eastAsia" w:ascii="Times New Roman" w:hAnsi="Times New Roman" w:eastAsia="宋体" w:cstheme="minorBidi"/>
                <w:b/>
                <w:bCs/>
                <w:kern w:val="2"/>
                <w:sz w:val="24"/>
                <w:szCs w:val="24"/>
                <w:lang w:val="en-US" w:eastAsia="zh-CN" w:bidi="ar-SA"/>
              </w:rPr>
              <w:t>与《新疆维吾尔自治区大气污染防治条例》符合性分析</w:t>
            </w:r>
          </w:p>
          <w:p>
            <w:pPr>
              <w:bidi w:val="0"/>
              <w:spacing w:line="360" w:lineRule="auto"/>
              <w:rPr>
                <w:rFonts w:hint="eastAsia"/>
                <w:lang w:val="en-US" w:eastAsia="zh-CN"/>
              </w:rPr>
            </w:pPr>
            <w:r>
              <w:rPr>
                <w:rFonts w:hint="eastAsia"/>
                <w:lang w:val="en-US" w:eastAsia="zh-CN"/>
              </w:rPr>
              <w:t>本项目运营期大气主要污染为粉尘，对照《新疆维吾尔自治区大气污染防治条例》中“第三章防治措施”中的“第四节扬尘污染防治”符合性分析见表1-6。</w:t>
            </w:r>
          </w:p>
          <w:p>
            <w:pPr>
              <w:pStyle w:val="16"/>
              <w:spacing w:line="240" w:lineRule="auto"/>
              <w:ind w:left="0" w:leftChars="0" w:firstLine="0" w:firstLineChars="0"/>
              <w:jc w:val="center"/>
              <w:rPr>
                <w:rFonts w:hint="default"/>
                <w:b/>
                <w:bCs/>
                <w:sz w:val="21"/>
                <w:szCs w:val="21"/>
                <w:lang w:val="en-US" w:eastAsia="zh-CN"/>
              </w:rPr>
            </w:pPr>
            <w:r>
              <w:rPr>
                <w:rFonts w:hint="eastAsia"/>
                <w:b/>
                <w:bCs/>
                <w:sz w:val="21"/>
                <w:szCs w:val="21"/>
                <w:lang w:val="en-US" w:eastAsia="zh-CN"/>
              </w:rPr>
              <w:t xml:space="preserve">表1-5  </w:t>
            </w:r>
            <w:r>
              <w:rPr>
                <w:rFonts w:hint="eastAsia" w:ascii="Times New Roman" w:hAnsi="Times New Roman" w:eastAsia="宋体" w:cstheme="minorBidi"/>
                <w:b/>
                <w:bCs/>
                <w:kern w:val="2"/>
                <w:sz w:val="21"/>
                <w:szCs w:val="21"/>
                <w:lang w:val="en-US" w:eastAsia="zh-CN" w:bidi="ar-SA"/>
              </w:rPr>
              <w:t>与《新疆维吾尔自治区大气污染防治条例》符合性分析</w:t>
            </w:r>
          </w:p>
          <w:tbl>
            <w:tblPr>
              <w:tblStyle w:val="2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3096"/>
              <w:gridCol w:w="2472"/>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vAlign w:val="center"/>
                </w:tcPr>
                <w:p>
                  <w:pPr>
                    <w:spacing w:line="240" w:lineRule="auto"/>
                    <w:ind w:firstLine="0" w:firstLineChars="0"/>
                    <w:jc w:val="center"/>
                    <w:rPr>
                      <w:rFonts w:hint="eastAsia" w:ascii="Times New Roman" w:hAnsi="Times New Roman" w:eastAsia="宋体" w:cstheme="minorBidi"/>
                      <w:b/>
                      <w:bCs w:val="0"/>
                      <w:kern w:val="44"/>
                      <w:sz w:val="21"/>
                      <w:szCs w:val="24"/>
                      <w:lang w:val="en-US" w:eastAsia="zh-CN" w:bidi="ar-SA"/>
                    </w:rPr>
                  </w:pPr>
                  <w:r>
                    <w:rPr>
                      <w:rFonts w:hint="eastAsia" w:ascii="Times New Roman" w:hAnsi="Times New Roman" w:eastAsia="宋体" w:cstheme="minorBidi"/>
                      <w:b/>
                      <w:bCs w:val="0"/>
                      <w:kern w:val="44"/>
                      <w:sz w:val="21"/>
                      <w:szCs w:val="24"/>
                      <w:lang w:val="en-US" w:eastAsia="zh-CN" w:bidi="ar-SA"/>
                    </w:rPr>
                    <w:t>序号</w:t>
                  </w:r>
                </w:p>
              </w:tc>
              <w:tc>
                <w:tcPr>
                  <w:tcW w:w="2300" w:type="pct"/>
                  <w:vAlign w:val="center"/>
                </w:tcPr>
                <w:p>
                  <w:pPr>
                    <w:spacing w:line="240" w:lineRule="auto"/>
                    <w:ind w:firstLine="0" w:firstLineChars="0"/>
                    <w:jc w:val="center"/>
                    <w:rPr>
                      <w:rFonts w:hint="eastAsia" w:ascii="Times New Roman" w:hAnsi="Times New Roman" w:eastAsia="宋体" w:cstheme="minorBidi"/>
                      <w:b/>
                      <w:bCs w:val="0"/>
                      <w:kern w:val="44"/>
                      <w:sz w:val="21"/>
                      <w:szCs w:val="24"/>
                      <w:lang w:val="en-US" w:eastAsia="zh-CN" w:bidi="ar-SA"/>
                    </w:rPr>
                  </w:pPr>
                  <w:r>
                    <w:rPr>
                      <w:rFonts w:hint="eastAsia" w:ascii="Times New Roman" w:hAnsi="Times New Roman" w:eastAsia="宋体" w:cstheme="minorBidi"/>
                      <w:b/>
                      <w:bCs w:val="0"/>
                      <w:kern w:val="44"/>
                      <w:sz w:val="21"/>
                      <w:szCs w:val="24"/>
                      <w:lang w:val="en-US" w:eastAsia="zh-CN" w:bidi="ar-SA"/>
                    </w:rPr>
                    <w:t>具体要求</w:t>
                  </w:r>
                </w:p>
              </w:tc>
              <w:tc>
                <w:tcPr>
                  <w:tcW w:w="1838" w:type="pct"/>
                  <w:vAlign w:val="center"/>
                </w:tcPr>
                <w:p>
                  <w:pPr>
                    <w:spacing w:line="240" w:lineRule="auto"/>
                    <w:ind w:firstLine="0" w:firstLineChars="0"/>
                    <w:jc w:val="center"/>
                    <w:rPr>
                      <w:rFonts w:hint="eastAsia" w:ascii="Times New Roman" w:hAnsi="Times New Roman" w:eastAsia="宋体" w:cstheme="minorBidi"/>
                      <w:b/>
                      <w:bCs w:val="0"/>
                      <w:kern w:val="44"/>
                      <w:sz w:val="21"/>
                      <w:szCs w:val="24"/>
                      <w:lang w:val="en-US" w:eastAsia="zh-CN" w:bidi="ar-SA"/>
                    </w:rPr>
                  </w:pPr>
                  <w:r>
                    <w:rPr>
                      <w:rFonts w:hint="eastAsia" w:ascii="Times New Roman" w:hAnsi="Times New Roman" w:eastAsia="宋体" w:cstheme="minorBidi"/>
                      <w:b/>
                      <w:bCs w:val="0"/>
                      <w:kern w:val="44"/>
                      <w:sz w:val="21"/>
                      <w:szCs w:val="24"/>
                      <w:lang w:val="en-US" w:eastAsia="zh-CN" w:bidi="ar-SA"/>
                    </w:rPr>
                    <w:t>本项目</w:t>
                  </w:r>
                </w:p>
              </w:tc>
              <w:tc>
                <w:tcPr>
                  <w:tcW w:w="548" w:type="pct"/>
                  <w:vAlign w:val="center"/>
                </w:tcPr>
                <w:p>
                  <w:pPr>
                    <w:spacing w:line="240" w:lineRule="auto"/>
                    <w:ind w:firstLine="0" w:firstLineChars="0"/>
                    <w:jc w:val="center"/>
                    <w:rPr>
                      <w:rFonts w:hint="eastAsia" w:ascii="Times New Roman" w:hAnsi="Times New Roman" w:eastAsia="宋体" w:cstheme="minorBidi"/>
                      <w:b/>
                      <w:bCs w:val="0"/>
                      <w:kern w:val="44"/>
                      <w:sz w:val="21"/>
                      <w:szCs w:val="24"/>
                      <w:lang w:val="en-US" w:eastAsia="zh-CN" w:bidi="ar-SA"/>
                    </w:rPr>
                  </w:pPr>
                  <w:r>
                    <w:rPr>
                      <w:rFonts w:hint="eastAsia" w:ascii="Times New Roman" w:hAnsi="Times New Roman" w:eastAsia="宋体" w:cstheme="minorBidi"/>
                      <w:b/>
                      <w:bCs w:val="0"/>
                      <w:kern w:val="44"/>
                      <w:sz w:val="21"/>
                      <w:szCs w:val="24"/>
                      <w:lang w:val="en-US" w:eastAsia="zh-CN" w:bidi="ar-SA"/>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vAlign w:val="center"/>
                </w:tcPr>
                <w:p>
                  <w:pPr>
                    <w:spacing w:line="240" w:lineRule="auto"/>
                    <w:ind w:firstLine="0" w:firstLineChars="0"/>
                    <w:jc w:val="center"/>
                    <w:rPr>
                      <w:rFonts w:hint="default"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1</w:t>
                  </w:r>
                </w:p>
              </w:tc>
              <w:tc>
                <w:tcPr>
                  <w:tcW w:w="2300" w:type="pct"/>
                  <w:vAlign w:val="center"/>
                </w:tcPr>
                <w:p>
                  <w:pPr>
                    <w:spacing w:line="240" w:lineRule="auto"/>
                    <w:ind w:firstLine="0" w:firstLineChars="0"/>
                    <w:jc w:val="center"/>
                    <w:rPr>
                      <w:rFonts w:hint="eastAsia"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第三十七条各级人民政府应当加强对建设施工、矿产资源开采、物料运输的扬尘和沙尘污染的治理，保持道路清洁、控制料堆和渣土堆放，科学合理扩大绿地、水面、湿地、地面铺装和防风固沙绿化面积，防治扬尘污染。</w:t>
                  </w:r>
                </w:p>
              </w:tc>
              <w:tc>
                <w:tcPr>
                  <w:tcW w:w="1838" w:type="pct"/>
                  <w:vAlign w:val="center"/>
                </w:tcPr>
                <w:p>
                  <w:pPr>
                    <w:spacing w:line="240" w:lineRule="auto"/>
                    <w:ind w:firstLine="0" w:firstLineChars="0"/>
                    <w:jc w:val="center"/>
                    <w:rPr>
                      <w:rFonts w:hint="eastAsia"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环评要求对开采、运输等过程扬尘进行喷洒降尘、运输车辆篷布遮盖等大气污染治理。</w:t>
                  </w:r>
                </w:p>
              </w:tc>
              <w:tc>
                <w:tcPr>
                  <w:tcW w:w="548" w:type="pct"/>
                  <w:vAlign w:val="center"/>
                </w:tcPr>
                <w:p>
                  <w:pPr>
                    <w:spacing w:line="240" w:lineRule="auto"/>
                    <w:ind w:firstLine="0" w:firstLineChars="0"/>
                    <w:jc w:val="center"/>
                    <w:rPr>
                      <w:rFonts w:hint="eastAsia"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vAlign w:val="center"/>
                </w:tcPr>
                <w:p>
                  <w:pPr>
                    <w:spacing w:line="240" w:lineRule="auto"/>
                    <w:ind w:firstLine="0" w:firstLineChars="0"/>
                    <w:jc w:val="center"/>
                    <w:rPr>
                      <w:rFonts w:hint="default"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2</w:t>
                  </w:r>
                </w:p>
              </w:tc>
              <w:tc>
                <w:tcPr>
                  <w:tcW w:w="2300" w:type="pct"/>
                  <w:vAlign w:val="center"/>
                </w:tcPr>
                <w:p>
                  <w:pPr>
                    <w:spacing w:line="240" w:lineRule="auto"/>
                    <w:ind w:firstLine="0" w:firstLineChars="0"/>
                    <w:jc w:val="center"/>
                    <w:rPr>
                      <w:rFonts w:hint="eastAsia"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第三十九条运输、处置建筑垃圾，应当经工程所在地的县（市、区）人民政府确定的监督管理部门同意，按照规定的运输时间、路线和要求清运到指定的场所处理；在场地内堆存的，应当有效覆盖。</w:t>
                  </w:r>
                </w:p>
              </w:tc>
              <w:tc>
                <w:tcPr>
                  <w:tcW w:w="1838" w:type="pct"/>
                  <w:vAlign w:val="center"/>
                </w:tcPr>
                <w:p>
                  <w:pPr>
                    <w:spacing w:line="240" w:lineRule="auto"/>
                    <w:ind w:firstLine="0" w:firstLineChars="0"/>
                    <w:jc w:val="center"/>
                    <w:rPr>
                      <w:rFonts w:hint="eastAsia"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施工单位承诺运输、处置建筑垃圾按当地管理要求；场地堆存物料加盖篷布。</w:t>
                  </w:r>
                </w:p>
              </w:tc>
              <w:tc>
                <w:tcPr>
                  <w:tcW w:w="548" w:type="pct"/>
                  <w:vAlign w:val="center"/>
                </w:tcPr>
                <w:p>
                  <w:pPr>
                    <w:spacing w:line="240" w:lineRule="auto"/>
                    <w:ind w:firstLine="0" w:firstLineChars="0"/>
                    <w:jc w:val="center"/>
                    <w:rPr>
                      <w:rFonts w:hint="eastAsia"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vAlign w:val="center"/>
                </w:tcPr>
                <w:p>
                  <w:pPr>
                    <w:spacing w:line="240" w:lineRule="auto"/>
                    <w:ind w:firstLine="0" w:firstLineChars="0"/>
                    <w:jc w:val="center"/>
                    <w:rPr>
                      <w:rFonts w:hint="default"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3</w:t>
                  </w:r>
                </w:p>
              </w:tc>
              <w:tc>
                <w:tcPr>
                  <w:tcW w:w="2300" w:type="pct"/>
                  <w:vAlign w:val="center"/>
                </w:tcPr>
                <w:p>
                  <w:pPr>
                    <w:spacing w:line="240" w:lineRule="auto"/>
                    <w:ind w:firstLine="0" w:firstLineChars="0"/>
                    <w:jc w:val="center"/>
                    <w:rPr>
                      <w:rFonts w:hint="eastAsia"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第四十三条贮存易产生扬尘的煤炭、煤矸石、煤渣、煤灰、水泥、石灰、石膏、砂土等物料的堆场应当密闭；不能密闭的，贮存单位或者个人应当采取下列防尘措施：（一）堆场的场坪、路面应当进行硬化处理，并保持路面整洁；（二）堆场周边应当配备高于堆存物料的围挡、防风抑尘网等设施；（三）按照物料类别采取相应的覆盖、喷淋和围挡等防风抑尘措施。露天装卸物料应当采取密闭或者喷淋等抑尘措施；输送的物料应当在装料、卸料处配备吸尘、喷淋等防尘设施。</w:t>
                  </w:r>
                </w:p>
              </w:tc>
              <w:tc>
                <w:tcPr>
                  <w:tcW w:w="1838" w:type="pct"/>
                  <w:vAlign w:val="center"/>
                </w:tcPr>
                <w:p>
                  <w:pPr>
                    <w:spacing w:line="240" w:lineRule="auto"/>
                    <w:ind w:firstLine="0" w:firstLineChars="0"/>
                    <w:jc w:val="center"/>
                    <w:rPr>
                      <w:rFonts w:hint="eastAsia"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堆料场：洒水保湿，防尘网苫盖；装卸粉尘：喷洒降尘，加强管理，规范作业等。本项目对筛分工序采取密闭。</w:t>
                  </w:r>
                </w:p>
              </w:tc>
              <w:tc>
                <w:tcPr>
                  <w:tcW w:w="548" w:type="pct"/>
                  <w:vAlign w:val="center"/>
                </w:tcPr>
                <w:p>
                  <w:pPr>
                    <w:spacing w:line="240" w:lineRule="auto"/>
                    <w:ind w:firstLine="0" w:firstLineChars="0"/>
                    <w:jc w:val="center"/>
                    <w:rPr>
                      <w:rFonts w:hint="eastAsia"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vAlign w:val="center"/>
                </w:tcPr>
                <w:p>
                  <w:pPr>
                    <w:spacing w:line="240" w:lineRule="auto"/>
                    <w:ind w:firstLine="0" w:firstLineChars="0"/>
                    <w:jc w:val="center"/>
                    <w:rPr>
                      <w:rFonts w:hint="default"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4</w:t>
                  </w:r>
                </w:p>
              </w:tc>
              <w:tc>
                <w:tcPr>
                  <w:tcW w:w="2300" w:type="pct"/>
                  <w:vAlign w:val="center"/>
                </w:tcPr>
                <w:p>
                  <w:pPr>
                    <w:spacing w:line="240" w:lineRule="auto"/>
                    <w:ind w:firstLine="0" w:firstLineChars="0"/>
                    <w:jc w:val="center"/>
                    <w:rPr>
                      <w:rFonts w:hint="eastAsia" w:ascii="Times New Roman" w:hAnsi="Times New Roman" w:eastAsia="宋体" w:cstheme="minorBidi"/>
                      <w:b w:val="0"/>
                      <w:bCs/>
                      <w:kern w:val="44"/>
                      <w:sz w:val="21"/>
                      <w:szCs w:val="24"/>
                      <w:lang w:val="en-US" w:eastAsia="zh-CN" w:bidi="ar-SA"/>
                    </w:rPr>
                  </w:pPr>
                  <w:r>
                    <w:rPr>
                      <w:rFonts w:ascii="sans-serif" w:hAnsi="sans-serif" w:eastAsia="sans-serif" w:cs="sans-serif"/>
                      <w:i w:val="0"/>
                      <w:iCs w:val="0"/>
                      <w:caps w:val="0"/>
                      <w:spacing w:val="0"/>
                      <w:sz w:val="21"/>
                      <w:szCs w:val="21"/>
                      <w:shd w:val="clear" w:fill="FFFFFF"/>
                    </w:rPr>
                    <w:t>第四十四条矿山开采产生的废石、废渣、泥</w:t>
                  </w:r>
                  <w:r>
                    <w:rPr>
                      <w:rFonts w:hint="eastAsia" w:ascii="sans-serif" w:hAnsi="sans-serif" w:eastAsia="sans-serif" w:cs="sans-serif"/>
                      <w:i w:val="0"/>
                      <w:iCs w:val="0"/>
                      <w:caps w:val="0"/>
                      <w:spacing w:val="0"/>
                      <w:sz w:val="21"/>
                      <w:szCs w:val="21"/>
                      <w:shd w:val="clear" w:fill="FFFFFF"/>
                    </w:rPr>
                    <w:t>土等应当堆放到专门存放地，并采取围挡、设置防尘网或者防尘布等防尘措施；施工便道应当硬化。在采石、采砂和其他矿产资源开采过程中，或者在停办、关闭矿山前，采矿权人应当整修被损坏的道路和露天采矿场的边坡、断面，恢复原有地貌，并按照规定处置矿山开采废弃物，防止扬尘污染。</w:t>
                  </w:r>
                </w:p>
              </w:tc>
              <w:tc>
                <w:tcPr>
                  <w:tcW w:w="1838" w:type="pct"/>
                  <w:vAlign w:val="center"/>
                </w:tcPr>
                <w:p>
                  <w:pPr>
                    <w:spacing w:line="240" w:lineRule="auto"/>
                    <w:ind w:firstLine="0" w:firstLineChars="0"/>
                    <w:jc w:val="center"/>
                    <w:rPr>
                      <w:rFonts w:hint="default" w:ascii="Times New Roman" w:hAnsi="Times New Roman" w:eastAsia="宋体" w:cstheme="minorBidi"/>
                      <w:b w:val="0"/>
                      <w:bCs/>
                      <w:kern w:val="44"/>
                      <w:sz w:val="21"/>
                      <w:szCs w:val="24"/>
                      <w:lang w:val="en-US" w:eastAsia="zh-CN" w:bidi="ar-SA"/>
                    </w:rPr>
                  </w:pPr>
                  <w:r>
                    <w:rPr>
                      <w:rFonts w:ascii="sans-serif" w:hAnsi="sans-serif" w:eastAsia="sans-serif" w:cs="sans-serif"/>
                      <w:i w:val="0"/>
                      <w:iCs w:val="0"/>
                      <w:caps w:val="0"/>
                      <w:spacing w:val="0"/>
                      <w:sz w:val="21"/>
                      <w:szCs w:val="21"/>
                      <w:shd w:val="clear" w:fill="FFFFFF"/>
                    </w:rPr>
                    <w:t>堆料场：洒水保湿</w:t>
                  </w:r>
                  <w:r>
                    <w:rPr>
                      <w:rFonts w:hint="eastAsia" w:ascii="sans-serif" w:hAnsi="sans-serif" w:eastAsia="sans-serif" w:cs="sans-serif"/>
                      <w:i w:val="0"/>
                      <w:iCs w:val="0"/>
                      <w:caps w:val="0"/>
                      <w:spacing w:val="0"/>
                      <w:sz w:val="21"/>
                      <w:szCs w:val="21"/>
                      <w:shd w:val="clear" w:fill="FFFFFF"/>
                    </w:rPr>
                    <w:t>，防尘网苫盖；筛选废砂石闭矿期用于采坑回填整治及土地复垦，并按要求编制矿产资源开发利用与生态保护修复方案。</w:t>
                  </w:r>
                </w:p>
              </w:tc>
              <w:tc>
                <w:tcPr>
                  <w:tcW w:w="548" w:type="pct"/>
                  <w:vAlign w:val="center"/>
                </w:tcPr>
                <w:p>
                  <w:pPr>
                    <w:spacing w:line="240" w:lineRule="auto"/>
                    <w:ind w:firstLine="0" w:firstLineChars="0"/>
                    <w:jc w:val="center"/>
                    <w:rPr>
                      <w:rFonts w:hint="eastAsia"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符合</w:t>
                  </w:r>
                </w:p>
              </w:tc>
            </w:tr>
          </w:tbl>
          <w:p>
            <w:pPr>
              <w:pStyle w:val="16"/>
              <w:spacing w:line="240" w:lineRule="auto"/>
              <w:ind w:left="0" w:leftChars="0" w:firstLine="0" w:firstLineChars="0"/>
              <w:rPr>
                <w:rFonts w:hint="eastAsia"/>
                <w:b/>
                <w:bCs/>
                <w:sz w:val="24"/>
                <w:szCs w:val="24"/>
                <w:lang w:val="en-US" w:eastAsia="zh-CN"/>
              </w:rPr>
            </w:pPr>
            <w:r>
              <w:rPr>
                <w:rFonts w:hint="eastAsia"/>
                <w:b/>
                <w:bCs/>
                <w:sz w:val="24"/>
                <w:szCs w:val="24"/>
                <w:lang w:val="en-US" w:eastAsia="zh-CN"/>
              </w:rPr>
              <w:t>5.与《自然资源部关于规范和完善砂石开采管理的通知》符合性分析</w:t>
            </w:r>
          </w:p>
          <w:p>
            <w:pPr>
              <w:pStyle w:val="16"/>
              <w:spacing w:line="360" w:lineRule="auto"/>
              <w:rPr>
                <w:rFonts w:hint="eastAsia" w:ascii="Times New Roman" w:hAnsi="Times New Roman" w:eastAsia="宋体" w:cstheme="minorBidi"/>
                <w:bCs/>
                <w:kern w:val="2"/>
                <w:sz w:val="24"/>
                <w:szCs w:val="24"/>
                <w:lang w:val="en-US" w:eastAsia="zh-CN" w:bidi="ar-SA"/>
              </w:rPr>
            </w:pPr>
            <w:r>
              <w:rPr>
                <w:rFonts w:hint="eastAsia" w:ascii="Times New Roman" w:hAnsi="Times New Roman" w:eastAsia="宋体" w:cstheme="minorBidi"/>
                <w:bCs/>
                <w:kern w:val="2"/>
                <w:sz w:val="24"/>
                <w:szCs w:val="24"/>
                <w:lang w:val="en-US" w:eastAsia="zh-CN" w:bidi="ar-SA"/>
              </w:rPr>
              <w:t xml:space="preserve">参照自然资源部2023年4月10日发布的《自然资源部关于规范和完善砂石开采管理的通知》提出“非砂石类生产矿山在其矿区范围内按照矿山设计或开发利用方案，矿山剥离、井巷开拓、选矿产生的砂石料，应优先供该矿山井巷填充、修复治理及工程建设等综合利用，利用后仍有剩余的，由所在地的自然资源主管部门报县级以上地方人民政府组织纳入公共资源交易平台处置”、“绿色矿山建设要求应纳入采矿权出让公告，并在采矿权出让合同中明确绿色矿山创建要求和违约责任。新建砂石矿山应按绿色矿山标准要求建设，正在生产的矿山应积极推进绿色矿山建设，明确改进期限，逐步达到绿色矿山要求。矿山企业应当认真履行矿山生态保护修复义务，将生态保护修复贯穿采矿活动全过程”。   </w:t>
            </w:r>
          </w:p>
          <w:p>
            <w:pPr>
              <w:pStyle w:val="16"/>
              <w:spacing w:line="360" w:lineRule="auto"/>
              <w:rPr>
                <w:rFonts w:hint="eastAsia" w:ascii="Times New Roman" w:hAnsi="Times New Roman" w:eastAsia="宋体" w:cstheme="minorBidi"/>
                <w:bCs/>
                <w:kern w:val="2"/>
                <w:sz w:val="24"/>
                <w:szCs w:val="24"/>
                <w:lang w:val="en-US" w:eastAsia="zh-CN" w:bidi="ar-SA"/>
              </w:rPr>
            </w:pPr>
            <w:r>
              <w:rPr>
                <w:rFonts w:hint="eastAsia" w:ascii="Times New Roman" w:hAnsi="Times New Roman" w:eastAsia="宋体" w:cstheme="minorBidi"/>
                <w:bCs/>
                <w:kern w:val="2"/>
                <w:sz w:val="24"/>
                <w:szCs w:val="24"/>
                <w:lang w:val="en-US" w:eastAsia="zh-CN" w:bidi="ar-SA"/>
              </w:rPr>
              <w:t>本项目为建筑</w:t>
            </w:r>
            <w:r>
              <w:rPr>
                <w:rFonts w:hint="eastAsia" w:cstheme="minorBidi"/>
                <w:bCs/>
                <w:kern w:val="2"/>
                <w:sz w:val="24"/>
                <w:szCs w:val="24"/>
                <w:lang w:val="en-US" w:eastAsia="zh-CN" w:bidi="ar-SA"/>
              </w:rPr>
              <w:t>用砂</w:t>
            </w:r>
            <w:r>
              <w:rPr>
                <w:rFonts w:hint="eastAsia" w:ascii="Times New Roman" w:hAnsi="Times New Roman" w:eastAsia="宋体" w:cstheme="minorBidi"/>
                <w:bCs/>
                <w:kern w:val="2"/>
                <w:sz w:val="24"/>
                <w:szCs w:val="24"/>
                <w:lang w:val="en-US" w:eastAsia="zh-CN" w:bidi="ar-SA"/>
              </w:rPr>
              <w:t>开采，</w:t>
            </w:r>
            <w:r>
              <w:rPr>
                <w:rFonts w:hint="eastAsia" w:cstheme="minorBidi"/>
                <w:bCs/>
                <w:kern w:val="2"/>
                <w:sz w:val="24"/>
                <w:szCs w:val="24"/>
                <w:lang w:val="en-US" w:eastAsia="zh-CN" w:bidi="ar-SA"/>
              </w:rPr>
              <w:t>本项目已编制生态修复方案，采取边生产边修复的措施</w:t>
            </w:r>
            <w:r>
              <w:rPr>
                <w:rFonts w:hint="eastAsia" w:ascii="Times New Roman" w:hAnsi="Times New Roman" w:eastAsia="宋体" w:cstheme="minorBidi"/>
                <w:bCs/>
                <w:kern w:val="2"/>
                <w:sz w:val="24"/>
                <w:szCs w:val="24"/>
                <w:lang w:val="en-US" w:eastAsia="zh-CN" w:bidi="ar-SA"/>
              </w:rPr>
              <w:t>，将生态保护修复贯穿采矿活动全过程，因此，本项目符合《自然资源部关于规范和完善砂石开采管理的通知》。</w:t>
            </w:r>
          </w:p>
          <w:p>
            <w:pPr>
              <w:pStyle w:val="16"/>
              <w:numPr>
                <w:ilvl w:val="0"/>
                <w:numId w:val="0"/>
              </w:numPr>
              <w:spacing w:line="360" w:lineRule="auto"/>
              <w:rPr>
                <w:rFonts w:hint="default" w:ascii="Times New Roman" w:hAnsi="Times New Roman" w:eastAsia="宋体" w:cstheme="minorBidi"/>
                <w:b/>
                <w:bCs w:val="0"/>
                <w:color w:val="auto"/>
                <w:kern w:val="2"/>
                <w:sz w:val="24"/>
                <w:szCs w:val="24"/>
                <w:lang w:val="en-US" w:eastAsia="zh-CN" w:bidi="ar-SA"/>
              </w:rPr>
            </w:pPr>
            <w:r>
              <w:rPr>
                <w:rFonts w:hint="eastAsia" w:ascii="Times New Roman" w:hAnsi="Times New Roman" w:eastAsia="宋体" w:cstheme="minorBidi"/>
                <w:b/>
                <w:bCs w:val="0"/>
                <w:kern w:val="2"/>
                <w:sz w:val="24"/>
                <w:szCs w:val="24"/>
                <w:lang w:val="en-US" w:eastAsia="zh-CN" w:bidi="ar-SA"/>
              </w:rPr>
              <w:t>6</w:t>
            </w:r>
            <w:r>
              <w:rPr>
                <w:rFonts w:hint="eastAsia" w:cstheme="minorBidi"/>
                <w:b/>
                <w:bCs w:val="0"/>
                <w:kern w:val="2"/>
                <w:sz w:val="24"/>
                <w:szCs w:val="24"/>
                <w:lang w:val="en-US" w:eastAsia="zh-CN" w:bidi="ar-SA"/>
              </w:rPr>
              <w:t>.</w:t>
            </w:r>
            <w:r>
              <w:rPr>
                <w:rFonts w:hint="eastAsia" w:ascii="Times New Roman" w:hAnsi="Times New Roman" w:eastAsia="宋体" w:cstheme="minorBidi"/>
                <w:b/>
                <w:bCs w:val="0"/>
                <w:kern w:val="2"/>
                <w:sz w:val="24"/>
                <w:szCs w:val="24"/>
                <w:lang w:val="en-US" w:eastAsia="zh-CN" w:bidi="ar-SA"/>
              </w:rPr>
              <w:t>与</w:t>
            </w:r>
            <w:r>
              <w:rPr>
                <w:rFonts w:hint="eastAsia" w:ascii="Times New Roman" w:hAnsi="Times New Roman" w:eastAsia="宋体" w:cstheme="minorBidi"/>
                <w:b/>
                <w:bCs w:val="0"/>
                <w:kern w:val="2"/>
                <w:sz w:val="24"/>
                <w:szCs w:val="24"/>
                <w:highlight w:val="none"/>
                <w:lang w:val="en-US" w:eastAsia="zh-CN" w:bidi="ar-SA"/>
              </w:rPr>
              <w:t>《工业料堆场扬尘整治规范》</w:t>
            </w:r>
            <w:r>
              <w:rPr>
                <w:rFonts w:hint="eastAsia" w:ascii="Times New Roman" w:hAnsi="Times New Roman" w:eastAsia="宋体" w:cstheme="minorBidi"/>
                <w:b/>
                <w:bCs w:val="0"/>
                <w:kern w:val="2"/>
                <w:sz w:val="24"/>
                <w:szCs w:val="24"/>
                <w:lang w:val="en-US" w:eastAsia="zh-CN" w:bidi="ar-SA"/>
              </w:rPr>
              <w:t>(DB65/T4061-2017）符合性分析</w:t>
            </w:r>
          </w:p>
          <w:p>
            <w:pPr>
              <w:pStyle w:val="16"/>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heme="minorBidi"/>
                <w:bCs/>
                <w:color w:val="auto"/>
                <w:kern w:val="2"/>
                <w:sz w:val="24"/>
                <w:szCs w:val="24"/>
                <w:lang w:val="en-US" w:eastAsia="zh-CN" w:bidi="ar-SA"/>
              </w:rPr>
            </w:pPr>
            <w:r>
              <w:rPr>
                <w:rFonts w:hint="eastAsia" w:ascii="Times New Roman" w:hAnsi="Times New Roman" w:eastAsia="宋体" w:cstheme="minorBidi"/>
                <w:bCs/>
                <w:color w:val="auto"/>
                <w:kern w:val="2"/>
                <w:sz w:val="24"/>
                <w:szCs w:val="24"/>
                <w:lang w:val="en-US" w:eastAsia="zh-CN" w:bidi="ar-SA"/>
              </w:rPr>
              <w:t>本项目属于一般控制区，常年平均风速</w:t>
            </w:r>
            <w:r>
              <w:rPr>
                <w:rFonts w:hint="eastAsia" w:cstheme="minorBidi"/>
                <w:bCs/>
                <w:color w:val="auto"/>
                <w:kern w:val="2"/>
                <w:sz w:val="24"/>
                <w:szCs w:val="24"/>
                <w:lang w:val="en-US" w:eastAsia="zh-CN" w:bidi="ar-SA"/>
              </w:rPr>
              <w:t>2-4</w:t>
            </w:r>
            <w:r>
              <w:rPr>
                <w:rFonts w:hint="eastAsia" w:ascii="Times New Roman" w:hAnsi="Times New Roman" w:eastAsia="宋体" w:cstheme="minorBidi"/>
                <w:bCs/>
                <w:color w:val="auto"/>
                <w:kern w:val="2"/>
                <w:sz w:val="24"/>
                <w:szCs w:val="24"/>
                <w:lang w:val="en-US" w:eastAsia="zh-CN" w:bidi="ar-SA"/>
              </w:rPr>
              <w:t>m/s，粒度＞0.5mm，对照《工业料堆场扬尘整治规范》(DB65/T4061-2017）中表1，本项目的堆场类型划分为Ⅱ类。针对Ⅱ类堆场扬尘防治方案，本项目堆场方案为防风抑尘网及喷洒水，符合其Ⅱ类堆场扬尘防治要求。因此，本项目堆场扬尘整治措施与《工业料堆场扬尘整治规范》（DB65/T4061-2017）相符。</w:t>
            </w:r>
          </w:p>
          <w:p>
            <w:pPr>
              <w:pStyle w:val="16"/>
              <w:numPr>
                <w:ilvl w:val="0"/>
                <w:numId w:val="0"/>
              </w:numPr>
              <w:spacing w:line="360" w:lineRule="auto"/>
              <w:rPr>
                <w:rFonts w:hint="default" w:ascii="Times New Roman" w:hAnsi="Times New Roman" w:eastAsia="宋体" w:cstheme="minorBidi"/>
                <w:b/>
                <w:bCs w:val="0"/>
                <w:kern w:val="2"/>
                <w:sz w:val="24"/>
                <w:szCs w:val="24"/>
                <w:lang w:val="en-US" w:eastAsia="zh-CN" w:bidi="ar-SA"/>
              </w:rPr>
            </w:pPr>
            <w:r>
              <w:rPr>
                <w:rFonts w:hint="eastAsia" w:cstheme="minorBidi"/>
                <w:b/>
                <w:bCs w:val="0"/>
                <w:kern w:val="2"/>
                <w:sz w:val="24"/>
                <w:szCs w:val="24"/>
                <w:lang w:val="en-US" w:eastAsia="zh-CN" w:bidi="ar-SA"/>
              </w:rPr>
              <w:t>7.与《新疆维吾尔自治区重点行业环境准入条件（修订）》（2024年6月）符合性分析</w:t>
            </w:r>
          </w:p>
          <w:p>
            <w:pPr>
              <w:pStyle w:val="16"/>
              <w:numPr>
                <w:ilvl w:val="0"/>
                <w:numId w:val="0"/>
              </w:numPr>
              <w:spacing w:line="240" w:lineRule="auto"/>
              <w:jc w:val="center"/>
              <w:rPr>
                <w:rFonts w:hint="default" w:cstheme="minorBidi"/>
                <w:b/>
                <w:bCs w:val="0"/>
                <w:kern w:val="2"/>
                <w:sz w:val="21"/>
                <w:szCs w:val="21"/>
                <w:lang w:val="en-US" w:eastAsia="zh-CN" w:bidi="ar-SA"/>
              </w:rPr>
            </w:pPr>
            <w:r>
              <w:rPr>
                <w:rFonts w:hint="eastAsia" w:cstheme="minorBidi"/>
                <w:b/>
                <w:bCs w:val="0"/>
                <w:kern w:val="2"/>
                <w:sz w:val="21"/>
                <w:szCs w:val="21"/>
                <w:lang w:val="en-US" w:eastAsia="zh-CN" w:bidi="ar-SA"/>
              </w:rPr>
              <w:t>表1-6   本项目与《新疆维吾尔自治区重点行业环境准入条件（修订）》（2024年6月）符合性分析</w:t>
            </w:r>
          </w:p>
          <w:tbl>
            <w:tblPr>
              <w:tblStyle w:val="2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3006"/>
              <w:gridCol w:w="2579"/>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0" w:type="pc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heme="minorBidi"/>
                      <w:b/>
                      <w:bCs w:val="0"/>
                      <w:kern w:val="44"/>
                      <w:sz w:val="21"/>
                      <w:szCs w:val="24"/>
                      <w:lang w:val="en-US" w:eastAsia="zh-CN" w:bidi="ar-SA"/>
                    </w:rPr>
                  </w:pPr>
                  <w:r>
                    <w:rPr>
                      <w:rFonts w:hint="eastAsia" w:ascii="Times New Roman" w:hAnsi="Times New Roman" w:eastAsia="宋体" w:cstheme="minorBidi"/>
                      <w:b/>
                      <w:bCs w:val="0"/>
                      <w:kern w:val="44"/>
                      <w:sz w:val="21"/>
                      <w:szCs w:val="24"/>
                      <w:lang w:val="en-US" w:eastAsia="zh-CN" w:bidi="ar-SA"/>
                    </w:rPr>
                    <w:t>序号</w:t>
                  </w:r>
                </w:p>
              </w:tc>
              <w:tc>
                <w:tcPr>
                  <w:tcW w:w="2235" w:type="pc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heme="minorBidi"/>
                      <w:b/>
                      <w:bCs w:val="0"/>
                      <w:kern w:val="44"/>
                      <w:sz w:val="21"/>
                      <w:szCs w:val="24"/>
                      <w:lang w:val="en-US" w:eastAsia="zh-CN" w:bidi="ar-SA"/>
                    </w:rPr>
                  </w:pPr>
                  <w:r>
                    <w:rPr>
                      <w:rFonts w:hint="eastAsia" w:ascii="Times New Roman" w:hAnsi="Times New Roman" w:eastAsia="宋体" w:cstheme="minorBidi"/>
                      <w:b/>
                      <w:bCs w:val="0"/>
                      <w:kern w:val="44"/>
                      <w:sz w:val="21"/>
                      <w:szCs w:val="24"/>
                      <w:lang w:val="en-US" w:eastAsia="zh-CN" w:bidi="ar-SA"/>
                    </w:rPr>
                    <w:t>具体要求</w:t>
                  </w:r>
                </w:p>
              </w:tc>
              <w:tc>
                <w:tcPr>
                  <w:tcW w:w="1917" w:type="pc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heme="minorBidi"/>
                      <w:b/>
                      <w:bCs w:val="0"/>
                      <w:kern w:val="44"/>
                      <w:sz w:val="21"/>
                      <w:szCs w:val="24"/>
                      <w:lang w:val="en-US" w:eastAsia="zh-CN" w:bidi="ar-SA"/>
                    </w:rPr>
                  </w:pPr>
                  <w:r>
                    <w:rPr>
                      <w:rFonts w:hint="eastAsia" w:ascii="Times New Roman" w:hAnsi="Times New Roman" w:eastAsia="宋体" w:cstheme="minorBidi"/>
                      <w:b/>
                      <w:bCs w:val="0"/>
                      <w:kern w:val="44"/>
                      <w:sz w:val="21"/>
                      <w:szCs w:val="24"/>
                      <w:lang w:val="en-US" w:eastAsia="zh-CN" w:bidi="ar-SA"/>
                    </w:rPr>
                    <w:t>本项目</w:t>
                  </w:r>
                </w:p>
              </w:tc>
              <w:tc>
                <w:tcPr>
                  <w:tcW w:w="506" w:type="pc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heme="minorBidi"/>
                      <w:b/>
                      <w:bCs w:val="0"/>
                      <w:kern w:val="44"/>
                      <w:sz w:val="21"/>
                      <w:szCs w:val="24"/>
                      <w:lang w:val="en-US" w:eastAsia="zh-CN" w:bidi="ar-SA"/>
                    </w:rPr>
                  </w:pPr>
                  <w:r>
                    <w:rPr>
                      <w:rFonts w:hint="eastAsia" w:ascii="Times New Roman" w:hAnsi="Times New Roman" w:eastAsia="宋体" w:cstheme="minorBidi"/>
                      <w:b/>
                      <w:bCs w:val="0"/>
                      <w:kern w:val="44"/>
                      <w:sz w:val="21"/>
                      <w:szCs w:val="24"/>
                      <w:lang w:val="en-US" w:eastAsia="zh-CN" w:bidi="ar-SA"/>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0" w:type="pc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heme="minorBidi"/>
                      <w:b w:val="0"/>
                      <w:bCs/>
                      <w:kern w:val="44"/>
                      <w:sz w:val="21"/>
                      <w:szCs w:val="24"/>
                      <w:lang w:val="en-US" w:eastAsia="zh-CN" w:bidi="ar-SA"/>
                    </w:rPr>
                  </w:pPr>
                  <w:r>
                    <w:rPr>
                      <w:rFonts w:hint="eastAsia" w:cstheme="minorBidi"/>
                      <w:b w:val="0"/>
                      <w:bCs/>
                      <w:kern w:val="44"/>
                      <w:sz w:val="21"/>
                      <w:szCs w:val="24"/>
                      <w:lang w:val="en-US" w:eastAsia="zh-CN" w:bidi="ar-SA"/>
                    </w:rPr>
                    <w:t>1</w:t>
                  </w:r>
                </w:p>
              </w:tc>
              <w:tc>
                <w:tcPr>
                  <w:tcW w:w="2235" w:type="pc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禁止在重要工业区、大型水利工程设施、城镇市政工程设施所在区域，军事管理区、机场、国防工程设施圈定的区域，高速公路、国道、省道等重要交通干线两侧用地外缘200米范围内（确有必要可根据实际情况论证），铁路线路两侧路堤坡脚、路堑坡顶、铁路桥梁外侧起各1000米范围内及在铁路隧道上方中心线两侧各1000米范围内建设非金属矿采矿项目。居民聚集区1千米以内禁止石灰石开采</w:t>
                  </w:r>
                  <w:r>
                    <w:rPr>
                      <w:rFonts w:hint="eastAsia" w:cstheme="minorBidi"/>
                      <w:b w:val="0"/>
                      <w:bCs/>
                      <w:kern w:val="44"/>
                      <w:sz w:val="21"/>
                      <w:szCs w:val="24"/>
                      <w:lang w:val="en-US" w:eastAsia="zh-CN" w:bidi="ar-SA"/>
                    </w:rPr>
                    <w:t>；</w:t>
                  </w:r>
                </w:p>
              </w:tc>
              <w:tc>
                <w:tcPr>
                  <w:tcW w:w="1917" w:type="pc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heme="minorBidi"/>
                      <w:b w:val="0"/>
                      <w:bCs/>
                      <w:kern w:val="44"/>
                      <w:sz w:val="21"/>
                      <w:szCs w:val="24"/>
                      <w:lang w:val="en-US" w:eastAsia="zh-CN" w:bidi="ar-SA"/>
                    </w:rPr>
                  </w:pPr>
                  <w:r>
                    <w:rPr>
                      <w:rFonts w:hint="default" w:ascii="Times New Roman" w:hAnsi="Times New Roman" w:eastAsia="宋体" w:cstheme="minorBidi"/>
                      <w:b w:val="0"/>
                      <w:bCs/>
                      <w:kern w:val="44"/>
                      <w:sz w:val="21"/>
                      <w:szCs w:val="24"/>
                      <w:highlight w:val="none"/>
                      <w:lang w:val="en-US" w:eastAsia="zh-CN" w:bidi="ar-SA"/>
                    </w:rPr>
                    <w:t>本项目位于新疆</w:t>
                  </w:r>
                  <w:r>
                    <w:rPr>
                      <w:rFonts w:hint="eastAsia" w:cstheme="minorBidi"/>
                      <w:b w:val="0"/>
                      <w:bCs/>
                      <w:kern w:val="44"/>
                      <w:sz w:val="21"/>
                      <w:szCs w:val="24"/>
                      <w:highlight w:val="none"/>
                      <w:lang w:val="en-US" w:eastAsia="zh-CN" w:bidi="ar-SA"/>
                    </w:rPr>
                    <w:t>吐鲁番市托克逊县45°方位直线距离14千米处</w:t>
                  </w:r>
                  <w:r>
                    <w:rPr>
                      <w:rFonts w:hint="default" w:ascii="Times New Roman" w:hAnsi="Times New Roman" w:eastAsia="宋体" w:cstheme="minorBidi"/>
                      <w:b w:val="0"/>
                      <w:bCs/>
                      <w:kern w:val="44"/>
                      <w:sz w:val="21"/>
                      <w:szCs w:val="24"/>
                      <w:highlight w:val="none"/>
                      <w:lang w:val="en-US" w:eastAsia="zh-CN" w:bidi="ar-SA"/>
                    </w:rPr>
                    <w:t>，距离</w:t>
                  </w:r>
                  <w:r>
                    <w:rPr>
                      <w:rFonts w:hint="eastAsia" w:ascii="Times New Roman" w:hAnsi="Times New Roman" w:eastAsia="宋体" w:cstheme="minorBidi"/>
                      <w:b w:val="0"/>
                      <w:bCs/>
                      <w:kern w:val="44"/>
                      <w:sz w:val="21"/>
                      <w:szCs w:val="24"/>
                      <w:lang w:val="en-US" w:eastAsia="zh-CN" w:bidi="ar-SA"/>
                    </w:rPr>
                    <w:t>高速公路、国道、省道</w:t>
                  </w:r>
                  <w:r>
                    <w:rPr>
                      <w:rFonts w:hint="default" w:ascii="Times New Roman" w:hAnsi="Times New Roman" w:eastAsia="宋体" w:cstheme="minorBidi"/>
                      <w:b w:val="0"/>
                      <w:bCs/>
                      <w:kern w:val="44"/>
                      <w:sz w:val="21"/>
                      <w:szCs w:val="24"/>
                      <w:highlight w:val="none"/>
                      <w:lang w:val="en-US" w:eastAsia="zh-CN" w:bidi="ar-SA"/>
                    </w:rPr>
                    <w:t>在200米范围外、距离居民聚集区1千米以上；</w:t>
                  </w:r>
                </w:p>
              </w:tc>
              <w:tc>
                <w:tcPr>
                  <w:tcW w:w="506" w:type="pc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heme="minorBidi"/>
                      <w:b w:val="0"/>
                      <w:bCs/>
                      <w:kern w:val="44"/>
                      <w:sz w:val="21"/>
                      <w:szCs w:val="24"/>
                      <w:lang w:val="en-US" w:eastAsia="zh-CN" w:bidi="ar-SA"/>
                    </w:rPr>
                  </w:pPr>
                  <w:r>
                    <w:rPr>
                      <w:rFonts w:hint="eastAsia" w:cstheme="minorBidi"/>
                      <w:b w:val="0"/>
                      <w:bCs/>
                      <w:kern w:val="44"/>
                      <w:sz w:val="21"/>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0" w:type="pc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heme="minorBidi"/>
                      <w:b w:val="0"/>
                      <w:bCs/>
                      <w:kern w:val="44"/>
                      <w:sz w:val="21"/>
                      <w:szCs w:val="24"/>
                      <w:lang w:val="en-US" w:eastAsia="zh-CN" w:bidi="ar-SA"/>
                    </w:rPr>
                  </w:pPr>
                  <w:r>
                    <w:rPr>
                      <w:rFonts w:hint="eastAsia" w:cstheme="minorBidi"/>
                      <w:b w:val="0"/>
                      <w:bCs/>
                      <w:kern w:val="44"/>
                      <w:sz w:val="21"/>
                      <w:szCs w:val="24"/>
                      <w:lang w:val="en-US" w:eastAsia="zh-CN" w:bidi="ar-SA"/>
                    </w:rPr>
                    <w:t>2</w:t>
                  </w:r>
                </w:p>
              </w:tc>
              <w:tc>
                <w:tcPr>
                  <w:tcW w:w="2235" w:type="pc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矿石开采须采用湿式凿岩作业方式。矿石转运、破碎、筛分等粉尘产生工序，须配备抑尘、除尘设施，除尘效率不低于99%。矿石、废石堆场须采用洒水抑尘、设置围挡等无组织粉尘防治措施。大气污染物排放须满足《大气污染物综合排放标准》（GB16297）要求，有行业排放标准的执行行业标准</w:t>
                  </w:r>
                </w:p>
              </w:tc>
              <w:tc>
                <w:tcPr>
                  <w:tcW w:w="1917" w:type="pc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项目砂石矿运输车辆采用篷布遮盖，</w:t>
                  </w:r>
                  <w:r>
                    <w:rPr>
                      <w:rFonts w:hint="eastAsia" w:ascii="Times New Roman" w:hAnsi="Times New Roman" w:eastAsia="宋体" w:cstheme="minorBidi"/>
                      <w:b w:val="0"/>
                      <w:bCs/>
                      <w:color w:val="auto"/>
                      <w:kern w:val="44"/>
                      <w:sz w:val="21"/>
                      <w:szCs w:val="24"/>
                      <w:lang w:val="en-US" w:eastAsia="zh-CN" w:bidi="ar-SA"/>
                    </w:rPr>
                    <w:t>限速并严禁超载，运矿道路洒水降尘；堆场采用防尘网苫盖并洒水保湿，</w:t>
                  </w:r>
                  <w:r>
                    <w:rPr>
                      <w:rFonts w:hint="eastAsia" w:cstheme="minorBidi"/>
                      <w:b w:val="0"/>
                      <w:bCs/>
                      <w:color w:val="auto"/>
                      <w:kern w:val="44"/>
                      <w:sz w:val="21"/>
                      <w:szCs w:val="24"/>
                      <w:lang w:val="en-US" w:eastAsia="zh-CN" w:bidi="ar-SA"/>
                    </w:rPr>
                    <w:t>筛分粉尘采用集气罩</w:t>
                  </w:r>
                  <w:r>
                    <w:rPr>
                      <w:rFonts w:hint="eastAsia"/>
                      <w:color w:val="auto"/>
                      <w:sz w:val="21"/>
                      <w:szCs w:val="21"/>
                    </w:rPr>
                    <w:t>+布袋除</w:t>
                  </w:r>
                  <w:r>
                    <w:rPr>
                      <w:rFonts w:hint="eastAsia"/>
                      <w:sz w:val="21"/>
                      <w:szCs w:val="21"/>
                    </w:rPr>
                    <w:t>尘</w:t>
                  </w:r>
                  <w:r>
                    <w:rPr>
                      <w:rFonts w:hint="eastAsia"/>
                      <w:color w:val="000000"/>
                      <w:sz w:val="21"/>
                      <w:szCs w:val="21"/>
                    </w:rPr>
                    <w:t>器+15m排气筒</w:t>
                  </w:r>
                  <w:r>
                    <w:rPr>
                      <w:rFonts w:hint="eastAsia"/>
                      <w:color w:val="000000"/>
                      <w:sz w:val="21"/>
                      <w:szCs w:val="21"/>
                      <w:lang w:eastAsia="zh-CN"/>
                    </w:rPr>
                    <w:t>，</w:t>
                  </w:r>
                  <w:r>
                    <w:rPr>
                      <w:rFonts w:hint="eastAsia" w:ascii="Times New Roman" w:hAnsi="Times New Roman" w:eastAsia="宋体" w:cstheme="minorBidi"/>
                      <w:b w:val="0"/>
                      <w:bCs/>
                      <w:kern w:val="44"/>
                      <w:sz w:val="21"/>
                      <w:szCs w:val="24"/>
                      <w:lang w:val="en-US" w:eastAsia="zh-CN" w:bidi="ar-SA"/>
                    </w:rPr>
                    <w:t>堆场按照《工业料堆场扬尘整治规范》（DB65/T4064-2017）建设，厂界颗粒物排放满足《大气污染物综合排放标准》（GB16297-1996）要求</w:t>
                  </w:r>
                </w:p>
              </w:tc>
              <w:tc>
                <w:tcPr>
                  <w:tcW w:w="506" w:type="pc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heme="minorBidi"/>
                      <w:b w:val="0"/>
                      <w:bCs/>
                      <w:kern w:val="44"/>
                      <w:sz w:val="21"/>
                      <w:szCs w:val="24"/>
                      <w:lang w:val="en-US" w:eastAsia="zh-CN" w:bidi="ar-SA"/>
                    </w:rPr>
                  </w:pPr>
                  <w:r>
                    <w:rPr>
                      <w:rFonts w:hint="eastAsia" w:cstheme="minorBidi"/>
                      <w:b w:val="0"/>
                      <w:bCs/>
                      <w:kern w:val="44"/>
                      <w:sz w:val="21"/>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0" w:type="pc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cstheme="minorBidi"/>
                      <w:b w:val="0"/>
                      <w:bCs/>
                      <w:kern w:val="44"/>
                      <w:sz w:val="21"/>
                      <w:szCs w:val="24"/>
                      <w:lang w:val="en-US" w:eastAsia="zh-CN" w:bidi="ar-SA"/>
                    </w:rPr>
                  </w:pPr>
                  <w:r>
                    <w:rPr>
                      <w:rFonts w:hint="eastAsia" w:cstheme="minorBidi"/>
                      <w:b w:val="0"/>
                      <w:bCs/>
                      <w:kern w:val="44"/>
                      <w:sz w:val="21"/>
                      <w:szCs w:val="24"/>
                      <w:lang w:val="en-US" w:eastAsia="zh-CN" w:bidi="ar-SA"/>
                    </w:rPr>
                    <w:t>3</w:t>
                  </w:r>
                </w:p>
              </w:tc>
              <w:tc>
                <w:tcPr>
                  <w:tcW w:w="2235" w:type="pc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严禁未经处理的采矿废水直接排放，禁止利用渗井、渗坑、裂隙和溶洞等排放废水。鼓励将矿坑水优先作为生产用水和辅助水源利用。在干旱缺水地区，鼓励将外排矿坑水处理达标后用于农林灌溉，生活污水处理达标后尽量综合利用，边远矿区的生活污水排放和综合利用可参照《农村生活污水处理排放标准》（DB65/4275）要求管控。</w:t>
                  </w:r>
                </w:p>
              </w:tc>
              <w:tc>
                <w:tcPr>
                  <w:tcW w:w="1917" w:type="pc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本项目生产过程中</w:t>
                  </w:r>
                  <w:r>
                    <w:rPr>
                      <w:rFonts w:hint="eastAsia" w:cstheme="minorBidi"/>
                      <w:b w:val="0"/>
                      <w:bCs/>
                      <w:kern w:val="44"/>
                      <w:sz w:val="21"/>
                      <w:szCs w:val="24"/>
                      <w:lang w:val="en-US" w:eastAsia="zh-CN" w:bidi="ar-SA"/>
                    </w:rPr>
                    <w:t>洗砂</w:t>
                  </w:r>
                  <w:r>
                    <w:rPr>
                      <w:rFonts w:hint="eastAsia" w:ascii="Times New Roman" w:hAnsi="Times New Roman" w:eastAsia="宋体" w:cstheme="minorBidi"/>
                      <w:b w:val="0"/>
                      <w:bCs/>
                      <w:kern w:val="44"/>
                      <w:sz w:val="21"/>
                      <w:szCs w:val="24"/>
                      <w:lang w:val="en-US" w:eastAsia="zh-CN" w:bidi="ar-SA"/>
                    </w:rPr>
                    <w:t>废水</w:t>
                  </w:r>
                  <w:r>
                    <w:rPr>
                      <w:rFonts w:hint="eastAsia" w:cstheme="minorBidi"/>
                      <w:b w:val="0"/>
                      <w:bCs/>
                      <w:kern w:val="44"/>
                      <w:sz w:val="21"/>
                      <w:szCs w:val="24"/>
                      <w:lang w:val="en-US" w:eastAsia="zh-CN" w:bidi="ar-SA"/>
                    </w:rPr>
                    <w:t>回用</w:t>
                  </w:r>
                  <w:r>
                    <w:rPr>
                      <w:rFonts w:hint="eastAsia" w:cstheme="minorBidi"/>
                      <w:b w:val="0"/>
                      <w:bCs/>
                      <w:color w:val="auto"/>
                      <w:kern w:val="44"/>
                      <w:sz w:val="21"/>
                      <w:szCs w:val="24"/>
                      <w:lang w:val="en-US" w:eastAsia="zh-CN" w:bidi="ar-SA"/>
                    </w:rPr>
                    <w:t>生产，不外排。食堂废水经隔油处理后与其他生活污水经地埋式一体化污水处理设施处理后用于场地洒水抑尘。执行《农村生活污水处理排放标准》（DB65/4275―2019）表2中B级标准要求。</w:t>
                  </w:r>
                </w:p>
              </w:tc>
              <w:tc>
                <w:tcPr>
                  <w:tcW w:w="506" w:type="pc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cstheme="minorBidi"/>
                      <w:b w:val="0"/>
                      <w:bCs/>
                      <w:kern w:val="44"/>
                      <w:sz w:val="21"/>
                      <w:szCs w:val="24"/>
                      <w:lang w:val="en-US" w:eastAsia="zh-CN" w:bidi="ar-SA"/>
                    </w:rPr>
                  </w:pPr>
                  <w:r>
                    <w:rPr>
                      <w:rFonts w:hint="eastAsia" w:cstheme="minorBidi"/>
                      <w:b w:val="0"/>
                      <w:bCs/>
                      <w:kern w:val="44"/>
                      <w:sz w:val="21"/>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0" w:type="pc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cstheme="minorBidi"/>
                      <w:b w:val="0"/>
                      <w:bCs/>
                      <w:kern w:val="44"/>
                      <w:sz w:val="21"/>
                      <w:szCs w:val="24"/>
                      <w:lang w:val="en-US" w:eastAsia="zh-CN" w:bidi="ar-SA"/>
                    </w:rPr>
                  </w:pPr>
                  <w:r>
                    <w:rPr>
                      <w:rFonts w:hint="eastAsia" w:cstheme="minorBidi"/>
                      <w:b w:val="0"/>
                      <w:bCs/>
                      <w:kern w:val="44"/>
                      <w:sz w:val="21"/>
                      <w:szCs w:val="24"/>
                      <w:lang w:val="en-US" w:eastAsia="zh-CN" w:bidi="ar-SA"/>
                    </w:rPr>
                    <w:t>4</w:t>
                  </w:r>
                </w:p>
              </w:tc>
              <w:tc>
                <w:tcPr>
                  <w:tcW w:w="2235" w:type="pc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噪声排放执行《工业企业厂界环境噪声排放</w:t>
                  </w:r>
                  <w:r>
                    <w:rPr>
                      <w:rFonts w:hint="eastAsia" w:ascii="Times New Roman" w:hAnsi="Times New Roman" w:eastAsia="宋体" w:cstheme="minorBidi"/>
                      <w:b w:val="0"/>
                      <w:bCs/>
                      <w:kern w:val="44"/>
                      <w:sz w:val="21"/>
                      <w:szCs w:val="21"/>
                      <w:lang w:val="en-US" w:eastAsia="zh-CN" w:bidi="ar-SA"/>
                    </w:rPr>
                    <w:t>标准(</w:t>
                  </w:r>
                  <w:r>
                    <w:rPr>
                      <w:rFonts w:hint="default" w:ascii="Times New Roman" w:hAnsi="Times New Roman" w:eastAsia="宋体" w:cs="Times New Roman"/>
                      <w:snapToGrid w:val="0"/>
                      <w:sz w:val="21"/>
                      <w:szCs w:val="21"/>
                    </w:rPr>
                    <w:t>GB12348-2008</w:t>
                  </w:r>
                  <w:r>
                    <w:rPr>
                      <w:rFonts w:hint="eastAsia" w:ascii="Times New Roman" w:hAnsi="Times New Roman" w:eastAsia="宋体" w:cstheme="minorBidi"/>
                      <w:b w:val="0"/>
                      <w:bCs/>
                      <w:kern w:val="44"/>
                      <w:sz w:val="21"/>
                      <w:szCs w:val="21"/>
                      <w:lang w:val="en-US" w:eastAsia="zh-CN" w:bidi="ar-SA"/>
                    </w:rPr>
                    <w:t>)。</w:t>
                  </w:r>
                </w:p>
              </w:tc>
              <w:tc>
                <w:tcPr>
                  <w:tcW w:w="1917" w:type="pc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本项目厂界噪声均可满足《工业企业厂界环境噪声排放标准》(GB12348-2008)</w:t>
                  </w:r>
                  <w:r>
                    <w:rPr>
                      <w:rFonts w:hint="eastAsia" w:cstheme="minorBidi"/>
                      <w:b w:val="0"/>
                      <w:bCs/>
                      <w:kern w:val="44"/>
                      <w:sz w:val="21"/>
                      <w:szCs w:val="24"/>
                      <w:lang w:val="en-US" w:eastAsia="zh-CN" w:bidi="ar-SA"/>
                    </w:rPr>
                    <w:t>2</w:t>
                  </w:r>
                  <w:r>
                    <w:rPr>
                      <w:rFonts w:hint="eastAsia" w:ascii="Times New Roman" w:hAnsi="Times New Roman" w:eastAsia="宋体" w:cstheme="minorBidi"/>
                      <w:b w:val="0"/>
                      <w:bCs/>
                      <w:kern w:val="44"/>
                      <w:sz w:val="21"/>
                      <w:szCs w:val="24"/>
                      <w:lang w:val="en-US" w:eastAsia="zh-CN" w:bidi="ar-SA"/>
                    </w:rPr>
                    <w:t>类标准要求。</w:t>
                  </w:r>
                </w:p>
              </w:tc>
              <w:tc>
                <w:tcPr>
                  <w:tcW w:w="506" w:type="pc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cstheme="minorBidi"/>
                      <w:b w:val="0"/>
                      <w:bCs/>
                      <w:kern w:val="44"/>
                      <w:sz w:val="21"/>
                      <w:szCs w:val="24"/>
                      <w:lang w:val="en-US" w:eastAsia="zh-CN" w:bidi="ar-SA"/>
                    </w:rPr>
                  </w:pPr>
                  <w:r>
                    <w:rPr>
                      <w:rFonts w:hint="eastAsia" w:cstheme="minorBidi"/>
                      <w:b w:val="0"/>
                      <w:bCs/>
                      <w:kern w:val="44"/>
                      <w:sz w:val="21"/>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0" w:type="pc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cstheme="minorBidi"/>
                      <w:b w:val="0"/>
                      <w:bCs/>
                      <w:kern w:val="44"/>
                      <w:sz w:val="21"/>
                      <w:szCs w:val="24"/>
                      <w:lang w:val="en-US" w:eastAsia="zh-CN" w:bidi="ar-SA"/>
                    </w:rPr>
                  </w:pPr>
                  <w:r>
                    <w:rPr>
                      <w:rFonts w:hint="eastAsia" w:cstheme="minorBidi"/>
                      <w:b w:val="0"/>
                      <w:bCs/>
                      <w:kern w:val="44"/>
                      <w:sz w:val="21"/>
                      <w:szCs w:val="24"/>
                      <w:lang w:val="en-US" w:eastAsia="zh-CN" w:bidi="ar-SA"/>
                    </w:rPr>
                    <w:t>5</w:t>
                  </w:r>
                </w:p>
              </w:tc>
              <w:tc>
                <w:tcPr>
                  <w:tcW w:w="2235" w:type="pc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应对采矿废石等固体废物采取回填、筑路、制作建筑材料等方式资源综合利用，提高综合利用率。无法利用的必须使用专用场所堆放，并采取有效措施防止二次环境污染及诱发次生地质灾害，固体废物处置率100%。废石堆场按《一般工业固体废物贮存和填埋污染控制标准》(GB18599)要求建设。生活垃圾实现100%无害化处置。</w:t>
                  </w:r>
                </w:p>
              </w:tc>
              <w:tc>
                <w:tcPr>
                  <w:tcW w:w="1917" w:type="pc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heme="minorBidi"/>
                      <w:b w:val="0"/>
                      <w:bCs/>
                      <w:kern w:val="44"/>
                      <w:sz w:val="21"/>
                      <w:szCs w:val="24"/>
                      <w:lang w:val="en-US" w:eastAsia="zh-CN" w:bidi="ar-SA"/>
                    </w:rPr>
                  </w:pPr>
                  <w:r>
                    <w:rPr>
                      <w:rFonts w:hint="default" w:ascii="Times New Roman" w:hAnsi="Times New Roman" w:eastAsia="宋体" w:cstheme="minorBidi"/>
                      <w:b w:val="0"/>
                      <w:bCs/>
                      <w:kern w:val="44"/>
                      <w:sz w:val="21"/>
                      <w:szCs w:val="24"/>
                      <w:lang w:val="en-US" w:eastAsia="zh-CN" w:bidi="ar-SA"/>
                    </w:rPr>
                    <w:t>本项目废砂石待闭矿期用于采坑回填；生活垃圾收集后统一交由环卫部门处置；废机油按要求在矿区收集、暂存后交由有资质的单位处理处置。</w:t>
                  </w:r>
                  <w:r>
                    <w:rPr>
                      <w:rFonts w:hint="eastAsia" w:cstheme="minorBidi"/>
                      <w:b w:val="0"/>
                      <w:bCs/>
                      <w:kern w:val="44"/>
                      <w:sz w:val="21"/>
                      <w:szCs w:val="24"/>
                      <w:lang w:val="en-US" w:eastAsia="zh-CN" w:bidi="ar-SA"/>
                    </w:rPr>
                    <w:t>固体废物处理</w:t>
                  </w:r>
                  <w:r>
                    <w:rPr>
                      <w:rFonts w:hint="eastAsia" w:ascii="Times New Roman" w:hAnsi="Times New Roman" w:eastAsia="宋体" w:cstheme="minorBidi"/>
                      <w:b w:val="0"/>
                      <w:bCs/>
                      <w:kern w:val="44"/>
                      <w:sz w:val="21"/>
                      <w:szCs w:val="24"/>
                      <w:lang w:val="en-US" w:eastAsia="zh-CN" w:bidi="ar-SA"/>
                    </w:rPr>
                    <w:t>率100%</w:t>
                  </w:r>
                  <w:r>
                    <w:rPr>
                      <w:rFonts w:hint="eastAsia" w:cstheme="minorBidi"/>
                      <w:b w:val="0"/>
                      <w:bCs/>
                      <w:kern w:val="44"/>
                      <w:sz w:val="21"/>
                      <w:szCs w:val="24"/>
                      <w:lang w:val="en-US" w:eastAsia="zh-CN" w:bidi="ar-SA"/>
                    </w:rPr>
                    <w:t>。</w:t>
                  </w:r>
                </w:p>
              </w:tc>
              <w:tc>
                <w:tcPr>
                  <w:tcW w:w="506" w:type="pc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cstheme="minorBidi"/>
                      <w:b w:val="0"/>
                      <w:bCs/>
                      <w:kern w:val="44"/>
                      <w:sz w:val="21"/>
                      <w:szCs w:val="24"/>
                      <w:lang w:val="en-US" w:eastAsia="zh-CN" w:bidi="ar-SA"/>
                    </w:rPr>
                  </w:pPr>
                  <w:r>
                    <w:rPr>
                      <w:rFonts w:hint="eastAsia" w:cstheme="minorBidi"/>
                      <w:b w:val="0"/>
                      <w:bCs/>
                      <w:kern w:val="44"/>
                      <w:sz w:val="21"/>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0" w:type="pc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cstheme="minorBidi"/>
                      <w:b w:val="0"/>
                      <w:bCs/>
                      <w:kern w:val="44"/>
                      <w:sz w:val="21"/>
                      <w:szCs w:val="24"/>
                      <w:lang w:val="en-US" w:eastAsia="zh-CN" w:bidi="ar-SA"/>
                    </w:rPr>
                  </w:pPr>
                  <w:r>
                    <w:rPr>
                      <w:rFonts w:hint="eastAsia" w:cstheme="minorBidi"/>
                      <w:b w:val="0"/>
                      <w:bCs/>
                      <w:kern w:val="44"/>
                      <w:sz w:val="21"/>
                      <w:szCs w:val="24"/>
                      <w:lang w:val="en-US" w:eastAsia="zh-CN" w:bidi="ar-SA"/>
                    </w:rPr>
                    <w:t>6</w:t>
                  </w:r>
                </w:p>
              </w:tc>
              <w:tc>
                <w:tcPr>
                  <w:tcW w:w="2235" w:type="pc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新建、改（扩）建矿山应在矿山开采前完成《矿山生态环境保护与恢复治理方案》编制工作。位于荒漠和风沙区的矿产资源开发应尽可能避开易发生风蚀和生态退化地带；排土场、料场等场地应采取围挡和覆盖等防风蚀措施。水蚀敏感区矿产资源开发应科学设置露天采场、排土场及料场，并采取边坡防护、工程拦挡等水土保持措施。矿山生产过程中应采取复垦措施，对露天坑、废石场等永久性坡面进行稳定化处理，防止水土流失和滑坡。历史遗留矿山开采破坏土地复垦率达到45%以上，新建矿山应做到边开采、边复垦，破坏土地复垦率达到85%以上。</w:t>
                  </w:r>
                </w:p>
              </w:tc>
              <w:tc>
                <w:tcPr>
                  <w:tcW w:w="1917" w:type="pc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heme="minorBidi"/>
                      <w:b w:val="0"/>
                      <w:bCs/>
                      <w:kern w:val="44"/>
                      <w:sz w:val="21"/>
                      <w:szCs w:val="24"/>
                      <w:lang w:val="en-US" w:eastAsia="zh-CN" w:bidi="ar-SA"/>
                    </w:rPr>
                  </w:pPr>
                  <w:r>
                    <w:rPr>
                      <w:rFonts w:hint="default" w:ascii="Times New Roman" w:hAnsi="Times New Roman" w:eastAsia="宋体" w:cstheme="minorBidi"/>
                      <w:b w:val="0"/>
                      <w:bCs/>
                      <w:kern w:val="44"/>
                      <w:sz w:val="21"/>
                      <w:szCs w:val="24"/>
                      <w:lang w:val="en-US" w:eastAsia="zh-CN" w:bidi="ar-SA"/>
                    </w:rPr>
                    <w:t>本项目已编制《矿产资源开发利用与生态保护修复方案》，堆料场采取围挡和遮盖的措施，防止水土流失。</w:t>
                  </w:r>
                </w:p>
              </w:tc>
              <w:tc>
                <w:tcPr>
                  <w:tcW w:w="506" w:type="pc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cstheme="minorBidi"/>
                      <w:b w:val="0"/>
                      <w:bCs/>
                      <w:kern w:val="44"/>
                      <w:sz w:val="21"/>
                      <w:szCs w:val="24"/>
                      <w:lang w:val="en-US" w:eastAsia="zh-CN" w:bidi="ar-SA"/>
                    </w:rPr>
                  </w:pPr>
                  <w:r>
                    <w:rPr>
                      <w:rFonts w:hint="eastAsia" w:cstheme="minorBidi"/>
                      <w:b w:val="0"/>
                      <w:bCs/>
                      <w:kern w:val="44"/>
                      <w:sz w:val="21"/>
                      <w:szCs w:val="24"/>
                      <w:lang w:val="en-US" w:eastAsia="zh-CN" w:bidi="ar-SA"/>
                    </w:rPr>
                    <w:t>符合</w:t>
                  </w:r>
                </w:p>
              </w:tc>
            </w:tr>
          </w:tbl>
          <w:p>
            <w:pPr>
              <w:pStyle w:val="16"/>
              <w:numPr>
                <w:ilvl w:val="0"/>
                <w:numId w:val="0"/>
              </w:numPr>
              <w:spacing w:line="360" w:lineRule="auto"/>
              <w:ind w:firstLine="480" w:firstLineChars="200"/>
              <w:rPr>
                <w:rFonts w:hint="eastAsia" w:ascii="Times New Roman" w:hAnsi="Times New Roman" w:eastAsia="宋体" w:cstheme="minorBidi"/>
                <w:bCs/>
                <w:kern w:val="2"/>
                <w:sz w:val="24"/>
                <w:szCs w:val="24"/>
                <w:lang w:val="en-US" w:eastAsia="zh-CN" w:bidi="ar-SA"/>
              </w:rPr>
            </w:pPr>
          </w:p>
        </w:tc>
      </w:tr>
    </w:tbl>
    <w:p>
      <w:r>
        <w:br w:type="page"/>
      </w:r>
    </w:p>
    <w:p>
      <w:pPr>
        <w:pStyle w:val="2"/>
        <w:numPr>
          <w:ilvl w:val="0"/>
          <w:numId w:val="0"/>
        </w:numPr>
        <w:jc w:val="center"/>
      </w:pPr>
      <w:r>
        <w:rPr>
          <w:rFonts w:hint="eastAsia" w:ascii="Times New Roman" w:hAnsi="Times New Roman" w:eastAsia="宋体" w:cstheme="minorBidi"/>
          <w:b/>
          <w:kern w:val="44"/>
          <w:sz w:val="30"/>
          <w:szCs w:val="24"/>
          <w:lang w:val="en-US" w:eastAsia="zh-CN" w:bidi="ar-SA"/>
        </w:rPr>
        <w:t>二、</w:t>
      </w:r>
      <w:r>
        <w:rPr>
          <w:rFonts w:hint="eastAsia"/>
        </w:rPr>
        <w:t>建设内容</w:t>
      </w:r>
    </w:p>
    <w:tbl>
      <w:tblPr>
        <w:tblStyle w:val="24"/>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pStyle w:val="31"/>
              <w:rPr>
                <w:rFonts w:hint="default"/>
              </w:rPr>
            </w:pPr>
            <w:r>
              <w:t>地理位置</w:t>
            </w:r>
          </w:p>
        </w:tc>
        <w:tc>
          <w:tcPr>
            <w:tcW w:w="7831" w:type="dxa"/>
            <w:vAlign w:val="center"/>
          </w:tcPr>
          <w:p>
            <w:pPr>
              <w:ind w:left="0" w:leftChars="0" w:firstLine="480" w:firstLineChars="200"/>
              <w:jc w:val="left"/>
              <w:rPr>
                <w:rFonts w:hint="default" w:ascii="Times New Roman" w:hAnsi="Times New Roman" w:cs="Times New Roman"/>
                <w:lang w:val="en-US"/>
              </w:rPr>
            </w:pPr>
            <w:r>
              <w:rPr>
                <w:rFonts w:hint="default" w:ascii="Times New Roman" w:hAnsi="Times New Roman" w:eastAsia="宋体" w:cs="Times New Roman"/>
                <w:color w:val="auto"/>
                <w:sz w:val="24"/>
                <w:szCs w:val="24"/>
                <w:lang w:eastAsia="zh-CN"/>
              </w:rPr>
              <w:t>矿区位于托克逊县45°方位直线距离14千米处，行政区划隶属于托克逊县管辖。</w:t>
            </w:r>
            <w:r>
              <w:rPr>
                <w:rFonts w:hint="eastAsia" w:cs="Times New Roman"/>
                <w:color w:val="auto"/>
                <w:sz w:val="24"/>
                <w:szCs w:val="24"/>
                <w:lang w:eastAsia="zh-CN"/>
              </w:rPr>
              <w:t>项目区东侧、西侧、北侧均为</w:t>
            </w:r>
            <w:r>
              <w:rPr>
                <w:rFonts w:hint="eastAsia" w:cs="Times New Roman"/>
                <w:color w:val="000000" w:themeColor="text1"/>
                <w:sz w:val="24"/>
                <w:szCs w:val="24"/>
                <w:lang w:eastAsia="zh-CN"/>
                <w14:textFill>
                  <w14:solidFill>
                    <w14:schemeClr w14:val="tx1"/>
                  </w14:solidFill>
                </w14:textFill>
              </w:rPr>
              <w:t>空地，南侧为富民砂石料厂</w:t>
            </w:r>
            <w:r>
              <w:rPr>
                <w:rFonts w:hint="default" w:ascii="Times New Roman" w:hAnsi="Times New Roman" w:eastAsia="宋体" w:cs="Times New Roman"/>
                <w:color w:val="000000" w:themeColor="text1"/>
                <w:sz w:val="24"/>
                <w:szCs w:val="24"/>
                <w:lang w:eastAsia="zh-CN"/>
                <w14:textFill>
                  <w14:solidFill>
                    <w14:schemeClr w14:val="tx1"/>
                  </w14:solidFill>
                </w14:textFill>
              </w:rPr>
              <w:t>。从托克逊县至矿区有公路、简易道</w:t>
            </w:r>
            <w:r>
              <w:rPr>
                <w:rFonts w:hint="default" w:ascii="Times New Roman" w:hAnsi="Times New Roman" w:eastAsia="宋体" w:cs="Times New Roman"/>
                <w:color w:val="auto"/>
                <w:sz w:val="24"/>
                <w:szCs w:val="24"/>
                <w:lang w:eastAsia="zh-CN"/>
              </w:rPr>
              <w:t>路相通，从托克逊县向东沿S202行驶16千米，后向北进入乡村水泥路行驶3千米到达乡道X050到达矿区附近，沿简易道路行驶2.2千米到达矿区，总运距21.2千米，交通便利。</w:t>
            </w:r>
            <w:r>
              <w:rPr>
                <w:rFonts w:hint="default" w:ascii="Times New Roman" w:hAnsi="Times New Roman" w:eastAsia="宋体" w:cs="Times New Roman"/>
                <w:color w:val="auto"/>
                <w:sz w:val="24"/>
                <w:szCs w:val="24"/>
                <w:lang w:val="en-US" w:eastAsia="zh-CN"/>
              </w:rPr>
              <w:t>地理位置图详见附图2</w:t>
            </w:r>
            <w:r>
              <w:rPr>
                <w:rFonts w:hint="eastAsia" w:cs="Times New Roman"/>
                <w:color w:val="auto"/>
                <w:sz w:val="24"/>
                <w:szCs w:val="24"/>
                <w:lang w:val="en-US" w:eastAsia="zh-CN"/>
              </w:rPr>
              <w:t>、项目与周边环境关系图</w:t>
            </w:r>
            <w:r>
              <w:rPr>
                <w:rFonts w:hint="default" w:ascii="Times New Roman" w:hAnsi="Times New Roman" w:eastAsia="宋体" w:cs="Times New Roman"/>
                <w:color w:val="auto"/>
                <w:sz w:val="24"/>
                <w:szCs w:val="24"/>
                <w:lang w:val="en-US" w:eastAsia="zh-CN"/>
              </w:rPr>
              <w:t>详见附图</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ind w:firstLine="0" w:firstLineChars="0"/>
              <w:jc w:val="center"/>
              <w:rPr>
                <w:sz w:val="21"/>
                <w:szCs w:val="21"/>
              </w:rPr>
            </w:pPr>
            <w:r>
              <w:rPr>
                <w:rFonts w:hint="eastAsia"/>
                <w:sz w:val="21"/>
                <w:szCs w:val="21"/>
              </w:rPr>
              <w:t>项目组成及规模</w:t>
            </w:r>
          </w:p>
        </w:tc>
        <w:tc>
          <w:tcPr>
            <w:tcW w:w="7831" w:type="dxa"/>
            <w:vAlign w:val="center"/>
          </w:tcPr>
          <w:p>
            <w:pPr>
              <w:pStyle w:val="3"/>
              <w:numPr>
                <w:ilvl w:val="0"/>
                <w:numId w:val="0"/>
              </w:numPr>
              <w:spacing w:before="156" w:after="156"/>
              <w:outlineLvl w:val="1"/>
              <w:rPr>
                <w:rFonts w:hint="default" w:ascii="Times New Roman" w:hAnsi="Times New Roman" w:eastAsia="宋体" w:cs="Times New Roman"/>
                <w:lang w:val="en-US" w:eastAsia="zh-CN"/>
              </w:rPr>
            </w:pPr>
            <w:r>
              <w:rPr>
                <w:rFonts w:hint="default" w:ascii="Times New Roman" w:hAnsi="Times New Roman" w:eastAsia="宋体" w:cs="Times New Roman"/>
                <w:b/>
                <w:kern w:val="2"/>
                <w:sz w:val="24"/>
                <w:szCs w:val="24"/>
                <w:lang w:val="en-US" w:eastAsia="zh-CN" w:bidi="ar-SA"/>
              </w:rPr>
              <w:t>1.</w:t>
            </w:r>
            <w:r>
              <w:rPr>
                <w:rFonts w:hint="default" w:ascii="Times New Roman" w:hAnsi="Times New Roman" w:cs="Times New Roman"/>
                <w:lang w:val="en-US" w:eastAsia="zh-CN"/>
              </w:rPr>
              <w:t>项目概况及规模</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矿山名称：托克逊县博旭砂石有限公司新疆托克逊县英阿瓦提建筑用砂矿；</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矿山位置：</w:t>
            </w:r>
            <w:r>
              <w:rPr>
                <w:rFonts w:hint="default" w:ascii="Times New Roman" w:hAnsi="Times New Roman" w:eastAsia="宋体" w:cs="Times New Roman"/>
                <w:color w:val="auto"/>
                <w:sz w:val="24"/>
                <w:szCs w:val="24"/>
                <w:lang w:val="en-US" w:eastAsia="zh-CN"/>
              </w:rPr>
              <w:t>托克逊县</w:t>
            </w:r>
            <w:r>
              <w:rPr>
                <w:rFonts w:hint="default" w:ascii="Times New Roman" w:hAnsi="Times New Roman" w:eastAsia="宋体" w:cs="Times New Roman"/>
                <w:color w:val="auto"/>
                <w:sz w:val="24"/>
                <w:szCs w:val="24"/>
              </w:rPr>
              <w:t>；</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隶属关系：托克逊县博旭砂石有限公司；</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企业性质：有限责任公司；</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矿山类型：</w:t>
            </w:r>
            <w:r>
              <w:rPr>
                <w:rFonts w:hint="default" w:ascii="Times New Roman" w:hAnsi="Times New Roman" w:eastAsia="宋体" w:cs="Times New Roman"/>
                <w:color w:val="auto"/>
                <w:sz w:val="24"/>
                <w:szCs w:val="24"/>
                <w:lang w:val="en-US" w:eastAsia="zh-CN"/>
              </w:rPr>
              <w:t>新建矿山</w:t>
            </w:r>
            <w:r>
              <w:rPr>
                <w:rFonts w:hint="default" w:ascii="Times New Roman" w:hAnsi="Times New Roman" w:eastAsia="宋体" w:cs="Times New Roman"/>
                <w:color w:val="auto"/>
                <w:sz w:val="24"/>
                <w:szCs w:val="24"/>
              </w:rPr>
              <w:t>；</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开采矿种：</w:t>
            </w:r>
            <w:r>
              <w:rPr>
                <w:rFonts w:hint="default" w:ascii="Times New Roman" w:hAnsi="Times New Roman" w:cs="Times New Roman"/>
                <w:color w:val="auto"/>
                <w:lang w:eastAsia="zh-CN"/>
              </w:rPr>
              <w:t>建筑用砂矿</w:t>
            </w:r>
            <w:r>
              <w:rPr>
                <w:rFonts w:hint="default" w:ascii="Times New Roman" w:hAnsi="Times New Roman" w:eastAsia="宋体" w:cs="Times New Roman"/>
                <w:color w:val="auto"/>
                <w:sz w:val="24"/>
                <w:szCs w:val="24"/>
              </w:rPr>
              <w:t>；</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开采方式：露天开采；</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rPr>
              <w:t>生产规模：6万立方米/年；</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rPr>
              <w:t>开采</w:t>
            </w:r>
            <w:r>
              <w:rPr>
                <w:rFonts w:hint="default" w:ascii="Times New Roman" w:hAnsi="Times New Roman" w:eastAsia="宋体" w:cs="Times New Roman"/>
                <w:color w:val="auto"/>
                <w:sz w:val="24"/>
                <w:szCs w:val="24"/>
                <w:lang w:val="en-US" w:eastAsia="zh-CN"/>
              </w:rPr>
              <w:t>标高及</w:t>
            </w:r>
            <w:r>
              <w:rPr>
                <w:rFonts w:hint="default" w:ascii="Times New Roman" w:hAnsi="Times New Roman" w:eastAsia="宋体" w:cs="Times New Roman"/>
                <w:color w:val="auto"/>
                <w:sz w:val="24"/>
                <w:szCs w:val="24"/>
              </w:rPr>
              <w:t>深度：开采标高由-7.0米至-11.5米；</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（10）</w:t>
            </w:r>
            <w:r>
              <w:rPr>
                <w:rFonts w:hint="eastAsia" w:cs="Times New Roman"/>
                <w:color w:val="auto"/>
                <w:sz w:val="24"/>
                <w:szCs w:val="24"/>
                <w:lang w:val="en-US" w:eastAsia="zh-CN"/>
              </w:rPr>
              <w:t>服务年限：5年2个月；</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（11）</w:t>
            </w:r>
            <w:r>
              <w:rPr>
                <w:rFonts w:hint="default" w:ascii="Times New Roman" w:hAnsi="Times New Roman" w:eastAsia="宋体" w:cs="Times New Roman"/>
                <w:color w:val="auto"/>
                <w:sz w:val="24"/>
                <w:szCs w:val="24"/>
              </w:rPr>
              <w:t>占用土地类型及面积：矿区范围面积0.2024平方千米，占用土地类型为采矿用地及裸岩石砾地</w:t>
            </w:r>
            <w:r>
              <w:rPr>
                <w:rFonts w:hint="default" w:ascii="Times New Roman" w:hAnsi="Times New Roman" w:eastAsia="宋体" w:cs="Times New Roman"/>
                <w:color w:val="auto"/>
                <w:sz w:val="24"/>
                <w:szCs w:val="24"/>
                <w:lang w:val="en-US" w:eastAsia="zh-CN"/>
              </w:rPr>
              <w:t>。</w:t>
            </w:r>
          </w:p>
          <w:p>
            <w:pPr>
              <w:pStyle w:val="5"/>
              <w:pageBreakBefore w:val="0"/>
              <w:widowControl w:val="0"/>
              <w:kinsoku/>
              <w:wordWrap/>
              <w:overflowPunct/>
              <w:topLinePunct w:val="0"/>
              <w:autoSpaceDE/>
              <w:autoSpaceDN/>
              <w:bidi w:val="0"/>
              <w:spacing w:line="360" w:lineRule="auto"/>
              <w:ind w:left="0" w:leftChars="0" w:firstLine="0" w:firstLineChars="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2.主要建设内容</w:t>
            </w:r>
            <w:r>
              <w:rPr>
                <w:rFonts w:hint="eastAsia" w:ascii="Times New Roman" w:hAnsi="Times New Roman" w:eastAsia="宋体" w:cs="Times New Roman"/>
                <w:color w:val="auto"/>
                <w:sz w:val="24"/>
                <w:szCs w:val="24"/>
                <w:lang w:val="en-US" w:eastAsia="zh-CN"/>
              </w:rPr>
              <w:t>及开采方式</w:t>
            </w:r>
          </w:p>
          <w:p>
            <w:pPr>
              <w:rPr>
                <w:rFonts w:hint="eastAsia" w:ascii="Times New Roman" w:hAnsi="Times New Roman" w:cs="Times New Roman"/>
                <w:b/>
                <w:bCs/>
                <w:lang w:val="en-US" w:eastAsia="zh-CN"/>
              </w:rPr>
            </w:pPr>
            <w:r>
              <w:rPr>
                <w:rFonts w:hint="eastAsia" w:cs="Times New Roman"/>
                <w:b/>
                <w:bCs/>
                <w:lang w:val="en-US" w:eastAsia="zh-CN"/>
              </w:rPr>
              <w:t>2.1</w:t>
            </w:r>
            <w:r>
              <w:rPr>
                <w:rFonts w:hint="eastAsia" w:ascii="Times New Roman" w:hAnsi="Times New Roman" w:cs="Times New Roman"/>
                <w:b/>
                <w:bCs/>
                <w:lang w:val="en-US" w:eastAsia="zh-CN"/>
              </w:rPr>
              <w:t>主要建设内容</w:t>
            </w:r>
          </w:p>
          <w:p>
            <w:pPr>
              <w:rPr>
                <w:rFonts w:hint="default" w:ascii="Times New Roman" w:hAnsi="Times New Roman" w:eastAsia="宋体" w:cs="Times New Roman"/>
                <w:b w:val="0"/>
                <w:bCs w:val="0"/>
                <w:lang w:val="en-US" w:eastAsia="zh-CN"/>
              </w:rPr>
            </w:pPr>
            <w:r>
              <w:rPr>
                <w:rFonts w:hint="eastAsia" w:ascii="Times New Roman" w:hAnsi="Times New Roman" w:cs="Times New Roman"/>
                <w:b w:val="0"/>
                <w:bCs w:val="0"/>
                <w:lang w:val="en-US" w:eastAsia="zh-CN"/>
              </w:rPr>
              <w:t>详见下表2-1</w:t>
            </w:r>
            <w:r>
              <w:rPr>
                <w:rFonts w:hint="eastAsia" w:cs="Times New Roman"/>
                <w:b w:val="0"/>
                <w:bCs w:val="0"/>
                <w:lang w:val="en-US" w:eastAsia="zh-CN"/>
              </w:rPr>
              <w:t>。</w:t>
            </w:r>
          </w:p>
          <w:p>
            <w:pPr>
              <w:pStyle w:val="28"/>
              <w:spacing w:before="156"/>
              <w:rPr>
                <w:rFonts w:hint="default" w:ascii="Times New Roman" w:hAnsi="Times New Roman" w:cs="Times New Roman"/>
                <w:b/>
                <w:bCs/>
                <w:sz w:val="21"/>
                <w:szCs w:val="21"/>
              </w:rPr>
            </w:pPr>
            <w:r>
              <w:rPr>
                <w:rFonts w:hint="default" w:ascii="Times New Roman" w:hAnsi="Times New Roman" w:cs="Times New Roman"/>
                <w:b/>
                <w:bCs/>
                <w:sz w:val="21"/>
                <w:szCs w:val="21"/>
              </w:rPr>
              <w:t>表2-1 建设项目主要工程一览表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749"/>
              <w:gridCol w:w="990"/>
              <w:gridCol w:w="4660"/>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Align w:val="center"/>
                </w:tcPr>
                <w:p>
                  <w:pPr>
                    <w:pStyle w:val="31"/>
                    <w:spacing w:line="240" w:lineRule="auto"/>
                    <w:rPr>
                      <w:rFonts w:hint="default" w:ascii="Times New Roman" w:hAnsi="Times New Roman" w:cs="Times New Roman"/>
                      <w:b/>
                      <w:bCs/>
                      <w:sz w:val="21"/>
                      <w:szCs w:val="21"/>
                    </w:rPr>
                  </w:pPr>
                  <w:r>
                    <w:rPr>
                      <w:rFonts w:hint="default" w:ascii="Times New Roman" w:hAnsi="Times New Roman" w:cs="Times New Roman"/>
                      <w:b/>
                      <w:bCs/>
                      <w:sz w:val="21"/>
                      <w:szCs w:val="21"/>
                    </w:rPr>
                    <w:t>序号</w:t>
                  </w:r>
                </w:p>
              </w:tc>
              <w:tc>
                <w:tcPr>
                  <w:tcW w:w="492" w:type="pct"/>
                  <w:vAlign w:val="center"/>
                </w:tcPr>
                <w:p>
                  <w:pPr>
                    <w:pStyle w:val="31"/>
                    <w:spacing w:line="240" w:lineRule="auto"/>
                    <w:rPr>
                      <w:rFonts w:hint="default" w:ascii="Times New Roman" w:hAnsi="Times New Roman" w:cs="Times New Roman"/>
                      <w:b/>
                      <w:bCs/>
                      <w:sz w:val="21"/>
                      <w:szCs w:val="21"/>
                    </w:rPr>
                  </w:pPr>
                  <w:r>
                    <w:rPr>
                      <w:rFonts w:hint="default" w:ascii="Times New Roman" w:hAnsi="Times New Roman" w:cs="Times New Roman"/>
                      <w:b/>
                      <w:bCs/>
                      <w:sz w:val="21"/>
                      <w:szCs w:val="21"/>
                    </w:rPr>
                    <w:t>项目</w:t>
                  </w:r>
                </w:p>
                <w:p>
                  <w:pPr>
                    <w:pStyle w:val="31"/>
                    <w:spacing w:line="240" w:lineRule="auto"/>
                    <w:rPr>
                      <w:rFonts w:hint="default" w:ascii="Times New Roman" w:hAnsi="Times New Roman" w:cs="Times New Roman"/>
                      <w:b/>
                      <w:bCs/>
                      <w:sz w:val="21"/>
                      <w:szCs w:val="21"/>
                    </w:rPr>
                  </w:pPr>
                  <w:r>
                    <w:rPr>
                      <w:rFonts w:hint="default" w:ascii="Times New Roman" w:hAnsi="Times New Roman" w:cs="Times New Roman"/>
                      <w:b/>
                      <w:bCs/>
                      <w:sz w:val="21"/>
                      <w:szCs w:val="21"/>
                    </w:rPr>
                    <w:t>类别</w:t>
                  </w:r>
                </w:p>
              </w:tc>
              <w:tc>
                <w:tcPr>
                  <w:tcW w:w="651" w:type="pct"/>
                  <w:vAlign w:val="center"/>
                </w:tcPr>
                <w:p>
                  <w:pPr>
                    <w:pStyle w:val="31"/>
                    <w:spacing w:line="240" w:lineRule="auto"/>
                    <w:rPr>
                      <w:rFonts w:hint="default" w:ascii="Times New Roman" w:hAnsi="Times New Roman" w:cs="Times New Roman"/>
                      <w:b/>
                      <w:bCs/>
                      <w:sz w:val="21"/>
                      <w:szCs w:val="21"/>
                    </w:rPr>
                  </w:pPr>
                  <w:r>
                    <w:rPr>
                      <w:rFonts w:hint="default" w:ascii="Times New Roman" w:hAnsi="Times New Roman" w:cs="Times New Roman"/>
                      <w:b/>
                      <w:bCs/>
                      <w:sz w:val="21"/>
                      <w:szCs w:val="21"/>
                    </w:rPr>
                    <w:t>工程</w:t>
                  </w:r>
                </w:p>
                <w:p>
                  <w:pPr>
                    <w:pStyle w:val="31"/>
                    <w:spacing w:line="240" w:lineRule="auto"/>
                    <w:rPr>
                      <w:rFonts w:hint="default" w:ascii="Times New Roman" w:hAnsi="Times New Roman" w:cs="Times New Roman"/>
                      <w:b/>
                      <w:bCs/>
                      <w:sz w:val="21"/>
                      <w:szCs w:val="21"/>
                    </w:rPr>
                  </w:pPr>
                  <w:r>
                    <w:rPr>
                      <w:rFonts w:hint="default" w:ascii="Times New Roman" w:hAnsi="Times New Roman" w:cs="Times New Roman"/>
                      <w:b/>
                      <w:bCs/>
                      <w:sz w:val="21"/>
                      <w:szCs w:val="21"/>
                    </w:rPr>
                    <w:t>名称</w:t>
                  </w:r>
                </w:p>
              </w:tc>
              <w:tc>
                <w:tcPr>
                  <w:tcW w:w="3063" w:type="pct"/>
                  <w:vAlign w:val="center"/>
                </w:tcPr>
                <w:p>
                  <w:pPr>
                    <w:pStyle w:val="31"/>
                    <w:spacing w:line="240" w:lineRule="auto"/>
                    <w:rPr>
                      <w:rFonts w:hint="default" w:ascii="Times New Roman" w:hAnsi="Times New Roman" w:cs="Times New Roman"/>
                      <w:b/>
                      <w:bCs/>
                      <w:sz w:val="21"/>
                      <w:szCs w:val="21"/>
                    </w:rPr>
                  </w:pPr>
                  <w:r>
                    <w:rPr>
                      <w:rFonts w:hint="default" w:ascii="Times New Roman" w:hAnsi="Times New Roman" w:cs="Times New Roman"/>
                      <w:b/>
                      <w:bCs/>
                      <w:sz w:val="21"/>
                      <w:szCs w:val="21"/>
                    </w:rPr>
                    <w:t>工程内容</w:t>
                  </w:r>
                </w:p>
              </w:tc>
              <w:tc>
                <w:tcPr>
                  <w:tcW w:w="445" w:type="pct"/>
                  <w:vAlign w:val="center"/>
                </w:tcPr>
                <w:p>
                  <w:pPr>
                    <w:pStyle w:val="31"/>
                    <w:spacing w:line="240" w:lineRule="auto"/>
                    <w:rPr>
                      <w:rFonts w:hint="default" w:ascii="Times New Roman" w:hAnsi="Times New Roman" w:cs="Times New Roman"/>
                      <w:b/>
                      <w:bCs/>
                      <w:sz w:val="21"/>
                      <w:szCs w:val="21"/>
                    </w:rPr>
                  </w:pPr>
                  <w:r>
                    <w:rPr>
                      <w:rFonts w:hint="default" w:ascii="Times New Roman" w:hAnsi="Times New Roman" w:cs="Times New Roman"/>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restart"/>
                  <w:vAlign w:val="center"/>
                </w:tcPr>
                <w:p>
                  <w:pPr>
                    <w:pStyle w:val="31"/>
                    <w:spacing w:line="240" w:lineRule="auto"/>
                    <w:rPr>
                      <w:rFonts w:hint="default" w:ascii="Times New Roman" w:hAnsi="Times New Roman" w:eastAsia="宋体" w:cs="Times New Roman"/>
                      <w:b w:val="0"/>
                      <w:kern w:val="2"/>
                      <w:sz w:val="21"/>
                      <w:szCs w:val="21"/>
                      <w:lang w:val="en-US" w:eastAsia="zh-CN" w:bidi="ar-SA"/>
                    </w:rPr>
                  </w:pPr>
                  <w:r>
                    <w:rPr>
                      <w:rFonts w:hint="default" w:ascii="Times New Roman" w:hAnsi="Times New Roman" w:eastAsia="宋体" w:cs="Times New Roman"/>
                      <w:b w:val="0"/>
                      <w:kern w:val="2"/>
                      <w:sz w:val="21"/>
                      <w:szCs w:val="21"/>
                      <w:lang w:val="en-US" w:eastAsia="zh-CN" w:bidi="ar-SA"/>
                    </w:rPr>
                    <w:t>1</w:t>
                  </w:r>
                </w:p>
              </w:tc>
              <w:tc>
                <w:tcPr>
                  <w:tcW w:w="492" w:type="pct"/>
                  <w:vMerge w:val="restart"/>
                  <w:vAlign w:val="center"/>
                </w:tcPr>
                <w:p>
                  <w:pPr>
                    <w:pStyle w:val="31"/>
                    <w:spacing w:line="240" w:lineRule="auto"/>
                    <w:rPr>
                      <w:rFonts w:hint="default" w:ascii="Times New Roman" w:hAnsi="Times New Roman" w:eastAsia="宋体" w:cs="Times New Roman"/>
                      <w:b w:val="0"/>
                      <w:kern w:val="2"/>
                      <w:sz w:val="21"/>
                      <w:szCs w:val="21"/>
                      <w:lang w:val="en-US" w:eastAsia="zh-CN" w:bidi="ar-SA"/>
                    </w:rPr>
                  </w:pPr>
                  <w:r>
                    <w:rPr>
                      <w:rFonts w:hint="default" w:ascii="Times New Roman" w:hAnsi="Times New Roman" w:eastAsia="宋体" w:cs="Times New Roman"/>
                      <w:b w:val="0"/>
                      <w:kern w:val="2"/>
                      <w:sz w:val="21"/>
                      <w:szCs w:val="21"/>
                      <w:lang w:val="en-US" w:eastAsia="zh-CN" w:bidi="ar-SA"/>
                    </w:rPr>
                    <w:t>主体工程</w:t>
                  </w:r>
                </w:p>
              </w:tc>
              <w:tc>
                <w:tcPr>
                  <w:tcW w:w="651" w:type="pct"/>
                  <w:vAlign w:val="center"/>
                </w:tcPr>
                <w:p>
                  <w:pPr>
                    <w:pStyle w:val="31"/>
                    <w:spacing w:line="240" w:lineRule="auto"/>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cs="Times New Roman"/>
                      <w:b w:val="0"/>
                      <w:color w:val="auto"/>
                      <w:kern w:val="2"/>
                      <w:sz w:val="21"/>
                      <w:szCs w:val="21"/>
                      <w:lang w:val="en-US" w:eastAsia="zh-CN" w:bidi="ar-SA"/>
                    </w:rPr>
                    <w:t>露</w:t>
                  </w:r>
                  <w:r>
                    <w:rPr>
                      <w:rFonts w:hint="default" w:ascii="Times New Roman" w:hAnsi="Times New Roman" w:eastAsia="宋体" w:cs="Times New Roman"/>
                      <w:b w:val="0"/>
                      <w:color w:val="auto"/>
                      <w:kern w:val="2"/>
                      <w:sz w:val="21"/>
                      <w:szCs w:val="21"/>
                      <w:lang w:val="en-US" w:eastAsia="zh-CN" w:bidi="ar-SA"/>
                    </w:rPr>
                    <w:t>天采场</w:t>
                  </w:r>
                </w:p>
              </w:tc>
              <w:tc>
                <w:tcPr>
                  <w:tcW w:w="3063" w:type="pct"/>
                  <w:vAlign w:val="center"/>
                </w:tcPr>
                <w:p>
                  <w:pPr>
                    <w:keepNext w:val="0"/>
                    <w:keepLines w:val="0"/>
                    <w:widowControl/>
                    <w:suppressLineNumbers w:val="0"/>
                    <w:spacing w:line="240" w:lineRule="auto"/>
                    <w:ind w:left="0" w:leftChars="0" w:firstLine="210" w:firstLineChars="100"/>
                    <w:jc w:val="left"/>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1处露天采场，总占地面积182000平方米，规划设施均位于规划露天采场范围内，呈正地形的规则状，形成1个台段，最大台阶高度4.5米，台阶坡面角30°，最终帮坡角30°，矿体出露于地表，植被不发育。</w:t>
                  </w:r>
                </w:p>
              </w:tc>
              <w:tc>
                <w:tcPr>
                  <w:tcW w:w="445" w:type="pct"/>
                  <w:vAlign w:val="center"/>
                </w:tcPr>
                <w:p>
                  <w:pPr>
                    <w:pStyle w:val="31"/>
                    <w:spacing w:line="240" w:lineRule="auto"/>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vAlign w:val="center"/>
                </w:tcPr>
                <w:p>
                  <w:pPr>
                    <w:pStyle w:val="31"/>
                    <w:spacing w:line="240" w:lineRule="auto"/>
                    <w:rPr>
                      <w:rFonts w:hint="default" w:ascii="Times New Roman" w:hAnsi="Times New Roman" w:eastAsia="宋体" w:cs="Times New Roman"/>
                      <w:b w:val="0"/>
                      <w:kern w:val="2"/>
                      <w:sz w:val="21"/>
                      <w:szCs w:val="21"/>
                      <w:lang w:val="en-US" w:eastAsia="zh-CN" w:bidi="ar-SA"/>
                    </w:rPr>
                  </w:pPr>
                </w:p>
              </w:tc>
              <w:tc>
                <w:tcPr>
                  <w:tcW w:w="492" w:type="pct"/>
                  <w:vMerge w:val="continue"/>
                  <w:vAlign w:val="center"/>
                </w:tcPr>
                <w:p>
                  <w:pPr>
                    <w:pStyle w:val="31"/>
                    <w:spacing w:line="240" w:lineRule="auto"/>
                    <w:rPr>
                      <w:rFonts w:hint="default" w:ascii="Times New Roman" w:hAnsi="Times New Roman" w:eastAsia="宋体" w:cs="Times New Roman"/>
                      <w:b w:val="0"/>
                      <w:kern w:val="2"/>
                      <w:sz w:val="21"/>
                      <w:szCs w:val="21"/>
                      <w:lang w:val="en-US" w:eastAsia="zh-CN" w:bidi="ar-SA"/>
                    </w:rPr>
                  </w:pPr>
                </w:p>
              </w:tc>
              <w:tc>
                <w:tcPr>
                  <w:tcW w:w="651" w:type="pct"/>
                  <w:vAlign w:val="center"/>
                </w:tcPr>
                <w:p>
                  <w:pPr>
                    <w:pStyle w:val="31"/>
                    <w:spacing w:line="240" w:lineRule="auto"/>
                    <w:rPr>
                      <w:rFonts w:hint="default" w:ascii="Times New Roman" w:hAnsi="Times New Roman" w:cs="Times New Roman"/>
                      <w:b w:val="0"/>
                      <w:color w:val="auto"/>
                      <w:kern w:val="2"/>
                      <w:sz w:val="21"/>
                      <w:szCs w:val="21"/>
                      <w:lang w:val="en-US" w:eastAsia="zh-CN" w:bidi="ar-SA"/>
                    </w:rPr>
                  </w:pPr>
                  <w:r>
                    <w:rPr>
                      <w:rFonts w:hint="default" w:ascii="Times New Roman" w:hAnsi="Times New Roman" w:cs="Times New Roman"/>
                      <w:b w:val="0"/>
                      <w:color w:val="auto"/>
                      <w:kern w:val="2"/>
                      <w:sz w:val="21"/>
                      <w:szCs w:val="21"/>
                      <w:lang w:val="en-US" w:eastAsia="zh-CN" w:bidi="ar-SA"/>
                    </w:rPr>
                    <w:t>工业广场</w:t>
                  </w:r>
                </w:p>
              </w:tc>
              <w:tc>
                <w:tcPr>
                  <w:tcW w:w="3063" w:type="pct"/>
                  <w:vAlign w:val="center"/>
                </w:tcPr>
                <w:p>
                  <w:pPr>
                    <w:keepNext w:val="0"/>
                    <w:keepLines w:val="0"/>
                    <w:widowControl/>
                    <w:suppressLineNumbers w:val="0"/>
                    <w:spacing w:line="240" w:lineRule="auto"/>
                    <w:ind w:left="0" w:leftChars="0" w:firstLine="210" w:firstLineChars="100"/>
                    <w:jc w:val="left"/>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规划工业广场（包含机修间、材料库房、洗砂石设备、成品堆放场等）位于矿区西部平缓地带，占地面积共15000平方米；地形坡度约1-3°。场地地形较平坦，建设过程依地形修建，无切坡工程。</w:t>
                  </w:r>
                </w:p>
              </w:tc>
              <w:tc>
                <w:tcPr>
                  <w:tcW w:w="445" w:type="pct"/>
                  <w:vAlign w:val="center"/>
                </w:tcPr>
                <w:p>
                  <w:pPr>
                    <w:pStyle w:val="31"/>
                    <w:spacing w:line="240" w:lineRule="auto"/>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cs="Times New Roman"/>
                      <w:b w:val="0"/>
                      <w:color w:val="auto"/>
                      <w:kern w:val="2"/>
                      <w:sz w:val="21"/>
                      <w:szCs w:val="21"/>
                      <w:lang w:val="en-US" w:eastAsia="zh-CN" w:bidi="ar-S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restart"/>
                  <w:vAlign w:val="center"/>
                </w:tcPr>
                <w:p>
                  <w:pPr>
                    <w:pStyle w:val="31"/>
                    <w:spacing w:line="240" w:lineRule="auto"/>
                    <w:rPr>
                      <w:rFonts w:hint="default" w:ascii="Times New Roman" w:hAnsi="Times New Roman" w:eastAsia="宋体" w:cs="Times New Roman"/>
                      <w:b w:val="0"/>
                      <w:kern w:val="2"/>
                      <w:sz w:val="21"/>
                      <w:szCs w:val="21"/>
                      <w:lang w:val="en-US" w:eastAsia="zh-CN" w:bidi="ar-SA"/>
                    </w:rPr>
                  </w:pPr>
                  <w:r>
                    <w:rPr>
                      <w:rFonts w:hint="default" w:ascii="Times New Roman" w:hAnsi="Times New Roman" w:cs="Times New Roman"/>
                      <w:b w:val="0"/>
                      <w:kern w:val="2"/>
                      <w:sz w:val="21"/>
                      <w:szCs w:val="21"/>
                      <w:lang w:val="en-US" w:eastAsia="zh-CN" w:bidi="ar-SA"/>
                    </w:rPr>
                    <w:t>2</w:t>
                  </w:r>
                </w:p>
              </w:tc>
              <w:tc>
                <w:tcPr>
                  <w:tcW w:w="492" w:type="pct"/>
                  <w:vMerge w:val="restart"/>
                  <w:vAlign w:val="center"/>
                </w:tcPr>
                <w:p>
                  <w:pPr>
                    <w:pStyle w:val="31"/>
                    <w:spacing w:line="240" w:lineRule="auto"/>
                    <w:rPr>
                      <w:rFonts w:hint="default" w:ascii="Times New Roman" w:hAnsi="Times New Roman" w:eastAsia="宋体" w:cs="Times New Roman"/>
                      <w:b w:val="0"/>
                      <w:kern w:val="2"/>
                      <w:sz w:val="21"/>
                      <w:szCs w:val="21"/>
                      <w:lang w:val="en-US" w:eastAsia="zh-CN" w:bidi="ar-SA"/>
                    </w:rPr>
                  </w:pPr>
                  <w:r>
                    <w:rPr>
                      <w:rFonts w:hint="default" w:ascii="Times New Roman" w:hAnsi="Times New Roman" w:cs="Times New Roman"/>
                      <w:b w:val="0"/>
                      <w:kern w:val="2"/>
                      <w:sz w:val="21"/>
                      <w:szCs w:val="21"/>
                      <w:lang w:val="en-US" w:eastAsia="zh-CN" w:bidi="ar-SA"/>
                    </w:rPr>
                    <w:t>储运工程</w:t>
                  </w:r>
                </w:p>
              </w:tc>
              <w:tc>
                <w:tcPr>
                  <w:tcW w:w="651" w:type="pct"/>
                  <w:vAlign w:val="center"/>
                </w:tcPr>
                <w:p>
                  <w:pPr>
                    <w:pStyle w:val="31"/>
                    <w:spacing w:line="240" w:lineRule="auto"/>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cs="Times New Roman"/>
                      <w:b w:val="0"/>
                      <w:color w:val="auto"/>
                      <w:kern w:val="2"/>
                      <w:sz w:val="21"/>
                      <w:szCs w:val="21"/>
                      <w:lang w:val="en-US" w:eastAsia="zh-CN" w:bidi="ar-SA"/>
                    </w:rPr>
                    <w:t>成品堆放区</w:t>
                  </w:r>
                </w:p>
              </w:tc>
              <w:tc>
                <w:tcPr>
                  <w:tcW w:w="3063" w:type="pct"/>
                  <w:vAlign w:val="center"/>
                </w:tcPr>
                <w:p>
                  <w:pPr>
                    <w:pStyle w:val="31"/>
                    <w:spacing w:line="240" w:lineRule="auto"/>
                    <w:jc w:val="both"/>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料堆</w:t>
                  </w:r>
                  <w:r>
                    <w:rPr>
                      <w:rFonts w:hint="default" w:ascii="Times New Roman" w:hAnsi="Times New Roman" w:eastAsia="宋体" w:cs="Times New Roman"/>
                      <w:b w:val="0"/>
                      <w:color w:val="auto"/>
                      <w:kern w:val="2"/>
                      <w:sz w:val="21"/>
                      <w:szCs w:val="21"/>
                      <w:shd w:val="clear"/>
                      <w:lang w:val="en-US" w:eastAsia="zh-CN" w:bidi="ar-SA"/>
                    </w:rPr>
                    <w:t>区有1处，面积为</w:t>
                  </w:r>
                  <w:r>
                    <w:rPr>
                      <w:rFonts w:hint="eastAsia" w:ascii="Times New Roman" w:hAnsi="Times New Roman" w:cs="Times New Roman"/>
                      <w:b w:val="0"/>
                      <w:color w:val="auto"/>
                      <w:kern w:val="2"/>
                      <w:sz w:val="21"/>
                      <w:szCs w:val="21"/>
                      <w:shd w:val="clear"/>
                      <w:lang w:val="en-US" w:eastAsia="zh-CN" w:bidi="ar-SA"/>
                    </w:rPr>
                    <w:t>100</w:t>
                  </w:r>
                  <w:r>
                    <w:rPr>
                      <w:rFonts w:hint="default" w:ascii="Times New Roman" w:hAnsi="Times New Roman" w:eastAsia="宋体" w:cs="Times New Roman"/>
                      <w:b w:val="0"/>
                      <w:color w:val="auto"/>
                      <w:kern w:val="2"/>
                      <w:sz w:val="21"/>
                      <w:szCs w:val="21"/>
                      <w:shd w:val="clear"/>
                      <w:lang w:val="en-US" w:eastAsia="zh-CN" w:bidi="ar-SA"/>
                    </w:rPr>
                    <w:t>00m</w:t>
                  </w:r>
                  <w:r>
                    <w:rPr>
                      <w:rFonts w:hint="default" w:ascii="Times New Roman" w:hAnsi="Times New Roman" w:eastAsia="宋体" w:cs="Times New Roman"/>
                      <w:b w:val="0"/>
                      <w:color w:val="auto"/>
                      <w:kern w:val="2"/>
                      <w:sz w:val="21"/>
                      <w:szCs w:val="21"/>
                      <w:shd w:val="clear"/>
                      <w:vertAlign w:val="superscript"/>
                      <w:lang w:val="en-US" w:eastAsia="zh-CN" w:bidi="ar-SA"/>
                    </w:rPr>
                    <w:t>2</w:t>
                  </w:r>
                  <w:r>
                    <w:rPr>
                      <w:rFonts w:hint="default" w:ascii="Times New Roman" w:hAnsi="Times New Roman" w:eastAsia="宋体" w:cs="Times New Roman"/>
                      <w:b w:val="0"/>
                      <w:color w:val="auto"/>
                      <w:kern w:val="2"/>
                      <w:sz w:val="21"/>
                      <w:szCs w:val="21"/>
                      <w:shd w:val="clear"/>
                      <w:lang w:val="en-US" w:eastAsia="zh-CN" w:bidi="ar-SA"/>
                    </w:rPr>
                    <w:t>位于工业广场</w:t>
                  </w:r>
                  <w:r>
                    <w:rPr>
                      <w:rFonts w:hint="eastAsia" w:ascii="Times New Roman" w:hAnsi="Times New Roman" w:cs="Times New Roman"/>
                      <w:b w:val="0"/>
                      <w:color w:val="auto"/>
                      <w:kern w:val="2"/>
                      <w:sz w:val="21"/>
                      <w:szCs w:val="21"/>
                      <w:shd w:val="clear"/>
                      <w:lang w:val="en-US" w:eastAsia="zh-CN" w:bidi="ar-SA"/>
                    </w:rPr>
                    <w:t>。</w:t>
                  </w:r>
                </w:p>
              </w:tc>
              <w:tc>
                <w:tcPr>
                  <w:tcW w:w="445" w:type="pct"/>
                  <w:vAlign w:val="center"/>
                </w:tcPr>
                <w:p>
                  <w:pPr>
                    <w:pStyle w:val="31"/>
                    <w:spacing w:line="240" w:lineRule="auto"/>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cs="Times New Roman"/>
                      <w:b w:val="0"/>
                      <w:color w:val="auto"/>
                      <w:kern w:val="2"/>
                      <w:sz w:val="21"/>
                      <w:szCs w:val="21"/>
                      <w:lang w:val="en-US" w:eastAsia="zh-CN" w:bidi="ar-S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vAlign w:val="center"/>
                </w:tcPr>
                <w:p>
                  <w:pPr>
                    <w:pStyle w:val="31"/>
                    <w:spacing w:line="240" w:lineRule="auto"/>
                    <w:rPr>
                      <w:rFonts w:hint="default" w:ascii="Times New Roman" w:hAnsi="Times New Roman" w:eastAsia="宋体" w:cs="Times New Roman"/>
                      <w:b w:val="0"/>
                      <w:kern w:val="2"/>
                      <w:sz w:val="21"/>
                      <w:szCs w:val="21"/>
                      <w:lang w:val="en-US" w:eastAsia="zh-CN" w:bidi="ar-SA"/>
                    </w:rPr>
                  </w:pPr>
                </w:p>
              </w:tc>
              <w:tc>
                <w:tcPr>
                  <w:tcW w:w="492" w:type="pct"/>
                  <w:vMerge w:val="continue"/>
                  <w:vAlign w:val="center"/>
                </w:tcPr>
                <w:p>
                  <w:pPr>
                    <w:pStyle w:val="31"/>
                    <w:spacing w:line="240" w:lineRule="auto"/>
                    <w:rPr>
                      <w:rFonts w:hint="default" w:ascii="Times New Roman" w:hAnsi="Times New Roman" w:eastAsia="宋体" w:cs="Times New Roman"/>
                      <w:b w:val="0"/>
                      <w:kern w:val="2"/>
                      <w:sz w:val="21"/>
                      <w:szCs w:val="21"/>
                      <w:lang w:val="en-US" w:eastAsia="zh-CN" w:bidi="ar-SA"/>
                    </w:rPr>
                  </w:pPr>
                </w:p>
              </w:tc>
              <w:tc>
                <w:tcPr>
                  <w:tcW w:w="651" w:type="pct"/>
                  <w:vAlign w:val="center"/>
                </w:tcPr>
                <w:p>
                  <w:pPr>
                    <w:pStyle w:val="31"/>
                    <w:spacing w:line="240" w:lineRule="auto"/>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cs="Times New Roman"/>
                      <w:b w:val="0"/>
                      <w:color w:val="auto"/>
                      <w:kern w:val="2"/>
                      <w:sz w:val="21"/>
                      <w:szCs w:val="21"/>
                      <w:lang w:val="en-US" w:eastAsia="zh-CN" w:bidi="ar-SA"/>
                    </w:rPr>
                    <w:t>原料堆放区</w:t>
                  </w:r>
                </w:p>
              </w:tc>
              <w:tc>
                <w:tcPr>
                  <w:tcW w:w="3063" w:type="pct"/>
                  <w:vAlign w:val="center"/>
                </w:tcPr>
                <w:p>
                  <w:pPr>
                    <w:pStyle w:val="31"/>
                    <w:spacing w:line="240" w:lineRule="auto"/>
                    <w:jc w:val="both"/>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cs="Times New Roman"/>
                      <w:b w:val="0"/>
                      <w:color w:val="auto"/>
                      <w:kern w:val="2"/>
                      <w:sz w:val="21"/>
                      <w:szCs w:val="21"/>
                      <w:lang w:val="en-US" w:eastAsia="zh-CN" w:bidi="ar-SA"/>
                    </w:rPr>
                    <w:t>本项目无原料堆场，砂石料挖出后直接进入筛分机。</w:t>
                  </w:r>
                </w:p>
              </w:tc>
              <w:tc>
                <w:tcPr>
                  <w:tcW w:w="445" w:type="pct"/>
                  <w:vAlign w:val="center"/>
                </w:tcPr>
                <w:p>
                  <w:pPr>
                    <w:pStyle w:val="31"/>
                    <w:spacing w:line="240" w:lineRule="auto"/>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cs="Times New Roman"/>
                      <w:b w:val="0"/>
                      <w:color w:val="auto"/>
                      <w:kern w:val="2"/>
                      <w:sz w:val="21"/>
                      <w:szCs w:val="21"/>
                      <w:lang w:val="en-US" w:eastAsia="zh-CN" w:bidi="ar-S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vAlign w:val="center"/>
                </w:tcPr>
                <w:p>
                  <w:pPr>
                    <w:pStyle w:val="31"/>
                    <w:spacing w:line="240" w:lineRule="auto"/>
                    <w:rPr>
                      <w:rFonts w:hint="default" w:ascii="Times New Roman" w:hAnsi="Times New Roman" w:eastAsia="宋体" w:cs="Times New Roman"/>
                      <w:b w:val="0"/>
                      <w:kern w:val="2"/>
                      <w:sz w:val="21"/>
                      <w:szCs w:val="21"/>
                      <w:lang w:val="en-US" w:eastAsia="zh-CN" w:bidi="ar-SA"/>
                    </w:rPr>
                  </w:pPr>
                </w:p>
              </w:tc>
              <w:tc>
                <w:tcPr>
                  <w:tcW w:w="492" w:type="pct"/>
                  <w:vMerge w:val="continue"/>
                  <w:vAlign w:val="center"/>
                </w:tcPr>
                <w:p>
                  <w:pPr>
                    <w:pStyle w:val="31"/>
                    <w:spacing w:line="240" w:lineRule="auto"/>
                    <w:rPr>
                      <w:rFonts w:hint="default" w:ascii="Times New Roman" w:hAnsi="Times New Roman" w:eastAsia="宋体" w:cs="Times New Roman"/>
                      <w:b w:val="0"/>
                      <w:kern w:val="2"/>
                      <w:sz w:val="21"/>
                      <w:szCs w:val="21"/>
                      <w:lang w:val="en-US" w:eastAsia="zh-CN" w:bidi="ar-SA"/>
                    </w:rPr>
                  </w:pPr>
                </w:p>
              </w:tc>
              <w:tc>
                <w:tcPr>
                  <w:tcW w:w="651" w:type="pct"/>
                  <w:vAlign w:val="center"/>
                </w:tcPr>
                <w:p>
                  <w:pPr>
                    <w:pStyle w:val="31"/>
                    <w:spacing w:line="240" w:lineRule="auto"/>
                    <w:rPr>
                      <w:rFonts w:hint="default" w:ascii="Times New Roman" w:hAnsi="Times New Roman" w:cs="Times New Roman"/>
                      <w:b w:val="0"/>
                      <w:color w:val="auto"/>
                      <w:kern w:val="2"/>
                      <w:sz w:val="21"/>
                      <w:szCs w:val="21"/>
                      <w:lang w:val="en-US" w:eastAsia="zh-CN" w:bidi="ar-SA"/>
                    </w:rPr>
                  </w:pPr>
                  <w:r>
                    <w:rPr>
                      <w:rFonts w:hint="default" w:ascii="Times New Roman" w:hAnsi="Times New Roman" w:cs="Times New Roman"/>
                      <w:b w:val="0"/>
                      <w:color w:val="auto"/>
                      <w:kern w:val="2"/>
                      <w:sz w:val="21"/>
                      <w:szCs w:val="21"/>
                      <w:lang w:val="en-US" w:eastAsia="zh-CN" w:bidi="ar-SA"/>
                    </w:rPr>
                    <w:t>厂内道路</w:t>
                  </w:r>
                </w:p>
              </w:tc>
              <w:tc>
                <w:tcPr>
                  <w:tcW w:w="3063" w:type="pct"/>
                  <w:vAlign w:val="center"/>
                </w:tcPr>
                <w:p>
                  <w:pPr>
                    <w:adjustRightInd w:val="0"/>
                    <w:snapToGrid w:val="0"/>
                    <w:spacing w:line="240" w:lineRule="auto"/>
                    <w:ind w:left="0" w:leftChars="0" w:firstLine="0" w:firstLineChars="0"/>
                    <w:rPr>
                      <w:rFonts w:hint="default" w:ascii="Times New Roman" w:hAnsi="Times New Roman"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设计矿山道路全长200米，占地面积1000平方米。</w:t>
                  </w:r>
                </w:p>
              </w:tc>
              <w:tc>
                <w:tcPr>
                  <w:tcW w:w="445" w:type="pct"/>
                  <w:vAlign w:val="center"/>
                </w:tcPr>
                <w:p>
                  <w:pPr>
                    <w:pStyle w:val="31"/>
                    <w:spacing w:line="240" w:lineRule="auto"/>
                    <w:rPr>
                      <w:rFonts w:hint="default" w:ascii="Times New Roman" w:hAnsi="Times New Roman" w:cs="Times New Roman"/>
                      <w:b w:val="0"/>
                      <w:color w:val="auto"/>
                      <w:kern w:val="2"/>
                      <w:sz w:val="21"/>
                      <w:szCs w:val="21"/>
                      <w:lang w:val="en-US" w:eastAsia="zh-CN" w:bidi="ar-SA"/>
                    </w:rPr>
                  </w:pPr>
                  <w:r>
                    <w:rPr>
                      <w:rFonts w:hint="default" w:ascii="Times New Roman" w:hAnsi="Times New Roman" w:cs="Times New Roman"/>
                      <w:b w:val="0"/>
                      <w:color w:val="auto"/>
                      <w:kern w:val="2"/>
                      <w:sz w:val="21"/>
                      <w:szCs w:val="21"/>
                      <w:lang w:val="en-US" w:eastAsia="zh-CN" w:bidi="ar-S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Align w:val="center"/>
                </w:tcPr>
                <w:p>
                  <w:pPr>
                    <w:pStyle w:val="31"/>
                    <w:spacing w:line="240" w:lineRule="auto"/>
                    <w:rPr>
                      <w:rFonts w:hint="default" w:ascii="Times New Roman" w:hAnsi="Times New Roman" w:eastAsia="宋体" w:cs="Times New Roman"/>
                      <w:b w:val="0"/>
                      <w:kern w:val="2"/>
                      <w:sz w:val="21"/>
                      <w:szCs w:val="21"/>
                      <w:lang w:val="en-US" w:eastAsia="zh-CN" w:bidi="ar-SA"/>
                    </w:rPr>
                  </w:pPr>
                  <w:r>
                    <w:rPr>
                      <w:rFonts w:hint="default" w:ascii="Times New Roman" w:hAnsi="Times New Roman" w:cs="Times New Roman"/>
                      <w:b w:val="0"/>
                      <w:kern w:val="2"/>
                      <w:sz w:val="21"/>
                      <w:szCs w:val="21"/>
                      <w:lang w:val="en-US" w:eastAsia="zh-CN" w:bidi="ar-SA"/>
                    </w:rPr>
                    <w:t>3</w:t>
                  </w:r>
                </w:p>
              </w:tc>
              <w:tc>
                <w:tcPr>
                  <w:tcW w:w="492" w:type="pct"/>
                  <w:vAlign w:val="center"/>
                </w:tcPr>
                <w:p>
                  <w:pPr>
                    <w:pStyle w:val="31"/>
                    <w:spacing w:line="240" w:lineRule="auto"/>
                    <w:rPr>
                      <w:rFonts w:hint="default" w:ascii="Times New Roman" w:hAnsi="Times New Roman" w:eastAsia="宋体" w:cs="Times New Roman"/>
                      <w:b w:val="0"/>
                      <w:kern w:val="2"/>
                      <w:sz w:val="21"/>
                      <w:szCs w:val="21"/>
                      <w:lang w:val="en-US" w:eastAsia="zh-CN" w:bidi="ar-SA"/>
                    </w:rPr>
                  </w:pPr>
                  <w:r>
                    <w:rPr>
                      <w:rFonts w:hint="default" w:ascii="Times New Roman" w:hAnsi="Times New Roman" w:cs="Times New Roman"/>
                      <w:b w:val="0"/>
                      <w:kern w:val="2"/>
                      <w:sz w:val="21"/>
                      <w:szCs w:val="21"/>
                      <w:lang w:val="en-US" w:eastAsia="zh-CN" w:bidi="ar-SA"/>
                    </w:rPr>
                    <w:t>辅助工程</w:t>
                  </w:r>
                </w:p>
              </w:tc>
              <w:tc>
                <w:tcPr>
                  <w:tcW w:w="651" w:type="pct"/>
                  <w:vAlign w:val="center"/>
                </w:tcPr>
                <w:p>
                  <w:pPr>
                    <w:pStyle w:val="31"/>
                    <w:spacing w:line="240" w:lineRule="auto"/>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cs="Times New Roman"/>
                      <w:b w:val="0"/>
                      <w:color w:val="auto"/>
                      <w:kern w:val="2"/>
                      <w:sz w:val="21"/>
                      <w:szCs w:val="21"/>
                      <w:lang w:val="en-US" w:eastAsia="zh-CN" w:bidi="ar-SA"/>
                    </w:rPr>
                    <w:t>办公生活区</w:t>
                  </w:r>
                </w:p>
              </w:tc>
              <w:tc>
                <w:tcPr>
                  <w:tcW w:w="3063" w:type="pct"/>
                  <w:vAlign w:val="center"/>
                </w:tcPr>
                <w:p>
                  <w:pPr>
                    <w:keepNext w:val="0"/>
                    <w:keepLines w:val="0"/>
                    <w:widowControl/>
                    <w:suppressLineNumbers w:val="0"/>
                    <w:spacing w:line="240" w:lineRule="auto"/>
                    <w:ind w:left="0" w:leftChars="0" w:firstLine="210" w:firstLineChars="100"/>
                    <w:jc w:val="left"/>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规划办公生活区布置矿区范围内西部平缓地带，地形坡度1-3°，办公生活区占地面积4000平方米，总建筑面积2000平方米。区内布置有办公室、职工宿舍、食堂等建筑物，均为彩钢结构。采用垃圾桶用于临时堆放生活垃圾。场地地形平坦，建设过程依地形修建，无切坡工程</w:t>
                  </w:r>
                  <w:r>
                    <w:rPr>
                      <w:rFonts w:hint="default" w:ascii="Times New Roman" w:hAnsi="Times New Roman" w:cs="Times New Roman"/>
                      <w:b w:val="0"/>
                      <w:color w:val="auto"/>
                      <w:kern w:val="2"/>
                      <w:sz w:val="21"/>
                      <w:szCs w:val="21"/>
                      <w:lang w:val="en-US" w:eastAsia="zh-CN" w:bidi="ar-SA"/>
                    </w:rPr>
                    <w:t>。</w:t>
                  </w:r>
                </w:p>
              </w:tc>
              <w:tc>
                <w:tcPr>
                  <w:tcW w:w="445" w:type="pct"/>
                  <w:vAlign w:val="center"/>
                </w:tcPr>
                <w:p>
                  <w:pPr>
                    <w:pStyle w:val="31"/>
                    <w:spacing w:line="240" w:lineRule="auto"/>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cs="Times New Roman"/>
                      <w:b w:val="0"/>
                      <w:color w:val="auto"/>
                      <w:kern w:val="2"/>
                      <w:sz w:val="21"/>
                      <w:szCs w:val="21"/>
                      <w:lang w:val="en-US" w:eastAsia="zh-CN" w:bidi="ar-S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restart"/>
                  <w:vAlign w:val="center"/>
                </w:tcPr>
                <w:p>
                  <w:pPr>
                    <w:pStyle w:val="31"/>
                    <w:spacing w:line="240" w:lineRule="auto"/>
                    <w:rPr>
                      <w:rFonts w:hint="default" w:ascii="Times New Roman" w:hAnsi="Times New Roman" w:eastAsia="宋体" w:cs="Times New Roman"/>
                      <w:b w:val="0"/>
                      <w:kern w:val="2"/>
                      <w:sz w:val="21"/>
                      <w:szCs w:val="21"/>
                      <w:lang w:val="en-US" w:eastAsia="zh-CN" w:bidi="ar-SA"/>
                    </w:rPr>
                  </w:pPr>
                  <w:r>
                    <w:rPr>
                      <w:rFonts w:hint="default" w:ascii="Times New Roman" w:hAnsi="Times New Roman" w:cs="Times New Roman"/>
                      <w:b w:val="0"/>
                      <w:kern w:val="2"/>
                      <w:sz w:val="21"/>
                      <w:szCs w:val="21"/>
                      <w:lang w:val="en-US" w:eastAsia="zh-CN" w:bidi="ar-SA"/>
                    </w:rPr>
                    <w:t>4</w:t>
                  </w:r>
                </w:p>
              </w:tc>
              <w:tc>
                <w:tcPr>
                  <w:tcW w:w="492" w:type="pct"/>
                  <w:vMerge w:val="restart"/>
                  <w:vAlign w:val="center"/>
                </w:tcPr>
                <w:p>
                  <w:pPr>
                    <w:pStyle w:val="31"/>
                    <w:spacing w:line="240" w:lineRule="auto"/>
                    <w:rPr>
                      <w:rFonts w:hint="default" w:ascii="Times New Roman" w:hAnsi="Times New Roman" w:eastAsia="宋体" w:cs="Times New Roman"/>
                      <w:b w:val="0"/>
                      <w:kern w:val="2"/>
                      <w:sz w:val="21"/>
                      <w:szCs w:val="21"/>
                      <w:lang w:val="en-US" w:eastAsia="zh-CN" w:bidi="ar-SA"/>
                    </w:rPr>
                  </w:pPr>
                  <w:r>
                    <w:rPr>
                      <w:rFonts w:hint="default" w:ascii="Times New Roman" w:hAnsi="Times New Roman" w:eastAsia="宋体" w:cs="Times New Roman"/>
                      <w:b w:val="0"/>
                      <w:kern w:val="2"/>
                      <w:sz w:val="21"/>
                      <w:szCs w:val="21"/>
                      <w:lang w:val="en-US" w:eastAsia="zh-CN" w:bidi="ar-SA"/>
                    </w:rPr>
                    <w:t>公用工程</w:t>
                  </w:r>
                </w:p>
              </w:tc>
              <w:tc>
                <w:tcPr>
                  <w:tcW w:w="651" w:type="pct"/>
                  <w:vAlign w:val="center"/>
                </w:tcPr>
                <w:p>
                  <w:pPr>
                    <w:pStyle w:val="31"/>
                    <w:spacing w:line="240" w:lineRule="auto"/>
                    <w:rPr>
                      <w:rFonts w:hint="default" w:ascii="Times New Roman" w:hAnsi="Times New Roman" w:eastAsia="宋体" w:cs="Times New Roman"/>
                      <w:b w:val="0"/>
                      <w:kern w:val="2"/>
                      <w:sz w:val="21"/>
                      <w:szCs w:val="21"/>
                      <w:lang w:val="en-US" w:eastAsia="zh-CN" w:bidi="ar-SA"/>
                    </w:rPr>
                  </w:pPr>
                  <w:r>
                    <w:rPr>
                      <w:rFonts w:hint="default" w:ascii="Times New Roman" w:hAnsi="Times New Roman" w:eastAsia="宋体" w:cs="Times New Roman"/>
                      <w:b w:val="0"/>
                      <w:kern w:val="2"/>
                      <w:sz w:val="21"/>
                      <w:szCs w:val="21"/>
                      <w:lang w:val="en-US" w:eastAsia="zh-CN" w:bidi="ar-SA"/>
                    </w:rPr>
                    <w:t>供水</w:t>
                  </w:r>
                </w:p>
              </w:tc>
              <w:tc>
                <w:tcPr>
                  <w:tcW w:w="3063" w:type="pct"/>
                  <w:vAlign w:val="center"/>
                </w:tcPr>
                <w:p>
                  <w:pPr>
                    <w:pStyle w:val="31"/>
                    <w:spacing w:line="240" w:lineRule="auto"/>
                    <w:rPr>
                      <w:rFonts w:hint="default" w:ascii="Times New Roman" w:hAnsi="Times New Roman" w:eastAsia="宋体" w:cs="Times New Roman"/>
                      <w:b w:val="0"/>
                      <w:color w:val="auto"/>
                      <w:kern w:val="2"/>
                      <w:sz w:val="21"/>
                      <w:szCs w:val="21"/>
                      <w:lang w:val="en-US" w:eastAsia="zh-CN" w:bidi="ar-SA"/>
                    </w:rPr>
                  </w:pPr>
                  <w:r>
                    <w:rPr>
                      <w:rFonts w:hint="eastAsia" w:cs="Times New Roman"/>
                      <w:b w:val="0"/>
                      <w:color w:val="auto"/>
                      <w:kern w:val="2"/>
                      <w:sz w:val="21"/>
                      <w:szCs w:val="21"/>
                      <w:lang w:val="en-US" w:eastAsia="zh-CN" w:bidi="ar-SA"/>
                    </w:rPr>
                    <w:t>白杨河</w:t>
                  </w:r>
                  <w:r>
                    <w:rPr>
                      <w:rFonts w:hint="default" w:ascii="Times New Roman" w:hAnsi="Times New Roman" w:eastAsia="宋体" w:cs="Times New Roman"/>
                      <w:b w:val="0"/>
                      <w:color w:val="auto"/>
                      <w:kern w:val="2"/>
                      <w:sz w:val="21"/>
                      <w:szCs w:val="21"/>
                      <w:lang w:val="en-US" w:eastAsia="zh-CN" w:bidi="ar-SA"/>
                    </w:rPr>
                    <w:t>取水</w:t>
                  </w:r>
                  <w:r>
                    <w:rPr>
                      <w:rFonts w:hint="default" w:ascii="Times New Roman" w:hAnsi="Times New Roman" w:cs="Times New Roman"/>
                      <w:b w:val="0"/>
                      <w:color w:val="auto"/>
                      <w:kern w:val="2"/>
                      <w:sz w:val="21"/>
                      <w:szCs w:val="21"/>
                      <w:lang w:val="en-US" w:eastAsia="zh-CN" w:bidi="ar-SA"/>
                    </w:rPr>
                    <w:t>拉运</w:t>
                  </w:r>
                </w:p>
              </w:tc>
              <w:tc>
                <w:tcPr>
                  <w:tcW w:w="445" w:type="pct"/>
                  <w:vAlign w:val="center"/>
                </w:tcPr>
                <w:p>
                  <w:pPr>
                    <w:spacing w:line="240" w:lineRule="auto"/>
                    <w:ind w:left="0" w:leftChars="0" w:firstLine="0" w:firstLineChars="0"/>
                    <w:jc w:val="center"/>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cs="Times New Roman"/>
                      <w:b w:val="0"/>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vAlign w:val="center"/>
                </w:tcPr>
                <w:p>
                  <w:pPr>
                    <w:pStyle w:val="31"/>
                    <w:spacing w:line="240" w:lineRule="auto"/>
                    <w:rPr>
                      <w:rFonts w:hint="default" w:ascii="Times New Roman" w:hAnsi="Times New Roman" w:eastAsia="宋体" w:cs="Times New Roman"/>
                      <w:b w:val="0"/>
                      <w:kern w:val="2"/>
                      <w:sz w:val="21"/>
                      <w:szCs w:val="21"/>
                      <w:lang w:val="en-US" w:eastAsia="zh-CN" w:bidi="ar-SA"/>
                    </w:rPr>
                  </w:pPr>
                </w:p>
              </w:tc>
              <w:tc>
                <w:tcPr>
                  <w:tcW w:w="492" w:type="pct"/>
                  <w:vMerge w:val="continue"/>
                  <w:vAlign w:val="center"/>
                </w:tcPr>
                <w:p>
                  <w:pPr>
                    <w:pStyle w:val="31"/>
                    <w:spacing w:line="240" w:lineRule="auto"/>
                    <w:rPr>
                      <w:rFonts w:hint="default" w:ascii="Times New Roman" w:hAnsi="Times New Roman" w:eastAsia="宋体" w:cs="Times New Roman"/>
                      <w:b w:val="0"/>
                      <w:kern w:val="2"/>
                      <w:sz w:val="21"/>
                      <w:szCs w:val="21"/>
                      <w:lang w:val="en-US" w:eastAsia="zh-CN" w:bidi="ar-SA"/>
                    </w:rPr>
                  </w:pPr>
                </w:p>
              </w:tc>
              <w:tc>
                <w:tcPr>
                  <w:tcW w:w="651" w:type="pct"/>
                  <w:vAlign w:val="center"/>
                </w:tcPr>
                <w:p>
                  <w:pPr>
                    <w:pStyle w:val="31"/>
                    <w:spacing w:line="240" w:lineRule="auto"/>
                    <w:rPr>
                      <w:rFonts w:hint="default" w:ascii="Times New Roman" w:hAnsi="Times New Roman" w:eastAsia="宋体" w:cs="Times New Roman"/>
                      <w:b w:val="0"/>
                      <w:kern w:val="2"/>
                      <w:sz w:val="21"/>
                      <w:szCs w:val="21"/>
                      <w:lang w:val="en-US" w:eastAsia="zh-CN" w:bidi="ar-SA"/>
                    </w:rPr>
                  </w:pPr>
                  <w:r>
                    <w:rPr>
                      <w:rFonts w:hint="default" w:ascii="Times New Roman" w:hAnsi="Times New Roman" w:eastAsia="宋体" w:cs="Times New Roman"/>
                      <w:b w:val="0"/>
                      <w:kern w:val="2"/>
                      <w:sz w:val="21"/>
                      <w:szCs w:val="21"/>
                      <w:lang w:val="en-US" w:eastAsia="zh-CN" w:bidi="ar-SA"/>
                    </w:rPr>
                    <w:t>供电</w:t>
                  </w:r>
                </w:p>
              </w:tc>
              <w:tc>
                <w:tcPr>
                  <w:tcW w:w="3063" w:type="pct"/>
                  <w:vAlign w:val="center"/>
                </w:tcPr>
                <w:p>
                  <w:pPr>
                    <w:pStyle w:val="31"/>
                    <w:spacing w:line="240" w:lineRule="auto"/>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附近国家电网10kV电网</w:t>
                  </w:r>
                </w:p>
              </w:tc>
              <w:tc>
                <w:tcPr>
                  <w:tcW w:w="445" w:type="pct"/>
                  <w:vAlign w:val="center"/>
                </w:tcPr>
                <w:p>
                  <w:pPr>
                    <w:spacing w:line="240" w:lineRule="auto"/>
                    <w:ind w:left="0" w:leftChars="0" w:firstLine="0" w:firstLineChars="0"/>
                    <w:jc w:val="center"/>
                    <w:rPr>
                      <w:rFonts w:hint="default" w:ascii="Times New Roman" w:hAnsi="Times New Roman" w:eastAsia="宋体" w:cs="Times New Roman"/>
                      <w:b w:val="0"/>
                      <w:kern w:val="2"/>
                      <w:sz w:val="21"/>
                      <w:szCs w:val="21"/>
                      <w:lang w:val="en-US" w:eastAsia="zh-CN" w:bidi="ar-SA"/>
                    </w:rPr>
                  </w:pPr>
                  <w:r>
                    <w:rPr>
                      <w:rFonts w:hint="default" w:ascii="Times New Roman" w:hAnsi="Times New Roman" w:cs="Times New Roman"/>
                      <w:b w:val="0"/>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vAlign w:val="center"/>
                </w:tcPr>
                <w:p>
                  <w:pPr>
                    <w:pStyle w:val="31"/>
                    <w:spacing w:line="240" w:lineRule="auto"/>
                    <w:rPr>
                      <w:rFonts w:hint="default" w:ascii="Times New Roman" w:hAnsi="Times New Roman" w:eastAsia="宋体" w:cs="Times New Roman"/>
                      <w:b w:val="0"/>
                      <w:kern w:val="2"/>
                      <w:sz w:val="21"/>
                      <w:szCs w:val="21"/>
                      <w:lang w:val="en-US" w:eastAsia="zh-CN" w:bidi="ar-SA"/>
                    </w:rPr>
                  </w:pPr>
                </w:p>
              </w:tc>
              <w:tc>
                <w:tcPr>
                  <w:tcW w:w="492" w:type="pct"/>
                  <w:vMerge w:val="continue"/>
                  <w:vAlign w:val="center"/>
                </w:tcPr>
                <w:p>
                  <w:pPr>
                    <w:pStyle w:val="31"/>
                    <w:spacing w:line="240" w:lineRule="auto"/>
                    <w:rPr>
                      <w:rFonts w:hint="default" w:ascii="Times New Roman" w:hAnsi="Times New Roman" w:eastAsia="宋体" w:cs="Times New Roman"/>
                      <w:b w:val="0"/>
                      <w:kern w:val="2"/>
                      <w:sz w:val="21"/>
                      <w:szCs w:val="21"/>
                      <w:lang w:val="en-US" w:eastAsia="zh-CN" w:bidi="ar-SA"/>
                    </w:rPr>
                  </w:pPr>
                </w:p>
              </w:tc>
              <w:tc>
                <w:tcPr>
                  <w:tcW w:w="651" w:type="pct"/>
                  <w:vAlign w:val="center"/>
                </w:tcPr>
                <w:p>
                  <w:pPr>
                    <w:pStyle w:val="31"/>
                    <w:spacing w:line="240" w:lineRule="auto"/>
                    <w:rPr>
                      <w:rFonts w:hint="default" w:ascii="Times New Roman" w:hAnsi="Times New Roman" w:eastAsia="宋体" w:cs="Times New Roman"/>
                      <w:b w:val="0"/>
                      <w:kern w:val="2"/>
                      <w:sz w:val="21"/>
                      <w:szCs w:val="21"/>
                      <w:lang w:val="en-US" w:eastAsia="zh-CN" w:bidi="ar-SA"/>
                    </w:rPr>
                  </w:pPr>
                  <w:r>
                    <w:rPr>
                      <w:rFonts w:hint="default" w:ascii="Times New Roman" w:hAnsi="Times New Roman" w:cs="Times New Roman"/>
                      <w:b w:val="0"/>
                      <w:kern w:val="2"/>
                      <w:sz w:val="21"/>
                      <w:szCs w:val="21"/>
                      <w:lang w:val="en-US" w:eastAsia="zh-CN" w:bidi="ar-SA"/>
                    </w:rPr>
                    <w:t>供暖</w:t>
                  </w:r>
                </w:p>
              </w:tc>
              <w:tc>
                <w:tcPr>
                  <w:tcW w:w="3063" w:type="pct"/>
                  <w:vAlign w:val="center"/>
                </w:tcPr>
                <w:p>
                  <w:pPr>
                    <w:pStyle w:val="31"/>
                    <w:spacing w:line="240" w:lineRule="auto"/>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cs="Times New Roman"/>
                      <w:b w:val="0"/>
                      <w:color w:val="auto"/>
                      <w:kern w:val="2"/>
                      <w:sz w:val="21"/>
                      <w:szCs w:val="21"/>
                      <w:lang w:val="en-US" w:eastAsia="zh-CN" w:bidi="ar-SA"/>
                    </w:rPr>
                    <w:t>本项目冬季不生产</w:t>
                  </w:r>
                </w:p>
              </w:tc>
              <w:tc>
                <w:tcPr>
                  <w:tcW w:w="445" w:type="pct"/>
                  <w:vAlign w:val="center"/>
                </w:tcPr>
                <w:p>
                  <w:pPr>
                    <w:pStyle w:val="31"/>
                    <w:spacing w:line="240" w:lineRule="auto"/>
                    <w:jc w:val="center"/>
                    <w:rPr>
                      <w:rFonts w:hint="default" w:ascii="Times New Roman" w:hAnsi="Times New Roman" w:eastAsia="宋体" w:cs="Times New Roman"/>
                      <w:b w:val="0"/>
                      <w:kern w:val="2"/>
                      <w:sz w:val="21"/>
                      <w:szCs w:val="21"/>
                      <w:lang w:val="en-US" w:eastAsia="zh-CN" w:bidi="ar-SA"/>
                    </w:rPr>
                  </w:pPr>
                  <w:r>
                    <w:rPr>
                      <w:rFonts w:hint="default" w:ascii="Times New Roman" w:hAnsi="Times New Roman" w:cs="Times New Roman"/>
                      <w:b w:val="0"/>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restart"/>
                  <w:vAlign w:val="center"/>
                </w:tcPr>
                <w:p>
                  <w:pPr>
                    <w:pStyle w:val="31"/>
                    <w:spacing w:line="240" w:lineRule="auto"/>
                    <w:rPr>
                      <w:rFonts w:hint="default" w:ascii="Times New Roman" w:hAnsi="Times New Roman" w:eastAsia="宋体" w:cs="Times New Roman"/>
                      <w:b w:val="0"/>
                      <w:kern w:val="2"/>
                      <w:sz w:val="21"/>
                      <w:szCs w:val="21"/>
                      <w:lang w:val="en-US" w:eastAsia="zh-CN" w:bidi="ar-SA"/>
                    </w:rPr>
                  </w:pPr>
                  <w:r>
                    <w:rPr>
                      <w:rFonts w:hint="default" w:ascii="Times New Roman" w:hAnsi="Times New Roman" w:cs="Times New Roman"/>
                      <w:b w:val="0"/>
                      <w:kern w:val="2"/>
                      <w:sz w:val="21"/>
                      <w:szCs w:val="21"/>
                      <w:lang w:val="en-US" w:eastAsia="zh-CN" w:bidi="ar-SA"/>
                    </w:rPr>
                    <w:t>5</w:t>
                  </w:r>
                </w:p>
              </w:tc>
              <w:tc>
                <w:tcPr>
                  <w:tcW w:w="492" w:type="pct"/>
                  <w:vMerge w:val="restart"/>
                  <w:vAlign w:val="center"/>
                </w:tcPr>
                <w:p>
                  <w:pPr>
                    <w:pStyle w:val="31"/>
                    <w:spacing w:line="240" w:lineRule="auto"/>
                    <w:rPr>
                      <w:rFonts w:hint="default" w:ascii="Times New Roman" w:hAnsi="Times New Roman" w:eastAsia="宋体" w:cs="Times New Roman"/>
                      <w:b w:val="0"/>
                      <w:kern w:val="2"/>
                      <w:sz w:val="21"/>
                      <w:szCs w:val="21"/>
                      <w:lang w:val="en-US" w:eastAsia="zh-CN" w:bidi="ar-SA"/>
                    </w:rPr>
                  </w:pPr>
                  <w:r>
                    <w:rPr>
                      <w:rFonts w:hint="default" w:ascii="Times New Roman" w:hAnsi="Times New Roman" w:eastAsia="宋体" w:cs="Times New Roman"/>
                      <w:b w:val="0"/>
                      <w:kern w:val="2"/>
                      <w:sz w:val="21"/>
                      <w:szCs w:val="21"/>
                      <w:lang w:val="en-US" w:eastAsia="zh-CN" w:bidi="ar-SA"/>
                    </w:rPr>
                    <w:t>环保工程</w:t>
                  </w:r>
                </w:p>
              </w:tc>
              <w:tc>
                <w:tcPr>
                  <w:tcW w:w="651" w:type="pct"/>
                  <w:vAlign w:val="center"/>
                </w:tcPr>
                <w:p>
                  <w:pPr>
                    <w:tabs>
                      <w:tab w:val="left" w:pos="3255"/>
                    </w:tabs>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废气</w:t>
                  </w:r>
                </w:p>
                <w:p>
                  <w:pPr>
                    <w:tabs>
                      <w:tab w:val="left" w:pos="3255"/>
                    </w:tabs>
                    <w:spacing w:line="240" w:lineRule="auto"/>
                    <w:ind w:firstLine="0" w:firstLineChars="0"/>
                    <w:jc w:val="center"/>
                    <w:rPr>
                      <w:rFonts w:hint="default" w:ascii="Times New Roman" w:hAnsi="Times New Roman" w:eastAsia="宋体" w:cs="Times New Roman"/>
                      <w:b w:val="0"/>
                      <w:kern w:val="2"/>
                      <w:sz w:val="21"/>
                      <w:szCs w:val="21"/>
                      <w:lang w:val="en-US" w:eastAsia="zh-CN" w:bidi="ar-SA"/>
                    </w:rPr>
                  </w:pPr>
                  <w:r>
                    <w:rPr>
                      <w:rFonts w:hint="default" w:ascii="Times New Roman" w:hAnsi="Times New Roman" w:cs="Times New Roman"/>
                      <w:color w:val="000000"/>
                      <w:sz w:val="21"/>
                      <w:szCs w:val="21"/>
                    </w:rPr>
                    <w:t>治理</w:t>
                  </w:r>
                </w:p>
              </w:tc>
              <w:tc>
                <w:tcPr>
                  <w:tcW w:w="3063" w:type="pct"/>
                  <w:vAlign w:val="center"/>
                </w:tcPr>
                <w:p>
                  <w:pPr>
                    <w:pStyle w:val="31"/>
                    <w:spacing w:line="240" w:lineRule="auto"/>
                    <w:jc w:val="left"/>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开采粉尘、输送及转载点粉尘采用喷雾抑尘措施；对筛分工序进行半封闭，安装集气罩+布袋除尘器+15m排气筒措施；矿区运输道路及时洒水降尘，运输车辆篷布遮盖，限速；堆料场采取防尘网苫盖，洒水降尘；食堂油烟经油烟净化器处理后排放</w:t>
                  </w:r>
                  <w:r>
                    <w:rPr>
                      <w:rFonts w:hint="eastAsia" w:cs="Times New Roman"/>
                      <w:b w:val="0"/>
                      <w:color w:val="auto"/>
                      <w:kern w:val="2"/>
                      <w:sz w:val="21"/>
                      <w:szCs w:val="21"/>
                      <w:lang w:val="en-US" w:eastAsia="zh-CN" w:bidi="ar-SA"/>
                    </w:rPr>
                    <w:t>。</w:t>
                  </w:r>
                </w:p>
              </w:tc>
              <w:tc>
                <w:tcPr>
                  <w:tcW w:w="445" w:type="pct"/>
                  <w:vAlign w:val="center"/>
                </w:tcPr>
                <w:p>
                  <w:pPr>
                    <w:pStyle w:val="31"/>
                    <w:spacing w:line="240" w:lineRule="auto"/>
                    <w:rPr>
                      <w:rFonts w:hint="default" w:ascii="Times New Roman" w:hAnsi="Times New Roman" w:eastAsia="宋体" w:cs="Times New Roman"/>
                      <w:b w:val="0"/>
                      <w:kern w:val="2"/>
                      <w:sz w:val="21"/>
                      <w:szCs w:val="21"/>
                      <w:lang w:val="en-US" w:eastAsia="zh-CN" w:bidi="ar-SA"/>
                    </w:rPr>
                  </w:pPr>
                  <w:r>
                    <w:rPr>
                      <w:rFonts w:hint="default" w:ascii="Times New Roman" w:hAnsi="Times New Roman" w:eastAsia="宋体" w:cs="Times New Roman"/>
                      <w:b w:val="0"/>
                      <w:kern w:val="2"/>
                      <w:sz w:val="21"/>
                      <w:szCs w:val="21"/>
                      <w:lang w:val="en-US" w:eastAsia="zh-CN" w:bidi="ar-S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vAlign w:val="center"/>
                </w:tcPr>
                <w:p>
                  <w:pPr>
                    <w:pStyle w:val="31"/>
                    <w:spacing w:line="240" w:lineRule="auto"/>
                    <w:rPr>
                      <w:rFonts w:hint="default" w:ascii="Times New Roman" w:hAnsi="Times New Roman" w:eastAsia="宋体" w:cs="Times New Roman"/>
                      <w:b w:val="0"/>
                      <w:kern w:val="2"/>
                      <w:sz w:val="21"/>
                      <w:szCs w:val="21"/>
                      <w:lang w:val="en-US" w:eastAsia="zh-CN" w:bidi="ar-SA"/>
                    </w:rPr>
                  </w:pPr>
                </w:p>
              </w:tc>
              <w:tc>
                <w:tcPr>
                  <w:tcW w:w="492" w:type="pct"/>
                  <w:vMerge w:val="continue"/>
                  <w:vAlign w:val="center"/>
                </w:tcPr>
                <w:p>
                  <w:pPr>
                    <w:pStyle w:val="31"/>
                    <w:spacing w:line="240" w:lineRule="auto"/>
                    <w:rPr>
                      <w:rFonts w:hint="default" w:ascii="Times New Roman" w:hAnsi="Times New Roman" w:eastAsia="宋体" w:cs="Times New Roman"/>
                      <w:b w:val="0"/>
                      <w:kern w:val="2"/>
                      <w:sz w:val="21"/>
                      <w:szCs w:val="21"/>
                      <w:lang w:val="en-US" w:eastAsia="zh-CN" w:bidi="ar-SA"/>
                    </w:rPr>
                  </w:pPr>
                </w:p>
              </w:tc>
              <w:tc>
                <w:tcPr>
                  <w:tcW w:w="651" w:type="pct"/>
                  <w:vAlign w:val="center"/>
                </w:tcPr>
                <w:p>
                  <w:pPr>
                    <w:tabs>
                      <w:tab w:val="left" w:pos="3255"/>
                    </w:tabs>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废水</w:t>
                  </w:r>
                </w:p>
                <w:p>
                  <w:pPr>
                    <w:tabs>
                      <w:tab w:val="left" w:pos="3255"/>
                    </w:tabs>
                    <w:spacing w:line="240" w:lineRule="auto"/>
                    <w:ind w:firstLine="0" w:firstLineChars="0"/>
                    <w:jc w:val="center"/>
                    <w:rPr>
                      <w:rFonts w:hint="default" w:ascii="Times New Roman" w:hAnsi="Times New Roman" w:eastAsia="宋体" w:cs="Times New Roman"/>
                      <w:b w:val="0"/>
                      <w:kern w:val="2"/>
                      <w:sz w:val="21"/>
                      <w:szCs w:val="21"/>
                      <w:lang w:val="en-US" w:eastAsia="zh-CN" w:bidi="ar-SA"/>
                    </w:rPr>
                  </w:pPr>
                  <w:r>
                    <w:rPr>
                      <w:rFonts w:hint="default" w:ascii="Times New Roman" w:hAnsi="Times New Roman" w:cs="Times New Roman"/>
                      <w:sz w:val="21"/>
                      <w:szCs w:val="21"/>
                    </w:rPr>
                    <w:t>治理</w:t>
                  </w:r>
                </w:p>
              </w:tc>
              <w:tc>
                <w:tcPr>
                  <w:tcW w:w="3063" w:type="pct"/>
                  <w:vAlign w:val="center"/>
                </w:tcPr>
                <w:p>
                  <w:pPr>
                    <w:pStyle w:val="31"/>
                    <w:spacing w:line="240" w:lineRule="auto"/>
                    <w:jc w:val="left"/>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cs="Times New Roman"/>
                      <w:b w:val="0"/>
                      <w:color w:val="auto"/>
                      <w:kern w:val="2"/>
                      <w:sz w:val="21"/>
                      <w:szCs w:val="21"/>
                      <w:lang w:val="en-US" w:eastAsia="zh-CN" w:bidi="ar-SA"/>
                    </w:rPr>
                    <w:t>生产废水经三级沉淀池沉淀后全部回用，不外排；食堂废水经隔油处理后与其他生活污水</w:t>
                  </w:r>
                  <w:r>
                    <w:rPr>
                      <w:rFonts w:hint="eastAsia" w:cs="Times New Roman"/>
                      <w:b w:val="0"/>
                      <w:color w:val="auto"/>
                      <w:kern w:val="2"/>
                      <w:sz w:val="21"/>
                      <w:szCs w:val="21"/>
                      <w:lang w:val="en-US" w:eastAsia="zh-CN" w:bidi="ar-SA"/>
                    </w:rPr>
                    <w:t>通过</w:t>
                  </w:r>
                  <w:r>
                    <w:rPr>
                      <w:rFonts w:hint="default" w:ascii="Times New Roman" w:hAnsi="Times New Roman" w:cs="Times New Roman"/>
                      <w:b w:val="0"/>
                      <w:color w:val="auto"/>
                      <w:kern w:val="2"/>
                      <w:sz w:val="21"/>
                      <w:szCs w:val="21"/>
                      <w:lang w:val="en-US" w:eastAsia="zh-CN" w:bidi="ar-SA"/>
                    </w:rPr>
                    <w:t>地埋式一体化污水处理设施处理后用于场地洒水抑尘。</w:t>
                  </w:r>
                </w:p>
              </w:tc>
              <w:tc>
                <w:tcPr>
                  <w:tcW w:w="445" w:type="pct"/>
                  <w:vAlign w:val="center"/>
                </w:tcPr>
                <w:p>
                  <w:pPr>
                    <w:pStyle w:val="31"/>
                    <w:spacing w:line="240" w:lineRule="auto"/>
                    <w:rPr>
                      <w:rFonts w:hint="default" w:ascii="Times New Roman" w:hAnsi="Times New Roman" w:eastAsia="宋体" w:cs="Times New Roman"/>
                      <w:b w:val="0"/>
                      <w:kern w:val="2"/>
                      <w:sz w:val="21"/>
                      <w:szCs w:val="21"/>
                      <w:lang w:val="en-US" w:eastAsia="zh-CN" w:bidi="ar-SA"/>
                    </w:rPr>
                  </w:pPr>
                  <w:r>
                    <w:rPr>
                      <w:rFonts w:hint="default" w:ascii="Times New Roman" w:hAnsi="Times New Roman" w:eastAsia="宋体" w:cs="Times New Roman"/>
                      <w:b w:val="0"/>
                      <w:kern w:val="2"/>
                      <w:sz w:val="21"/>
                      <w:szCs w:val="21"/>
                      <w:lang w:val="en-US" w:eastAsia="zh-CN" w:bidi="ar-S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vAlign w:val="center"/>
                </w:tcPr>
                <w:p>
                  <w:pPr>
                    <w:pStyle w:val="31"/>
                    <w:spacing w:line="240" w:lineRule="auto"/>
                    <w:rPr>
                      <w:rFonts w:hint="default" w:ascii="Times New Roman" w:hAnsi="Times New Roman" w:eastAsia="宋体" w:cs="Times New Roman"/>
                      <w:b w:val="0"/>
                      <w:kern w:val="2"/>
                      <w:sz w:val="21"/>
                      <w:szCs w:val="21"/>
                      <w:lang w:val="en-US" w:eastAsia="zh-CN" w:bidi="ar-SA"/>
                    </w:rPr>
                  </w:pPr>
                </w:p>
              </w:tc>
              <w:tc>
                <w:tcPr>
                  <w:tcW w:w="492" w:type="pct"/>
                  <w:vMerge w:val="continue"/>
                  <w:vAlign w:val="center"/>
                </w:tcPr>
                <w:p>
                  <w:pPr>
                    <w:pStyle w:val="31"/>
                    <w:spacing w:line="240" w:lineRule="auto"/>
                    <w:rPr>
                      <w:rFonts w:hint="default" w:ascii="Times New Roman" w:hAnsi="Times New Roman" w:eastAsia="宋体" w:cs="Times New Roman"/>
                      <w:b w:val="0"/>
                      <w:kern w:val="2"/>
                      <w:sz w:val="21"/>
                      <w:szCs w:val="21"/>
                      <w:lang w:val="en-US" w:eastAsia="zh-CN" w:bidi="ar-SA"/>
                    </w:rPr>
                  </w:pPr>
                </w:p>
              </w:tc>
              <w:tc>
                <w:tcPr>
                  <w:tcW w:w="651" w:type="pct"/>
                  <w:vAlign w:val="center"/>
                </w:tcPr>
                <w:p>
                  <w:pPr>
                    <w:tabs>
                      <w:tab w:val="left" w:pos="3255"/>
                    </w:tabs>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噪声</w:t>
                  </w:r>
                </w:p>
                <w:p>
                  <w:pPr>
                    <w:tabs>
                      <w:tab w:val="left" w:pos="3255"/>
                    </w:tabs>
                    <w:spacing w:line="240" w:lineRule="auto"/>
                    <w:ind w:firstLine="0" w:firstLineChars="0"/>
                    <w:jc w:val="center"/>
                    <w:rPr>
                      <w:rFonts w:hint="default" w:ascii="Times New Roman" w:hAnsi="Times New Roman" w:eastAsia="宋体" w:cs="Times New Roman"/>
                      <w:b w:val="0"/>
                      <w:kern w:val="2"/>
                      <w:sz w:val="21"/>
                      <w:szCs w:val="21"/>
                      <w:lang w:val="en-US" w:eastAsia="zh-CN" w:bidi="ar-SA"/>
                    </w:rPr>
                  </w:pPr>
                  <w:r>
                    <w:rPr>
                      <w:rFonts w:hint="default" w:ascii="Times New Roman" w:hAnsi="Times New Roman" w:cs="Times New Roman"/>
                      <w:sz w:val="21"/>
                      <w:szCs w:val="21"/>
                    </w:rPr>
                    <w:t>治理</w:t>
                  </w:r>
                </w:p>
              </w:tc>
              <w:tc>
                <w:tcPr>
                  <w:tcW w:w="3063" w:type="pct"/>
                  <w:vAlign w:val="center"/>
                </w:tcPr>
                <w:p>
                  <w:pPr>
                    <w:tabs>
                      <w:tab w:val="left" w:pos="3255"/>
                    </w:tabs>
                    <w:spacing w:line="240" w:lineRule="auto"/>
                    <w:ind w:firstLine="0" w:firstLineChars="0"/>
                    <w:jc w:val="left"/>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选用低噪声设备，并采用消声、减震以及隔声等措施；加强车辆运输管理，合理安排运输时间，限速等</w:t>
                  </w:r>
                  <w:r>
                    <w:rPr>
                      <w:rFonts w:hint="eastAsia" w:cs="Times New Roman"/>
                      <w:color w:val="auto"/>
                      <w:sz w:val="21"/>
                      <w:szCs w:val="21"/>
                      <w:lang w:eastAsia="zh-CN"/>
                    </w:rPr>
                    <w:t>。</w:t>
                  </w:r>
                </w:p>
              </w:tc>
              <w:tc>
                <w:tcPr>
                  <w:tcW w:w="445" w:type="pct"/>
                  <w:vAlign w:val="center"/>
                </w:tcPr>
                <w:p>
                  <w:pPr>
                    <w:pStyle w:val="31"/>
                    <w:spacing w:line="240" w:lineRule="auto"/>
                    <w:rPr>
                      <w:rFonts w:hint="default" w:ascii="Times New Roman" w:hAnsi="Times New Roman" w:eastAsia="宋体" w:cs="Times New Roman"/>
                      <w:b w:val="0"/>
                      <w:kern w:val="2"/>
                      <w:sz w:val="21"/>
                      <w:szCs w:val="21"/>
                      <w:lang w:val="en-US" w:eastAsia="zh-CN" w:bidi="ar-SA"/>
                    </w:rPr>
                  </w:pPr>
                  <w:r>
                    <w:rPr>
                      <w:rFonts w:hint="default" w:ascii="Times New Roman" w:hAnsi="Times New Roman" w:eastAsia="宋体" w:cs="Times New Roman"/>
                      <w:b w:val="0"/>
                      <w:kern w:val="2"/>
                      <w:sz w:val="21"/>
                      <w:szCs w:val="21"/>
                      <w:lang w:val="en-US" w:eastAsia="zh-CN" w:bidi="ar-S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vAlign w:val="center"/>
                </w:tcPr>
                <w:p>
                  <w:pPr>
                    <w:pStyle w:val="31"/>
                    <w:spacing w:line="240" w:lineRule="auto"/>
                    <w:rPr>
                      <w:rFonts w:hint="default" w:ascii="Times New Roman" w:hAnsi="Times New Roman" w:eastAsia="宋体" w:cs="Times New Roman"/>
                      <w:b w:val="0"/>
                      <w:kern w:val="2"/>
                      <w:sz w:val="21"/>
                      <w:szCs w:val="21"/>
                      <w:lang w:val="en-US" w:eastAsia="zh-CN" w:bidi="ar-SA"/>
                    </w:rPr>
                  </w:pPr>
                </w:p>
              </w:tc>
              <w:tc>
                <w:tcPr>
                  <w:tcW w:w="492" w:type="pct"/>
                  <w:vMerge w:val="continue"/>
                  <w:vAlign w:val="center"/>
                </w:tcPr>
                <w:p>
                  <w:pPr>
                    <w:pStyle w:val="31"/>
                    <w:spacing w:line="240" w:lineRule="auto"/>
                    <w:rPr>
                      <w:rFonts w:hint="default" w:ascii="Times New Roman" w:hAnsi="Times New Roman" w:eastAsia="宋体" w:cs="Times New Roman"/>
                      <w:b w:val="0"/>
                      <w:kern w:val="2"/>
                      <w:sz w:val="21"/>
                      <w:szCs w:val="21"/>
                      <w:lang w:val="en-US" w:eastAsia="zh-CN" w:bidi="ar-SA"/>
                    </w:rPr>
                  </w:pPr>
                </w:p>
              </w:tc>
              <w:tc>
                <w:tcPr>
                  <w:tcW w:w="651" w:type="pct"/>
                  <w:vAlign w:val="center"/>
                </w:tcPr>
                <w:p>
                  <w:pPr>
                    <w:tabs>
                      <w:tab w:val="left" w:pos="3255"/>
                    </w:tabs>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固废</w:t>
                  </w:r>
                </w:p>
                <w:p>
                  <w:pPr>
                    <w:tabs>
                      <w:tab w:val="left" w:pos="3255"/>
                    </w:tabs>
                    <w:spacing w:line="240" w:lineRule="auto"/>
                    <w:ind w:firstLine="0" w:firstLineChars="0"/>
                    <w:jc w:val="center"/>
                    <w:rPr>
                      <w:rFonts w:hint="default" w:ascii="Times New Roman" w:hAnsi="Times New Roman" w:eastAsia="宋体" w:cs="Times New Roman"/>
                      <w:b w:val="0"/>
                      <w:kern w:val="2"/>
                      <w:sz w:val="21"/>
                      <w:szCs w:val="21"/>
                      <w:lang w:val="en-US" w:eastAsia="zh-CN" w:bidi="ar-SA"/>
                    </w:rPr>
                  </w:pPr>
                  <w:r>
                    <w:rPr>
                      <w:rFonts w:hint="default" w:ascii="Times New Roman" w:hAnsi="Times New Roman" w:cs="Times New Roman"/>
                      <w:sz w:val="21"/>
                      <w:szCs w:val="21"/>
                    </w:rPr>
                    <w:t>治理</w:t>
                  </w:r>
                </w:p>
              </w:tc>
              <w:tc>
                <w:tcPr>
                  <w:tcW w:w="3063" w:type="pct"/>
                  <w:vAlign w:val="center"/>
                </w:tcPr>
                <w:p>
                  <w:pPr>
                    <w:tabs>
                      <w:tab w:val="left" w:pos="3255"/>
                    </w:tabs>
                    <w:spacing w:line="240" w:lineRule="auto"/>
                    <w:ind w:firstLine="0" w:firstLineChars="0"/>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沉淀池底泥：定期清掏，晾晒后用于采坑回填；生活垃圾：集中分类收集后由当地环卫部门统一清运处理；废机油：暂存于危险废物暂存间，委托有资质单位处置</w:t>
                  </w:r>
                  <w:r>
                    <w:rPr>
                      <w:rFonts w:hint="eastAsia" w:cs="Times New Roman"/>
                      <w:color w:val="auto"/>
                      <w:kern w:val="2"/>
                      <w:sz w:val="21"/>
                      <w:szCs w:val="21"/>
                      <w:lang w:val="en-US" w:eastAsia="zh-CN" w:bidi="ar-SA"/>
                    </w:rPr>
                    <w:t>。</w:t>
                  </w:r>
                </w:p>
              </w:tc>
              <w:tc>
                <w:tcPr>
                  <w:tcW w:w="445" w:type="pct"/>
                  <w:vAlign w:val="center"/>
                </w:tcPr>
                <w:p>
                  <w:pPr>
                    <w:pStyle w:val="31"/>
                    <w:spacing w:line="240" w:lineRule="auto"/>
                    <w:rPr>
                      <w:rFonts w:hint="default" w:ascii="Times New Roman" w:hAnsi="Times New Roman" w:eastAsia="宋体" w:cs="Times New Roman"/>
                      <w:b w:val="0"/>
                      <w:kern w:val="2"/>
                      <w:sz w:val="21"/>
                      <w:szCs w:val="21"/>
                      <w:lang w:val="en-US" w:eastAsia="zh-CN" w:bidi="ar-SA"/>
                    </w:rPr>
                  </w:pPr>
                  <w:r>
                    <w:rPr>
                      <w:rFonts w:hint="default" w:ascii="Times New Roman" w:hAnsi="Times New Roman" w:eastAsia="宋体" w:cs="Times New Roman"/>
                      <w:b w:val="0"/>
                      <w:kern w:val="2"/>
                      <w:sz w:val="21"/>
                      <w:szCs w:val="21"/>
                      <w:lang w:val="en-US" w:eastAsia="zh-CN" w:bidi="ar-S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vAlign w:val="center"/>
                </w:tcPr>
                <w:p>
                  <w:pPr>
                    <w:pStyle w:val="31"/>
                    <w:spacing w:line="240" w:lineRule="auto"/>
                    <w:rPr>
                      <w:rFonts w:hint="default" w:ascii="Times New Roman" w:hAnsi="Times New Roman" w:eastAsia="宋体" w:cs="Times New Roman"/>
                      <w:b w:val="0"/>
                      <w:kern w:val="2"/>
                      <w:sz w:val="21"/>
                      <w:szCs w:val="21"/>
                      <w:lang w:val="en-US" w:eastAsia="zh-CN" w:bidi="ar-SA"/>
                    </w:rPr>
                  </w:pPr>
                </w:p>
              </w:tc>
              <w:tc>
                <w:tcPr>
                  <w:tcW w:w="492" w:type="pct"/>
                  <w:vMerge w:val="continue"/>
                  <w:vAlign w:val="center"/>
                </w:tcPr>
                <w:p>
                  <w:pPr>
                    <w:pStyle w:val="31"/>
                    <w:spacing w:line="240" w:lineRule="auto"/>
                    <w:rPr>
                      <w:rFonts w:hint="default" w:ascii="Times New Roman" w:hAnsi="Times New Roman" w:eastAsia="宋体" w:cs="Times New Roman"/>
                      <w:b w:val="0"/>
                      <w:kern w:val="2"/>
                      <w:sz w:val="21"/>
                      <w:szCs w:val="21"/>
                      <w:lang w:val="en-US" w:eastAsia="zh-CN" w:bidi="ar-SA"/>
                    </w:rPr>
                  </w:pPr>
                </w:p>
              </w:tc>
              <w:tc>
                <w:tcPr>
                  <w:tcW w:w="651" w:type="pct"/>
                  <w:vAlign w:val="center"/>
                </w:tcPr>
                <w:p>
                  <w:pPr>
                    <w:tabs>
                      <w:tab w:val="left" w:pos="3255"/>
                    </w:tabs>
                    <w:spacing w:line="240" w:lineRule="auto"/>
                    <w:ind w:firstLine="0" w:firstLineChars="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生态环境保护</w:t>
                  </w:r>
                </w:p>
              </w:tc>
              <w:tc>
                <w:tcPr>
                  <w:tcW w:w="3063" w:type="pct"/>
                  <w:vAlign w:val="center"/>
                </w:tcPr>
                <w:p>
                  <w:pPr>
                    <w:tabs>
                      <w:tab w:val="left" w:pos="3255"/>
                    </w:tabs>
                    <w:spacing w:line="240" w:lineRule="auto"/>
                    <w:ind w:firstLine="0" w:firstLineChars="0"/>
                    <w:jc w:val="left"/>
                    <w:rPr>
                      <w:rFonts w:hint="eastAsia"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采结束后，通过边坡、断面防护、采坑回填，播撒草籽、恢复种植当地常见草种的措施进行生态恢复</w:t>
                  </w:r>
                  <w:r>
                    <w:rPr>
                      <w:rFonts w:hint="eastAsia" w:cs="Times New Roman"/>
                      <w:color w:val="auto"/>
                      <w:sz w:val="21"/>
                      <w:szCs w:val="21"/>
                      <w:lang w:eastAsia="zh-CN"/>
                    </w:rPr>
                    <w:t>。</w:t>
                  </w:r>
                </w:p>
              </w:tc>
              <w:tc>
                <w:tcPr>
                  <w:tcW w:w="445" w:type="pct"/>
                  <w:vAlign w:val="center"/>
                </w:tcPr>
                <w:p>
                  <w:pPr>
                    <w:pStyle w:val="31"/>
                    <w:spacing w:line="240" w:lineRule="auto"/>
                    <w:rPr>
                      <w:rFonts w:hint="default" w:ascii="Times New Roman" w:hAnsi="Times New Roman" w:eastAsia="宋体" w:cs="Times New Roman"/>
                      <w:b w:val="0"/>
                      <w:kern w:val="2"/>
                      <w:sz w:val="21"/>
                      <w:szCs w:val="21"/>
                      <w:lang w:val="en-US" w:eastAsia="zh-CN" w:bidi="ar-SA"/>
                    </w:rPr>
                  </w:pPr>
                  <w:r>
                    <w:rPr>
                      <w:rFonts w:hint="default" w:ascii="Times New Roman" w:hAnsi="Times New Roman" w:cs="Times New Roman"/>
                      <w:b w:val="0"/>
                      <w:kern w:val="2"/>
                      <w:sz w:val="21"/>
                      <w:szCs w:val="21"/>
                      <w:lang w:val="en-US" w:eastAsia="zh-CN" w:bidi="ar-SA"/>
                    </w:rPr>
                    <w:t>新建</w:t>
                  </w:r>
                </w:p>
              </w:tc>
            </w:tr>
          </w:tbl>
          <w:p>
            <w:pPr>
              <w:pStyle w:val="3"/>
              <w:numPr>
                <w:ilvl w:val="0"/>
                <w:numId w:val="0"/>
              </w:numPr>
              <w:spacing w:before="156" w:after="156"/>
              <w:outlineLvl w:val="1"/>
              <w:rPr>
                <w:rFonts w:hint="eastAsia" w:ascii="Times New Roman" w:hAnsi="Times New Roman" w:cs="Times New Roman"/>
                <w:b/>
                <w:kern w:val="2"/>
                <w:sz w:val="24"/>
                <w:szCs w:val="24"/>
                <w:lang w:val="en-US" w:eastAsia="zh-CN" w:bidi="ar-SA"/>
              </w:rPr>
            </w:pPr>
            <w:r>
              <w:rPr>
                <w:rFonts w:hint="eastAsia" w:ascii="Times New Roman" w:hAnsi="Times New Roman" w:cs="Times New Roman"/>
                <w:b/>
                <w:kern w:val="2"/>
                <w:sz w:val="24"/>
                <w:szCs w:val="24"/>
                <w:lang w:val="en-US" w:eastAsia="zh-CN" w:bidi="ar-SA"/>
              </w:rPr>
              <w:t>2.2开采方式及开采工艺</w:t>
            </w:r>
          </w:p>
          <w:p>
            <w:pPr>
              <w:adjustRightInd w:val="0"/>
              <w:snapToGrid w:val="0"/>
              <w:ind w:firstLine="420"/>
              <w:rPr>
                <w:rFonts w:hint="default" w:ascii="Times New Roman" w:hAnsi="Times New Roman" w:eastAsia="宋体" w:cs="Times New Roman"/>
                <w:b w:val="0"/>
                <w:bCs/>
                <w:kern w:val="2"/>
                <w:sz w:val="24"/>
                <w:szCs w:val="24"/>
                <w:lang w:val="en-US" w:eastAsia="zh-CN" w:bidi="ar-SA"/>
              </w:rPr>
            </w:pPr>
            <w:r>
              <w:rPr>
                <w:rFonts w:hint="default" w:ascii="Times New Roman" w:hAnsi="Times New Roman" w:eastAsia="宋体" w:cs="Times New Roman"/>
                <w:b w:val="0"/>
                <w:bCs/>
                <w:kern w:val="2"/>
                <w:sz w:val="24"/>
                <w:szCs w:val="24"/>
                <w:lang w:val="en-US" w:eastAsia="zh-CN" w:bidi="ar-SA"/>
              </w:rPr>
              <w:t>（1）采矿方法、方式</w:t>
            </w:r>
          </w:p>
          <w:p>
            <w:pPr>
              <w:keepNext w:val="0"/>
              <w:keepLines w:val="0"/>
              <w:widowControl/>
              <w:suppressLineNumbers w:val="0"/>
              <w:jc w:val="left"/>
              <w:rPr>
                <w:rFonts w:hint="default" w:ascii="Times New Roman" w:hAnsi="Times New Roman" w:eastAsia="宋体" w:cs="Times New Roman"/>
                <w:b w:val="0"/>
                <w:bCs/>
                <w:kern w:val="2"/>
                <w:sz w:val="24"/>
                <w:szCs w:val="24"/>
                <w:lang w:val="en-US" w:eastAsia="zh-CN" w:bidi="ar-SA"/>
              </w:rPr>
            </w:pPr>
            <w:r>
              <w:rPr>
                <w:rFonts w:hint="default" w:ascii="Times New Roman" w:hAnsi="Times New Roman" w:eastAsia="宋体" w:cs="Times New Roman"/>
                <w:b w:val="0"/>
                <w:bCs/>
                <w:kern w:val="2"/>
                <w:sz w:val="24"/>
                <w:szCs w:val="24"/>
                <w:lang w:val="en-US" w:eastAsia="zh-CN" w:bidi="ar-SA"/>
              </w:rPr>
              <w:t>该矿开采、开拓方式为：露天开采，公路运输开拓。</w:t>
            </w:r>
          </w:p>
          <w:p>
            <w:pPr>
              <w:keepNext w:val="0"/>
              <w:keepLines w:val="0"/>
              <w:widowControl/>
              <w:suppressLineNumbers w:val="0"/>
              <w:jc w:val="left"/>
              <w:rPr>
                <w:rFonts w:hint="default" w:ascii="Times New Roman" w:hAnsi="Times New Roman" w:eastAsia="宋体" w:cs="Times New Roman"/>
                <w:b w:val="0"/>
                <w:bCs/>
                <w:kern w:val="2"/>
                <w:sz w:val="24"/>
                <w:szCs w:val="24"/>
                <w:lang w:val="en-US" w:eastAsia="zh-CN" w:bidi="ar-SA"/>
              </w:rPr>
            </w:pPr>
            <w:r>
              <w:rPr>
                <w:rFonts w:hint="default" w:ascii="Times New Roman" w:hAnsi="Times New Roman" w:eastAsia="宋体" w:cs="Times New Roman"/>
                <w:b w:val="0"/>
                <w:bCs/>
                <w:kern w:val="2"/>
                <w:sz w:val="24"/>
                <w:szCs w:val="24"/>
                <w:lang w:val="en-US" w:eastAsia="zh-CN" w:bidi="ar-SA"/>
              </w:rPr>
              <w:t>采矿方法为：直接用挖掘机露天开采。</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b w:val="0"/>
                <w:bCs/>
                <w:kern w:val="2"/>
                <w:sz w:val="24"/>
                <w:szCs w:val="24"/>
                <w:lang w:val="en-US" w:eastAsia="zh-CN" w:bidi="ar-SA"/>
              </w:rPr>
            </w:pPr>
            <w:r>
              <w:rPr>
                <w:rFonts w:hint="default" w:ascii="Times New Roman" w:hAnsi="Times New Roman" w:eastAsia="宋体" w:cs="Times New Roman"/>
                <w:b w:val="0"/>
                <w:bCs/>
                <w:kern w:val="2"/>
                <w:sz w:val="24"/>
                <w:szCs w:val="24"/>
                <w:lang w:val="en-US" w:eastAsia="zh-CN" w:bidi="ar-SA"/>
              </w:rPr>
              <w:t>选矿方法为：用振动筛将砂石矿筛分为不同粒级的砂石成品。</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b w:val="0"/>
                <w:bCs/>
                <w:kern w:val="2"/>
                <w:sz w:val="24"/>
                <w:szCs w:val="24"/>
                <w:lang w:val="en-US" w:eastAsia="zh-CN" w:bidi="ar-SA"/>
              </w:rPr>
            </w:pPr>
            <w:r>
              <w:rPr>
                <w:rFonts w:hint="default" w:ascii="Times New Roman" w:hAnsi="Times New Roman" w:eastAsia="宋体" w:cs="Times New Roman"/>
                <w:b w:val="0"/>
                <w:bCs/>
                <w:kern w:val="2"/>
                <w:sz w:val="24"/>
                <w:szCs w:val="24"/>
                <w:lang w:val="en-US" w:eastAsia="zh-CN" w:bidi="ar-SA"/>
              </w:rPr>
              <w:t>（2）加工工艺过程</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b w:val="0"/>
                <w:bCs/>
                <w:kern w:val="2"/>
                <w:sz w:val="24"/>
                <w:szCs w:val="24"/>
                <w:lang w:val="en-US" w:eastAsia="zh-CN" w:bidi="ar-SA"/>
              </w:rPr>
            </w:pPr>
            <w:r>
              <w:rPr>
                <w:rFonts w:hint="default" w:ascii="Times New Roman" w:hAnsi="Times New Roman" w:eastAsia="宋体" w:cs="Times New Roman"/>
                <w:b w:val="0"/>
                <w:bCs/>
                <w:kern w:val="2"/>
                <w:sz w:val="24"/>
                <w:szCs w:val="24"/>
                <w:lang w:val="en-US" w:eastAsia="zh-CN" w:bidi="ar-SA"/>
              </w:rPr>
              <w:t>采、选矿工艺流程：砂石矿→挖掘机露采→振动筛筛分→水洗→砂石料成品→汽车运输→工地。</w:t>
            </w:r>
          </w:p>
          <w:p>
            <w:pPr>
              <w:keepNext w:val="0"/>
              <w:keepLines w:val="0"/>
              <w:pageBreakBefore w:val="0"/>
              <w:widowControl/>
              <w:numPr>
                <w:ilvl w:val="0"/>
                <w:numId w:val="5"/>
              </w:numPr>
              <w:suppressLineNumbers w:val="0"/>
              <w:tabs>
                <w:tab w:val="left" w:pos="446"/>
              </w:tabs>
              <w:kinsoku/>
              <w:wordWrap/>
              <w:overflowPunct/>
              <w:topLinePunct w:val="0"/>
              <w:autoSpaceDE/>
              <w:autoSpaceDN/>
              <w:bidi w:val="0"/>
              <w:adjustRightInd/>
              <w:snapToGrid/>
              <w:jc w:val="left"/>
              <w:textAlignment w:val="auto"/>
              <w:rPr>
                <w:rFonts w:hint="default" w:ascii="Times New Roman" w:hAnsi="Times New Roman" w:eastAsia="宋体" w:cs="Times New Roman"/>
                <w:b w:val="0"/>
                <w:bCs/>
                <w:kern w:val="2"/>
                <w:sz w:val="24"/>
                <w:szCs w:val="24"/>
                <w:lang w:val="en-US" w:eastAsia="zh-CN" w:bidi="ar-SA"/>
              </w:rPr>
            </w:pPr>
            <w:r>
              <w:rPr>
                <w:rFonts w:hint="default" w:ascii="Times New Roman" w:hAnsi="Times New Roman" w:eastAsia="宋体" w:cs="Times New Roman"/>
                <w:b w:val="0"/>
                <w:bCs/>
                <w:kern w:val="2"/>
                <w:sz w:val="24"/>
                <w:szCs w:val="24"/>
                <w:lang w:val="en-US" w:eastAsia="zh-CN" w:bidi="ar-SA"/>
              </w:rPr>
              <w:t>开采方式：矿区内矿体出露地表，最低开采标高处于最低侵蚀基准面之上，露天开采条件好。根据矿体赋存特征及地形条件，设计采用凹陷式露天开采方式，自上而下多个小台阶进行开采，最终并段形成一个最终台阶采矿方法。</w:t>
            </w:r>
          </w:p>
          <w:p>
            <w:pPr>
              <w:rPr>
                <w:rFonts w:hint="eastAsia" w:ascii="宋体" w:hAnsi="宋体"/>
                <w:color w:val="auto"/>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4）</w:t>
            </w:r>
            <w:r>
              <w:rPr>
                <w:rFonts w:hint="default" w:ascii="Times New Roman" w:hAnsi="Times New Roman" w:cs="Times New Roman"/>
                <w:color w:val="auto"/>
              </w:rPr>
              <w:t>运</w:t>
            </w:r>
            <w:r>
              <w:rPr>
                <w:rFonts w:hint="eastAsia" w:ascii="宋体" w:hAnsi="宋体"/>
                <w:color w:val="auto"/>
              </w:rPr>
              <w:t>输方案</w:t>
            </w:r>
          </w:p>
          <w:p>
            <w:pPr>
              <w:rPr>
                <w:rFonts w:hint="default" w:ascii="Times New Roman" w:hAnsi="Times New Roman" w:eastAsia="宋体" w:cs="Times New Roman"/>
                <w:b w:val="0"/>
                <w:bCs/>
                <w:kern w:val="2"/>
                <w:sz w:val="24"/>
                <w:szCs w:val="24"/>
                <w:lang w:val="en-US" w:eastAsia="zh-CN" w:bidi="ar-SA"/>
              </w:rPr>
            </w:pPr>
            <w:r>
              <w:rPr>
                <w:rFonts w:hint="eastAsia" w:ascii="宋体" w:hAnsi="宋体"/>
                <w:color w:val="auto"/>
                <w:lang w:eastAsia="zh-CN"/>
              </w:rPr>
              <w:t>本项目</w:t>
            </w:r>
            <w:r>
              <w:rPr>
                <w:rFonts w:hint="eastAsia" w:ascii="宋体" w:hAnsi="宋体"/>
                <w:color w:val="auto"/>
              </w:rPr>
              <w:t>设计采用公路开拓汽车运输方案</w:t>
            </w:r>
            <w:r>
              <w:rPr>
                <w:rFonts w:hint="eastAsia" w:ascii="宋体" w:hAnsi="宋体"/>
                <w:color w:val="auto"/>
                <w:lang w:eastAsia="zh-CN"/>
              </w:rPr>
              <w:t>；</w:t>
            </w:r>
            <w:r>
              <w:rPr>
                <w:rFonts w:hint="eastAsia" w:ascii="Times New Roman" w:hAnsi="Times New Roman" w:eastAsia="宋体" w:cs="Times New Roman"/>
                <w:b w:val="0"/>
                <w:bCs/>
                <w:kern w:val="2"/>
                <w:sz w:val="24"/>
                <w:szCs w:val="24"/>
                <w:lang w:val="en-US" w:eastAsia="zh-CN" w:bidi="ar-SA"/>
              </w:rPr>
              <w:t>砂石</w:t>
            </w:r>
            <w:r>
              <w:rPr>
                <w:rFonts w:hint="default" w:ascii="Times New Roman" w:hAnsi="Times New Roman" w:eastAsia="宋体" w:cs="Times New Roman"/>
                <w:b w:val="0"/>
                <w:bCs/>
                <w:kern w:val="2"/>
                <w:sz w:val="24"/>
                <w:szCs w:val="24"/>
                <w:lang w:val="en-US" w:eastAsia="zh-CN" w:bidi="ar-SA"/>
              </w:rPr>
              <w:t>加工过程各半成品输送方式采用全封闭式廊道皮带输送方式</w:t>
            </w:r>
            <w:r>
              <w:rPr>
                <w:rFonts w:hint="eastAsia" w:ascii="Times New Roman" w:hAnsi="Times New Roman" w:eastAsia="宋体" w:cs="Times New Roman"/>
                <w:b w:val="0"/>
                <w:bCs/>
                <w:kern w:val="2"/>
                <w:sz w:val="24"/>
                <w:szCs w:val="24"/>
                <w:lang w:val="en-US" w:eastAsia="zh-CN" w:bidi="ar-SA"/>
              </w:rPr>
              <w:t>。</w:t>
            </w:r>
          </w:p>
          <w:p>
            <w:pPr>
              <w:pStyle w:val="3"/>
              <w:numPr>
                <w:ilvl w:val="0"/>
                <w:numId w:val="0"/>
              </w:numPr>
              <w:spacing w:before="156" w:after="156"/>
              <w:outlineLvl w:val="1"/>
              <w:rPr>
                <w:rFonts w:hint="default" w:ascii="Times New Roman" w:hAnsi="Times New Roman" w:cs="Times New Roman"/>
              </w:rPr>
            </w:pPr>
            <w:r>
              <w:rPr>
                <w:rFonts w:hint="eastAsia" w:ascii="Times New Roman" w:hAnsi="Times New Roman" w:cs="Times New Roman"/>
                <w:b/>
                <w:kern w:val="2"/>
                <w:sz w:val="24"/>
                <w:szCs w:val="24"/>
                <w:lang w:val="en-US" w:eastAsia="zh-CN" w:bidi="ar-SA"/>
              </w:rPr>
              <w:t>3</w:t>
            </w:r>
            <w:r>
              <w:rPr>
                <w:rFonts w:hint="default" w:ascii="Times New Roman" w:hAnsi="Times New Roman" w:eastAsia="宋体" w:cs="Times New Roman"/>
                <w:b/>
                <w:kern w:val="2"/>
                <w:sz w:val="24"/>
                <w:szCs w:val="24"/>
                <w:lang w:val="en-US" w:eastAsia="zh-CN" w:bidi="ar-SA"/>
              </w:rPr>
              <w:t>.</w:t>
            </w:r>
            <w:r>
              <w:rPr>
                <w:rFonts w:hint="default" w:ascii="Times New Roman" w:hAnsi="Times New Roman" w:cs="Times New Roman"/>
              </w:rPr>
              <w:t>劳动定员及工作制度</w:t>
            </w:r>
          </w:p>
          <w:p>
            <w:pPr>
              <w:pStyle w:val="3"/>
              <w:numPr>
                <w:ilvl w:val="0"/>
                <w:numId w:val="0"/>
              </w:numPr>
              <w:spacing w:before="156" w:after="156"/>
              <w:ind w:firstLine="480" w:firstLineChars="200"/>
              <w:outlineLvl w:val="1"/>
              <w:rPr>
                <w:rFonts w:hint="default" w:ascii="Times New Roman" w:hAnsi="Times New Roman" w:cs="Times New Roman"/>
                <w:b w:val="0"/>
                <w:bCs/>
                <w:lang w:val="en-US" w:eastAsia="zh-CN"/>
              </w:rPr>
            </w:pPr>
            <w:r>
              <w:rPr>
                <w:rFonts w:hint="eastAsia" w:ascii="Times New Roman" w:hAnsi="Times New Roman" w:cs="Times New Roman"/>
                <w:b w:val="0"/>
                <w:bCs/>
                <w:lang w:val="en-US" w:eastAsia="zh-CN"/>
              </w:rPr>
              <w:t>本项目</w:t>
            </w:r>
            <w:r>
              <w:rPr>
                <w:rFonts w:hint="default" w:ascii="Times New Roman" w:hAnsi="Times New Roman" w:cs="Times New Roman"/>
                <w:b w:val="0"/>
                <w:bCs/>
                <w:lang w:val="en-US" w:eastAsia="zh-CN"/>
              </w:rPr>
              <w:t>运营期人员约为13人，</w:t>
            </w:r>
            <w:r>
              <w:rPr>
                <w:rFonts w:hint="eastAsia" w:ascii="Times New Roman" w:hAnsi="Times New Roman" w:cs="Times New Roman"/>
                <w:b w:val="0"/>
                <w:bCs/>
                <w:lang w:val="en-US" w:eastAsia="zh-CN"/>
              </w:rPr>
              <w:t>年</w:t>
            </w:r>
            <w:r>
              <w:rPr>
                <w:rFonts w:hint="default" w:ascii="Times New Roman" w:hAnsi="Times New Roman" w:cs="Times New Roman"/>
                <w:b w:val="0"/>
                <w:bCs/>
                <w:lang w:val="en-US" w:eastAsia="zh-CN"/>
              </w:rPr>
              <w:t>运行250天，每天工作8小时。</w:t>
            </w:r>
          </w:p>
          <w:p>
            <w:pPr>
              <w:pStyle w:val="54"/>
              <w:keepNext w:val="0"/>
              <w:keepLines w:val="0"/>
              <w:pageBreakBefore w:val="0"/>
              <w:widowControl w:val="0"/>
              <w:kinsoku/>
              <w:wordWrap/>
              <w:overflowPunct w:val="0"/>
              <w:topLinePunct w:val="0"/>
              <w:autoSpaceDE/>
              <w:autoSpaceDN/>
              <w:bidi w:val="0"/>
              <w:adjustRightInd/>
              <w:snapToGrid/>
              <w:spacing w:before="157" w:beforeLines="50" w:line="360" w:lineRule="auto"/>
              <w:jc w:val="both"/>
              <w:textAlignment w:val="auto"/>
              <w:rPr>
                <w:rFonts w:hint="default" w:ascii="Times New Roman" w:hAnsi="Times New Roman" w:cs="Times New Roman"/>
                <w:b/>
                <w:kern w:val="2"/>
                <w:sz w:val="24"/>
                <w:szCs w:val="24"/>
                <w:lang w:val="en-US" w:eastAsia="zh-CN" w:bidi="ar-SA"/>
              </w:rPr>
            </w:pPr>
            <w:r>
              <w:rPr>
                <w:rFonts w:hint="eastAsia" w:cs="Times New Roman"/>
                <w:b/>
                <w:kern w:val="2"/>
                <w:sz w:val="24"/>
                <w:szCs w:val="24"/>
                <w:lang w:val="en-US" w:eastAsia="zh-CN" w:bidi="ar-SA"/>
              </w:rPr>
              <w:t>4.原辅料消耗</w:t>
            </w:r>
          </w:p>
          <w:p>
            <w:pPr>
              <w:pStyle w:val="54"/>
              <w:keepNext w:val="0"/>
              <w:keepLines w:val="0"/>
              <w:pageBreakBefore w:val="0"/>
              <w:widowControl w:val="0"/>
              <w:kinsoku/>
              <w:wordWrap/>
              <w:overflowPunct w:val="0"/>
              <w:topLinePunct w:val="0"/>
              <w:autoSpaceDE/>
              <w:autoSpaceDN/>
              <w:bidi w:val="0"/>
              <w:adjustRightInd/>
              <w:snapToGrid/>
              <w:spacing w:beforeLines="0" w:line="240" w:lineRule="auto"/>
              <w:textAlignment w:val="auto"/>
              <w:rPr>
                <w:rFonts w:hint="default" w:ascii="Times New Roman" w:hAnsi="Times New Roman" w:eastAsia="仿宋" w:cs="Times New Roman"/>
                <w:b/>
                <w:bCs/>
                <w:color w:val="auto"/>
                <w:sz w:val="21"/>
                <w:szCs w:val="21"/>
                <w:highlight w:val="none"/>
              </w:rPr>
            </w:pPr>
            <w:r>
              <w:rPr>
                <w:rFonts w:hint="default" w:ascii="Times New Roman" w:hAnsi="Times New Roman" w:eastAsia="仿宋" w:cs="Times New Roman"/>
                <w:b/>
                <w:bCs/>
                <w:color w:val="auto"/>
                <w:sz w:val="21"/>
                <w:szCs w:val="21"/>
                <w:highlight w:val="none"/>
              </w:rPr>
              <w:t>表2-</w:t>
            </w:r>
            <w:r>
              <w:rPr>
                <w:rFonts w:hint="eastAsia" w:ascii="Times New Roman" w:hAnsi="Times New Roman" w:eastAsia="仿宋" w:cs="Times New Roman"/>
                <w:b/>
                <w:bCs/>
                <w:color w:val="auto"/>
                <w:sz w:val="21"/>
                <w:szCs w:val="21"/>
                <w:highlight w:val="none"/>
                <w:lang w:val="en-US" w:eastAsia="zh-CN"/>
              </w:rPr>
              <w:t xml:space="preserve">2   </w:t>
            </w:r>
            <w:r>
              <w:rPr>
                <w:rFonts w:hint="default" w:ascii="Times New Roman" w:hAnsi="Times New Roman" w:eastAsia="仿宋" w:cs="Times New Roman"/>
                <w:b/>
                <w:bCs/>
                <w:color w:val="auto"/>
                <w:sz w:val="21"/>
                <w:szCs w:val="21"/>
                <w:highlight w:val="none"/>
              </w:rPr>
              <w:t>原辅材料及能源消耗一览表</w:t>
            </w:r>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639"/>
              <w:gridCol w:w="1453"/>
              <w:gridCol w:w="1784"/>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pPr>
                    <w:pStyle w:val="55"/>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1078" w:type="pct"/>
                  <w:vAlign w:val="center"/>
                </w:tcPr>
                <w:p>
                  <w:pPr>
                    <w:pStyle w:val="55"/>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名称</w:t>
                  </w:r>
                </w:p>
              </w:tc>
              <w:tc>
                <w:tcPr>
                  <w:tcW w:w="956" w:type="pct"/>
                  <w:vAlign w:val="center"/>
                </w:tcPr>
                <w:p>
                  <w:pPr>
                    <w:pStyle w:val="55"/>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用量</w:t>
                  </w:r>
                </w:p>
              </w:tc>
              <w:tc>
                <w:tcPr>
                  <w:tcW w:w="1174" w:type="pct"/>
                  <w:vAlign w:val="center"/>
                </w:tcPr>
                <w:p>
                  <w:pPr>
                    <w:pStyle w:val="55"/>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单位</w:t>
                  </w:r>
                </w:p>
              </w:tc>
              <w:tc>
                <w:tcPr>
                  <w:tcW w:w="1331" w:type="pct"/>
                  <w:vAlign w:val="center"/>
                </w:tcPr>
                <w:p>
                  <w:pPr>
                    <w:pStyle w:val="55"/>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pPr>
                    <w:pStyle w:val="55"/>
                    <w:spacing w:line="240" w:lineRule="auto"/>
                    <w:ind w:firstLine="0" w:firstLineChars="0"/>
                    <w:jc w:val="both"/>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pPr>
                    <w:pStyle w:val="55"/>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1078" w:type="pct"/>
                  <w:vAlign w:val="center"/>
                </w:tcPr>
                <w:p>
                  <w:pPr>
                    <w:pStyle w:val="55"/>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b w:val="0"/>
                      <w:bCs/>
                      <w:color w:val="auto"/>
                      <w:sz w:val="21"/>
                      <w:szCs w:val="21"/>
                      <w:highlight w:val="none"/>
                      <w:vertAlign w:val="baseline"/>
                      <w:lang w:val="en-US" w:eastAsia="zh-CN"/>
                    </w:rPr>
                    <w:t>砂</w:t>
                  </w:r>
                  <w:r>
                    <w:rPr>
                      <w:rFonts w:hint="default" w:ascii="Times New Roman" w:hAnsi="Times New Roman" w:eastAsia="宋体" w:cs="Times New Roman"/>
                      <w:b w:val="0"/>
                      <w:bCs/>
                      <w:color w:val="auto"/>
                      <w:sz w:val="21"/>
                      <w:szCs w:val="21"/>
                      <w:highlight w:val="none"/>
                      <w:vertAlign w:val="baseline"/>
                      <w:lang w:val="en-US" w:eastAsia="zh-CN"/>
                    </w:rPr>
                    <w:t>矿</w:t>
                  </w:r>
                </w:p>
              </w:tc>
              <w:tc>
                <w:tcPr>
                  <w:tcW w:w="956" w:type="pct"/>
                  <w:vAlign w:val="center"/>
                </w:tcPr>
                <w:p>
                  <w:pPr>
                    <w:pStyle w:val="55"/>
                    <w:spacing w:line="240" w:lineRule="auto"/>
                    <w:ind w:firstLine="0" w:firstLineChars="0"/>
                    <w:jc w:val="center"/>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cs="Times New Roman"/>
                      <w:b w:val="0"/>
                      <w:bCs/>
                      <w:color w:val="auto"/>
                      <w:sz w:val="21"/>
                      <w:szCs w:val="21"/>
                      <w:highlight w:val="none"/>
                      <w:vertAlign w:val="baseline"/>
                      <w:lang w:val="en-US" w:eastAsia="zh-CN"/>
                    </w:rPr>
                    <w:t>6</w:t>
                  </w:r>
                  <w:r>
                    <w:rPr>
                      <w:rFonts w:hint="default" w:ascii="Times New Roman" w:hAnsi="Times New Roman" w:eastAsia="宋体" w:cs="Times New Roman"/>
                      <w:b w:val="0"/>
                      <w:bCs/>
                      <w:color w:val="auto"/>
                      <w:sz w:val="21"/>
                      <w:szCs w:val="21"/>
                      <w:highlight w:val="none"/>
                      <w:vertAlign w:val="baseline"/>
                      <w:lang w:val="en-US" w:eastAsia="zh-CN"/>
                    </w:rPr>
                    <w:t>0000</w:t>
                  </w:r>
                </w:p>
              </w:tc>
              <w:tc>
                <w:tcPr>
                  <w:tcW w:w="1174" w:type="pct"/>
                  <w:vAlign w:val="center"/>
                </w:tcPr>
                <w:p>
                  <w:pPr>
                    <w:pStyle w:val="55"/>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/a</w:t>
                  </w:r>
                </w:p>
              </w:tc>
              <w:tc>
                <w:tcPr>
                  <w:tcW w:w="1331" w:type="pct"/>
                  <w:vAlign w:val="center"/>
                </w:tcPr>
                <w:p>
                  <w:pPr>
                    <w:pStyle w:val="55"/>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开采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pPr>
                    <w:pStyle w:val="55"/>
                    <w:spacing w:line="240" w:lineRule="auto"/>
                    <w:ind w:firstLine="0" w:firstLineChars="0"/>
                    <w:jc w:val="both"/>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二、能源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pPr>
                    <w:pStyle w:val="55"/>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078" w:type="pct"/>
                  <w:vAlign w:val="center"/>
                </w:tcPr>
                <w:p>
                  <w:pPr>
                    <w:pStyle w:val="55"/>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w:t>
                  </w:r>
                </w:p>
              </w:tc>
              <w:tc>
                <w:tcPr>
                  <w:tcW w:w="956" w:type="pct"/>
                  <w:vAlign w:val="center"/>
                </w:tcPr>
                <w:p>
                  <w:pPr>
                    <w:pStyle w:val="55"/>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33590</w:t>
                  </w:r>
                </w:p>
              </w:tc>
              <w:tc>
                <w:tcPr>
                  <w:tcW w:w="1174" w:type="pct"/>
                  <w:vAlign w:val="center"/>
                </w:tcPr>
                <w:p>
                  <w:pPr>
                    <w:pStyle w:val="55"/>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/a</w:t>
                  </w:r>
                </w:p>
              </w:tc>
              <w:tc>
                <w:tcPr>
                  <w:tcW w:w="1331" w:type="pct"/>
                  <w:vAlign w:val="center"/>
                </w:tcPr>
                <w:p>
                  <w:pPr>
                    <w:pStyle w:val="55"/>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白杨河</w:t>
                  </w:r>
                  <w:r>
                    <w:rPr>
                      <w:rFonts w:hint="eastAsia" w:ascii="Times New Roman" w:hAnsi="Times New Roman" w:eastAsia="宋体" w:cs="Times New Roman"/>
                      <w:color w:val="auto"/>
                      <w:sz w:val="21"/>
                      <w:szCs w:val="21"/>
                      <w:highlight w:val="none"/>
                      <w:lang w:val="en-US" w:eastAsia="zh-CN"/>
                    </w:rPr>
                    <w:t>拉运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pPr>
                    <w:pStyle w:val="55"/>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78" w:type="pct"/>
                  <w:vAlign w:val="center"/>
                </w:tcPr>
                <w:p>
                  <w:pPr>
                    <w:pStyle w:val="55"/>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电</w:t>
                  </w:r>
                </w:p>
              </w:tc>
              <w:tc>
                <w:tcPr>
                  <w:tcW w:w="956" w:type="pct"/>
                  <w:vAlign w:val="center"/>
                </w:tcPr>
                <w:p>
                  <w:pPr>
                    <w:pStyle w:val="55"/>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12.60万</w:t>
                  </w:r>
                </w:p>
              </w:tc>
              <w:tc>
                <w:tcPr>
                  <w:tcW w:w="1174" w:type="pct"/>
                  <w:vAlign w:val="center"/>
                </w:tcPr>
                <w:p>
                  <w:pPr>
                    <w:pStyle w:val="55"/>
                    <w:spacing w:line="240" w:lineRule="auto"/>
                    <w:ind w:firstLine="0" w:firstLineChars="0"/>
                    <w:jc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kWh</w:t>
                  </w:r>
                  <w:r>
                    <w:rPr>
                      <w:rFonts w:hint="eastAsia" w:ascii="Times New Roman" w:hAnsi="Times New Roman" w:eastAsia="宋体" w:cs="Times New Roman"/>
                      <w:color w:val="auto"/>
                      <w:sz w:val="21"/>
                      <w:szCs w:val="21"/>
                      <w:highlight w:val="none"/>
                      <w:lang w:val="en-US" w:eastAsia="zh-CN"/>
                    </w:rPr>
                    <w:t>/a</w:t>
                  </w:r>
                </w:p>
              </w:tc>
              <w:tc>
                <w:tcPr>
                  <w:tcW w:w="1331" w:type="pct"/>
                  <w:vAlign w:val="center"/>
                </w:tcPr>
                <w:p>
                  <w:pPr>
                    <w:pStyle w:val="55"/>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国家电网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pPr>
                    <w:pStyle w:val="55"/>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1078" w:type="pct"/>
                  <w:vAlign w:val="center"/>
                </w:tcPr>
                <w:p>
                  <w:pPr>
                    <w:pStyle w:val="55"/>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柴油</w:t>
                  </w:r>
                </w:p>
              </w:tc>
              <w:tc>
                <w:tcPr>
                  <w:tcW w:w="956" w:type="pct"/>
                  <w:vAlign w:val="center"/>
                </w:tcPr>
                <w:p>
                  <w:pPr>
                    <w:pStyle w:val="55"/>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30600</w:t>
                  </w:r>
                </w:p>
              </w:tc>
              <w:tc>
                <w:tcPr>
                  <w:tcW w:w="1174" w:type="pct"/>
                  <w:vAlign w:val="center"/>
                </w:tcPr>
                <w:p>
                  <w:pPr>
                    <w:pStyle w:val="55"/>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kg/a</w:t>
                  </w:r>
                </w:p>
              </w:tc>
              <w:tc>
                <w:tcPr>
                  <w:tcW w:w="1331" w:type="pct"/>
                  <w:vAlign w:val="center"/>
                </w:tcPr>
                <w:p>
                  <w:pPr>
                    <w:pStyle w:val="55"/>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bCs/>
                      <w:color w:val="auto"/>
                      <w:spacing w:val="10"/>
                      <w:sz w:val="21"/>
                      <w:szCs w:val="21"/>
                      <w:lang w:val="en-US" w:eastAsia="zh-CN"/>
                    </w:rPr>
                    <w:t>不在矿区储存</w:t>
                  </w:r>
                </w:p>
              </w:tc>
            </w:tr>
          </w:tbl>
          <w:p>
            <w:pPr>
              <w:pStyle w:val="3"/>
              <w:numPr>
                <w:ilvl w:val="0"/>
                <w:numId w:val="0"/>
              </w:numPr>
              <w:spacing w:before="156" w:after="156"/>
              <w:outlineLvl w:val="1"/>
              <w:rPr>
                <w:rFonts w:hint="default" w:ascii="Times New Roman" w:hAnsi="Times New Roman" w:cs="Times New Roman"/>
                <w:b/>
                <w:kern w:val="2"/>
                <w:sz w:val="24"/>
                <w:szCs w:val="24"/>
                <w:lang w:val="en-US" w:eastAsia="zh-CN" w:bidi="ar-SA"/>
              </w:rPr>
            </w:pPr>
            <w:r>
              <w:rPr>
                <w:rFonts w:hint="eastAsia" w:ascii="Times New Roman" w:hAnsi="Times New Roman" w:cs="Times New Roman"/>
                <w:b/>
                <w:kern w:val="2"/>
                <w:sz w:val="24"/>
                <w:szCs w:val="24"/>
                <w:lang w:val="en-US" w:eastAsia="zh-CN" w:bidi="ar-SA"/>
              </w:rPr>
              <w:t>5</w:t>
            </w:r>
            <w:r>
              <w:rPr>
                <w:rFonts w:hint="default" w:ascii="Times New Roman" w:hAnsi="Times New Roman" w:cs="Times New Roman"/>
                <w:b/>
                <w:kern w:val="2"/>
                <w:sz w:val="24"/>
                <w:szCs w:val="24"/>
                <w:lang w:val="en-US" w:eastAsia="zh-CN" w:bidi="ar-SA"/>
              </w:rPr>
              <w:t>产品方案</w:t>
            </w:r>
          </w:p>
          <w:p>
            <w:pPr>
              <w:ind w:firstLine="480"/>
              <w:rPr>
                <w:rFonts w:hint="default" w:ascii="Times New Roman" w:hAnsi="Times New Roman" w:cs="Times New Roman"/>
                <w:color w:val="auto"/>
                <w:lang w:val="en-US" w:eastAsia="zh-CN"/>
              </w:rPr>
            </w:pPr>
            <w:r>
              <w:rPr>
                <w:rFonts w:hint="default" w:ascii="Times New Roman" w:hAnsi="Times New Roman" w:cs="Times New Roman" w:eastAsiaTheme="minorEastAsia"/>
                <w:color w:val="auto"/>
                <w:lang w:val="en-US" w:eastAsia="zh-CN"/>
              </w:rPr>
              <w:t>经筛分后产品种类为：粒级40～20mm石子；粒级20～5mm石子；粒级＜5mm水洗砂，年产</w:t>
            </w:r>
            <w:r>
              <w:rPr>
                <w:rFonts w:hint="eastAsia" w:cs="Times New Roman" w:eastAsiaTheme="minorEastAsia"/>
                <w:color w:val="auto"/>
                <w:lang w:val="en-US" w:eastAsia="zh-CN"/>
              </w:rPr>
              <w:t>6</w:t>
            </w:r>
            <w:r>
              <w:rPr>
                <w:rFonts w:hint="default" w:ascii="Times New Roman" w:hAnsi="Times New Roman" w:cs="Times New Roman" w:eastAsiaTheme="minorEastAsia"/>
                <w:color w:val="auto"/>
                <w:lang w:val="en-US" w:eastAsia="zh-CN"/>
              </w:rPr>
              <w:t>万m³。</w:t>
            </w:r>
          </w:p>
          <w:p>
            <w:pPr>
              <w:pStyle w:val="3"/>
              <w:numPr>
                <w:ilvl w:val="0"/>
                <w:numId w:val="0"/>
              </w:numPr>
              <w:spacing w:before="156" w:after="156"/>
              <w:outlineLvl w:val="1"/>
              <w:rPr>
                <w:rFonts w:hint="default" w:ascii="Times New Roman" w:hAnsi="Times New Roman" w:eastAsia="宋体" w:cs="Times New Roman"/>
                <w:lang w:eastAsia="zh-CN"/>
              </w:rPr>
            </w:pPr>
            <w:r>
              <w:rPr>
                <w:rFonts w:hint="eastAsia" w:ascii="Times New Roman" w:hAnsi="Times New Roman" w:cs="Times New Roman"/>
                <w:b/>
                <w:kern w:val="2"/>
                <w:sz w:val="24"/>
                <w:szCs w:val="24"/>
                <w:lang w:val="en-US" w:eastAsia="zh-CN" w:bidi="ar-SA"/>
              </w:rPr>
              <w:t>6</w:t>
            </w:r>
            <w:r>
              <w:rPr>
                <w:rFonts w:hint="default" w:ascii="Times New Roman" w:hAnsi="Times New Roman" w:eastAsia="宋体" w:cs="Times New Roman"/>
                <w:b/>
                <w:kern w:val="2"/>
                <w:sz w:val="24"/>
                <w:szCs w:val="24"/>
                <w:lang w:val="en-US" w:eastAsia="zh-CN" w:bidi="ar-SA"/>
              </w:rPr>
              <w:t>.</w:t>
            </w:r>
            <w:r>
              <w:rPr>
                <w:rFonts w:hint="default" w:ascii="Times New Roman" w:hAnsi="Times New Roman" w:cs="Times New Roman"/>
                <w:lang w:eastAsia="zh-CN"/>
              </w:rPr>
              <w:t>设备一览表</w:t>
            </w:r>
          </w:p>
          <w:p>
            <w:pPr>
              <w:pStyle w:val="21"/>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ascii="Times New Roman" w:hAnsi="Times New Roman" w:cs="Times New Roman"/>
                <w:b/>
                <w:bCs w:val="0"/>
                <w:kern w:val="2"/>
                <w:sz w:val="21"/>
                <w:szCs w:val="21"/>
                <w:lang w:val="en-US" w:eastAsia="zh-CN" w:bidi="ar-SA"/>
              </w:rPr>
            </w:pPr>
            <w:r>
              <w:rPr>
                <w:rFonts w:hint="default" w:ascii="Times New Roman" w:hAnsi="Times New Roman" w:cs="Times New Roman"/>
                <w:b/>
                <w:bCs w:val="0"/>
                <w:kern w:val="2"/>
                <w:sz w:val="21"/>
                <w:szCs w:val="21"/>
                <w:lang w:val="en-US" w:eastAsia="zh-CN" w:bidi="ar-SA"/>
              </w:rPr>
              <w:t>表2-</w:t>
            </w:r>
            <w:r>
              <w:rPr>
                <w:rFonts w:hint="eastAsia" w:cs="Times New Roman"/>
                <w:b/>
                <w:bCs w:val="0"/>
                <w:kern w:val="2"/>
                <w:sz w:val="21"/>
                <w:szCs w:val="21"/>
                <w:lang w:val="en-US" w:eastAsia="zh-CN" w:bidi="ar-SA"/>
              </w:rPr>
              <w:t>3</w:t>
            </w:r>
            <w:r>
              <w:rPr>
                <w:rFonts w:hint="default" w:ascii="Times New Roman" w:hAnsi="Times New Roman" w:cs="Times New Roman"/>
                <w:b/>
                <w:bCs w:val="0"/>
                <w:kern w:val="2"/>
                <w:sz w:val="21"/>
                <w:szCs w:val="21"/>
                <w:lang w:val="en-US" w:eastAsia="zh-CN" w:bidi="ar-SA"/>
              </w:rPr>
              <w:t>设备一览表</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586"/>
              <w:gridCol w:w="3544"/>
              <w:gridCol w:w="845"/>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序号</w:t>
                  </w:r>
                </w:p>
              </w:tc>
              <w:tc>
                <w:tcPr>
                  <w:tcW w:w="104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设备名称</w:t>
                  </w:r>
                </w:p>
              </w:tc>
              <w:tc>
                <w:tcPr>
                  <w:tcW w:w="233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型号</w:t>
                  </w:r>
                </w:p>
              </w:tc>
              <w:tc>
                <w:tcPr>
                  <w:tcW w:w="55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数量</w:t>
                  </w:r>
                </w:p>
              </w:tc>
              <w:tc>
                <w:tcPr>
                  <w:tcW w:w="63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104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color w:val="auto"/>
                      <w:kern w:val="144"/>
                      <w:sz w:val="21"/>
                      <w:szCs w:val="21"/>
                    </w:rPr>
                    <w:t>挖掘机</w:t>
                  </w:r>
                </w:p>
              </w:tc>
              <w:tc>
                <w:tcPr>
                  <w:tcW w:w="233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color w:val="auto"/>
                      <w:kern w:val="144"/>
                      <w:sz w:val="21"/>
                      <w:szCs w:val="21"/>
                      <w:lang w:eastAsia="zh-CN"/>
                    </w:rPr>
                    <w:t>雷沃</w:t>
                  </w:r>
                  <w:r>
                    <w:rPr>
                      <w:rFonts w:hint="default" w:ascii="Times New Roman" w:hAnsi="Times New Roman" w:eastAsia="宋体" w:cs="Times New Roman"/>
                      <w:color w:val="auto"/>
                      <w:kern w:val="144"/>
                      <w:sz w:val="21"/>
                      <w:szCs w:val="21"/>
                      <w:lang w:val="en-US" w:eastAsia="zh-CN"/>
                    </w:rPr>
                    <w:t>240</w:t>
                  </w:r>
                </w:p>
              </w:tc>
              <w:tc>
                <w:tcPr>
                  <w:tcW w:w="55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1台</w:t>
                  </w:r>
                </w:p>
              </w:tc>
              <w:tc>
                <w:tcPr>
                  <w:tcW w:w="63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w:t>
                  </w:r>
                </w:p>
              </w:tc>
              <w:tc>
                <w:tcPr>
                  <w:tcW w:w="104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color w:val="auto"/>
                      <w:kern w:val="144"/>
                      <w:sz w:val="21"/>
                      <w:szCs w:val="21"/>
                    </w:rPr>
                    <w:t>轮胎式装载机</w:t>
                  </w:r>
                </w:p>
              </w:tc>
              <w:tc>
                <w:tcPr>
                  <w:tcW w:w="233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color w:val="auto"/>
                      <w:kern w:val="144"/>
                      <w:sz w:val="21"/>
                      <w:szCs w:val="21"/>
                      <w:lang w:eastAsia="zh-CN"/>
                    </w:rPr>
                    <w:t>柳工</w:t>
                  </w:r>
                  <w:r>
                    <w:rPr>
                      <w:rFonts w:hint="default" w:ascii="Times New Roman" w:hAnsi="Times New Roman" w:eastAsia="宋体" w:cs="Times New Roman"/>
                      <w:color w:val="auto"/>
                      <w:kern w:val="144"/>
                      <w:sz w:val="21"/>
                      <w:szCs w:val="21"/>
                    </w:rPr>
                    <w:t>50</w:t>
                  </w:r>
                  <w:r>
                    <w:rPr>
                      <w:rFonts w:hint="default" w:ascii="Times New Roman" w:hAnsi="Times New Roman" w:eastAsia="宋体" w:cs="Times New Roman"/>
                      <w:color w:val="auto"/>
                      <w:kern w:val="144"/>
                      <w:sz w:val="21"/>
                      <w:szCs w:val="21"/>
                      <w:lang w:val="en-US" w:eastAsia="zh-CN"/>
                    </w:rPr>
                    <w:t xml:space="preserve"> </w:t>
                  </w:r>
                </w:p>
              </w:tc>
              <w:tc>
                <w:tcPr>
                  <w:tcW w:w="55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1台</w:t>
                  </w:r>
                </w:p>
              </w:tc>
              <w:tc>
                <w:tcPr>
                  <w:tcW w:w="63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w:t>
                  </w:r>
                </w:p>
              </w:tc>
              <w:tc>
                <w:tcPr>
                  <w:tcW w:w="104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144"/>
                      <w:sz w:val="21"/>
                      <w:szCs w:val="21"/>
                      <w:lang w:eastAsia="zh-CN"/>
                    </w:rPr>
                  </w:pPr>
                  <w:r>
                    <w:rPr>
                      <w:rFonts w:hint="default" w:ascii="Times New Roman" w:hAnsi="Times New Roman" w:eastAsia="宋体" w:cs="Times New Roman"/>
                      <w:color w:val="auto"/>
                      <w:kern w:val="144"/>
                      <w:sz w:val="21"/>
                      <w:szCs w:val="21"/>
                      <w:lang w:eastAsia="zh-CN"/>
                    </w:rPr>
                    <w:t>装载机</w:t>
                  </w:r>
                </w:p>
              </w:tc>
              <w:tc>
                <w:tcPr>
                  <w:tcW w:w="233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144"/>
                      <w:sz w:val="21"/>
                      <w:szCs w:val="21"/>
                      <w:lang w:eastAsia="zh-CN"/>
                    </w:rPr>
                  </w:pPr>
                  <w:r>
                    <w:rPr>
                      <w:rFonts w:hint="default" w:ascii="Times New Roman" w:hAnsi="Times New Roman" w:eastAsia="宋体" w:cs="Times New Roman"/>
                      <w:color w:val="auto"/>
                      <w:kern w:val="144"/>
                      <w:sz w:val="21"/>
                      <w:szCs w:val="21"/>
                      <w:lang w:eastAsia="zh-CN"/>
                    </w:rPr>
                    <w:t>三一</w:t>
                  </w:r>
                </w:p>
              </w:tc>
              <w:tc>
                <w:tcPr>
                  <w:tcW w:w="55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1台</w:t>
                  </w:r>
                </w:p>
              </w:tc>
              <w:tc>
                <w:tcPr>
                  <w:tcW w:w="63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w:t>
                  </w:r>
                </w:p>
              </w:tc>
              <w:tc>
                <w:tcPr>
                  <w:tcW w:w="104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color w:val="auto"/>
                      <w:kern w:val="144"/>
                      <w:sz w:val="21"/>
                      <w:szCs w:val="21"/>
                      <w:lang w:eastAsia="zh-CN"/>
                    </w:rPr>
                    <w:t>倒料车</w:t>
                  </w:r>
                </w:p>
              </w:tc>
              <w:tc>
                <w:tcPr>
                  <w:tcW w:w="233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kern w:val="2"/>
                      <w:sz w:val="21"/>
                      <w:szCs w:val="21"/>
                      <w:vertAlign w:val="baseline"/>
                      <w:lang w:val="en-US" w:eastAsia="zh-CN" w:bidi="ar-SA"/>
                    </w:rPr>
                    <w:t>/</w:t>
                  </w:r>
                </w:p>
              </w:tc>
              <w:tc>
                <w:tcPr>
                  <w:tcW w:w="55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2台</w:t>
                  </w:r>
                </w:p>
              </w:tc>
              <w:tc>
                <w:tcPr>
                  <w:tcW w:w="63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w:t>
                  </w:r>
                </w:p>
              </w:tc>
              <w:tc>
                <w:tcPr>
                  <w:tcW w:w="104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color w:val="auto"/>
                      <w:sz w:val="21"/>
                      <w:szCs w:val="21"/>
                    </w:rPr>
                    <w:t>水车</w:t>
                  </w:r>
                </w:p>
              </w:tc>
              <w:tc>
                <w:tcPr>
                  <w:tcW w:w="233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color w:val="auto"/>
                      <w:sz w:val="21"/>
                      <w:szCs w:val="21"/>
                    </w:rPr>
                    <w:t>10t</w:t>
                  </w:r>
                </w:p>
              </w:tc>
              <w:tc>
                <w:tcPr>
                  <w:tcW w:w="55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1台</w:t>
                  </w:r>
                </w:p>
              </w:tc>
              <w:tc>
                <w:tcPr>
                  <w:tcW w:w="63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6</w:t>
                  </w:r>
                </w:p>
              </w:tc>
              <w:tc>
                <w:tcPr>
                  <w:tcW w:w="104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输送带</w:t>
                  </w:r>
                </w:p>
              </w:tc>
              <w:tc>
                <w:tcPr>
                  <w:tcW w:w="233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长度80cm4条，长度120cm2条</w:t>
                  </w:r>
                </w:p>
              </w:tc>
              <w:tc>
                <w:tcPr>
                  <w:tcW w:w="55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6条</w:t>
                  </w:r>
                </w:p>
              </w:tc>
              <w:tc>
                <w:tcPr>
                  <w:tcW w:w="63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7</w:t>
                  </w:r>
                </w:p>
              </w:tc>
              <w:tc>
                <w:tcPr>
                  <w:tcW w:w="104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筛沙机</w:t>
                  </w:r>
                </w:p>
              </w:tc>
              <w:tc>
                <w:tcPr>
                  <w:tcW w:w="233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长8.5m*宽2.6m</w:t>
                  </w:r>
                  <w:r>
                    <w:rPr>
                      <w:rFonts w:hint="eastAsia" w:ascii="Times New Roman" w:hAnsi="Times New Roman" w:eastAsia="宋体" w:cs="Times New Roman"/>
                      <w:sz w:val="21"/>
                      <w:szCs w:val="21"/>
                      <w:vertAlign w:val="baseline"/>
                      <w:lang w:val="en-US" w:eastAsia="zh-CN"/>
                    </w:rPr>
                    <w:t>，</w:t>
                  </w:r>
                  <w:r>
                    <w:rPr>
                      <w:rFonts w:hint="default" w:ascii="Times New Roman" w:hAnsi="Times New Roman" w:eastAsia="宋体" w:cs="Times New Roman"/>
                      <w:sz w:val="21"/>
                      <w:szCs w:val="21"/>
                      <w:vertAlign w:val="baseline"/>
                      <w:lang w:val="en-US" w:eastAsia="zh-CN"/>
                    </w:rPr>
                    <w:t>2套；长5.5mm*宽1.8mm</w:t>
                  </w:r>
                  <w:r>
                    <w:rPr>
                      <w:rFonts w:hint="eastAsia" w:ascii="Times New Roman" w:hAnsi="Times New Roman" w:eastAsia="宋体" w:cs="Times New Roman"/>
                      <w:sz w:val="21"/>
                      <w:szCs w:val="21"/>
                      <w:vertAlign w:val="baseline"/>
                      <w:lang w:val="en-US" w:eastAsia="zh-CN"/>
                    </w:rPr>
                    <w:t>，</w:t>
                  </w:r>
                  <w:r>
                    <w:rPr>
                      <w:rFonts w:hint="default" w:ascii="Times New Roman" w:hAnsi="Times New Roman" w:eastAsia="宋体" w:cs="Times New Roman"/>
                      <w:sz w:val="21"/>
                      <w:szCs w:val="21"/>
                      <w:vertAlign w:val="baseline"/>
                      <w:lang w:val="en-US" w:eastAsia="zh-CN"/>
                    </w:rPr>
                    <w:t>1套</w:t>
                  </w:r>
                </w:p>
              </w:tc>
              <w:tc>
                <w:tcPr>
                  <w:tcW w:w="55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3套</w:t>
                  </w:r>
                </w:p>
              </w:tc>
              <w:tc>
                <w:tcPr>
                  <w:tcW w:w="63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8</w:t>
                  </w:r>
                </w:p>
              </w:tc>
              <w:tc>
                <w:tcPr>
                  <w:tcW w:w="104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毛料仓</w:t>
                  </w:r>
                </w:p>
              </w:tc>
              <w:tc>
                <w:tcPr>
                  <w:tcW w:w="233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4.5m*4.2m</w:t>
                  </w:r>
                </w:p>
              </w:tc>
              <w:tc>
                <w:tcPr>
                  <w:tcW w:w="55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1套</w:t>
                  </w:r>
                </w:p>
              </w:tc>
              <w:tc>
                <w:tcPr>
                  <w:tcW w:w="63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9</w:t>
                  </w:r>
                </w:p>
              </w:tc>
              <w:tc>
                <w:tcPr>
                  <w:tcW w:w="104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搅笼洗沙机</w:t>
                  </w:r>
                </w:p>
              </w:tc>
              <w:tc>
                <w:tcPr>
                  <w:tcW w:w="233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6m*2.5m</w:t>
                  </w:r>
                </w:p>
              </w:tc>
              <w:tc>
                <w:tcPr>
                  <w:tcW w:w="55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1套</w:t>
                  </w:r>
                </w:p>
              </w:tc>
              <w:tc>
                <w:tcPr>
                  <w:tcW w:w="63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w:t>
                  </w:r>
                </w:p>
              </w:tc>
              <w:tc>
                <w:tcPr>
                  <w:tcW w:w="104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配电室</w:t>
                  </w:r>
                </w:p>
              </w:tc>
              <w:tc>
                <w:tcPr>
                  <w:tcW w:w="233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w:t>
                  </w:r>
                </w:p>
              </w:tc>
              <w:tc>
                <w:tcPr>
                  <w:tcW w:w="55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1套</w:t>
                  </w:r>
                </w:p>
              </w:tc>
              <w:tc>
                <w:tcPr>
                  <w:tcW w:w="63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11</w:t>
                  </w:r>
                </w:p>
              </w:tc>
              <w:tc>
                <w:tcPr>
                  <w:tcW w:w="104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操作间</w:t>
                  </w:r>
                </w:p>
              </w:tc>
              <w:tc>
                <w:tcPr>
                  <w:tcW w:w="233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w:t>
                  </w:r>
                </w:p>
              </w:tc>
              <w:tc>
                <w:tcPr>
                  <w:tcW w:w="55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1间</w:t>
                  </w:r>
                </w:p>
              </w:tc>
              <w:tc>
                <w:tcPr>
                  <w:tcW w:w="63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r>
          </w:tbl>
          <w:p>
            <w:pPr>
              <w:numPr>
                <w:ilvl w:val="0"/>
                <w:numId w:val="0"/>
              </w:numPr>
              <w:bidi w:val="0"/>
              <w:ind w:left="0" w:leftChars="0" w:firstLine="0" w:firstLineChars="0"/>
              <w:rPr>
                <w:rFonts w:hint="default" w:ascii="Times New Roman" w:hAnsi="Times New Roman" w:cs="Times New Roman"/>
                <w:b/>
                <w:bCs/>
                <w:lang w:val="en-US" w:eastAsia="zh-CN"/>
              </w:rPr>
            </w:pPr>
            <w:r>
              <w:rPr>
                <w:rFonts w:hint="eastAsia" w:cs="Times New Roman"/>
                <w:b/>
                <w:bCs/>
                <w:kern w:val="2"/>
                <w:sz w:val="24"/>
                <w:szCs w:val="24"/>
                <w:lang w:val="en-US" w:eastAsia="zh-CN" w:bidi="ar-SA"/>
              </w:rPr>
              <w:t>7</w:t>
            </w:r>
            <w:r>
              <w:rPr>
                <w:rFonts w:hint="default" w:ascii="Times New Roman" w:hAnsi="Times New Roman" w:eastAsia="宋体" w:cs="Times New Roman"/>
                <w:b/>
                <w:bCs/>
                <w:kern w:val="2"/>
                <w:sz w:val="24"/>
                <w:szCs w:val="24"/>
                <w:lang w:val="en-US" w:eastAsia="zh-CN" w:bidi="ar-SA"/>
              </w:rPr>
              <w:t>.</w:t>
            </w:r>
            <w:r>
              <w:rPr>
                <w:rFonts w:hint="default" w:ascii="Times New Roman" w:hAnsi="Times New Roman" w:cs="Times New Roman"/>
                <w:b/>
                <w:bCs/>
                <w:lang w:val="en-US" w:eastAsia="zh-CN"/>
              </w:rPr>
              <w:t>矿区坐标范围</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矿区范围由</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个拐点构成，面积为0.2024</w:t>
            </w:r>
            <w:r>
              <w:rPr>
                <w:rFonts w:hint="default" w:ascii="Times New Roman" w:hAnsi="Times New Roman" w:eastAsia="宋体" w:cs="Times New Roman"/>
                <w:color w:val="auto"/>
                <w:sz w:val="24"/>
                <w:szCs w:val="24"/>
                <w:lang w:val="en-US" w:eastAsia="zh-CN"/>
              </w:rPr>
              <w:t>平方千米</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w:t>
            </w:r>
            <w:r>
              <w:rPr>
                <w:rFonts w:hint="default" w:ascii="Times New Roman" w:hAnsi="Times New Roman" w:eastAsia="宋体" w:cs="Times New Roman"/>
                <w:b/>
                <w:bCs/>
                <w:color w:val="auto"/>
                <w:sz w:val="21"/>
                <w:szCs w:val="21"/>
                <w:lang w:val="en-US" w:eastAsia="zh-CN"/>
              </w:rPr>
              <w:t>2-</w:t>
            </w:r>
            <w:r>
              <w:rPr>
                <w:rFonts w:hint="eastAsia" w:cs="Times New Roman"/>
                <w:b/>
                <w:bCs/>
                <w:color w:val="auto"/>
                <w:sz w:val="21"/>
                <w:szCs w:val="21"/>
                <w:lang w:val="en-US" w:eastAsia="zh-CN"/>
              </w:rPr>
              <w:t>4</w:t>
            </w:r>
            <w:r>
              <w:rPr>
                <w:rFonts w:hint="default" w:ascii="Times New Roman" w:hAnsi="Times New Roman" w:eastAsia="宋体" w:cs="Times New Roman"/>
                <w:b/>
                <w:bCs/>
                <w:color w:val="auto"/>
                <w:sz w:val="21"/>
                <w:szCs w:val="21"/>
              </w:rPr>
              <w:t xml:space="preserve">  矿区范围拐点坐标表</w:t>
            </w:r>
          </w:p>
          <w:p>
            <w:pPr>
              <w:bidi w:val="0"/>
              <w:ind w:left="0" w:leftChars="0" w:firstLine="0" w:firstLineChars="0"/>
              <w:rPr>
                <w:rFonts w:hint="default"/>
                <w:b/>
                <w:bCs/>
                <w:highlight w:val="none"/>
                <w:lang w:val="en-US" w:eastAsia="zh-CN"/>
              </w:rPr>
            </w:pPr>
            <w:r>
              <w:rPr>
                <w:rFonts w:hint="eastAsia" w:cs="Times New Roman"/>
                <w:b/>
                <w:bCs/>
                <w:kern w:val="2"/>
                <w:sz w:val="24"/>
                <w:szCs w:val="24"/>
                <w:lang w:val="en-US" w:eastAsia="zh-CN" w:bidi="ar-SA"/>
              </w:rPr>
              <w:t>8</w:t>
            </w:r>
            <w:r>
              <w:rPr>
                <w:rFonts w:hint="default" w:ascii="Times New Roman" w:hAnsi="Times New Roman" w:eastAsia="宋体" w:cs="Times New Roman"/>
                <w:b/>
                <w:bCs/>
                <w:kern w:val="2"/>
                <w:sz w:val="24"/>
                <w:szCs w:val="24"/>
                <w:lang w:val="en-US" w:eastAsia="zh-CN" w:bidi="ar-SA"/>
              </w:rPr>
              <w:t>.</w:t>
            </w:r>
            <w:r>
              <w:rPr>
                <w:rFonts w:hint="eastAsia" w:cs="Times New Roman"/>
                <w:b/>
                <w:bCs/>
                <w:kern w:val="2"/>
                <w:sz w:val="24"/>
                <w:szCs w:val="24"/>
                <w:lang w:val="en-US" w:eastAsia="zh-CN" w:bidi="ar-SA"/>
              </w:rPr>
              <w:t>公用</w:t>
            </w:r>
            <w:r>
              <w:rPr>
                <w:rFonts w:hint="eastAsia"/>
                <w:b/>
                <w:bCs/>
                <w:highlight w:val="none"/>
                <w:lang w:val="en-US" w:eastAsia="zh-CN"/>
              </w:rPr>
              <w:t>辅助设施</w:t>
            </w:r>
          </w:p>
          <w:p>
            <w:pPr>
              <w:bidi w:val="0"/>
              <w:ind w:left="0" w:leftChars="0" w:firstLine="480" w:firstLineChars="200"/>
              <w:rPr>
                <w:rFonts w:hint="eastAsia"/>
                <w:b/>
                <w:bCs/>
                <w:lang w:val="en-US" w:eastAsia="zh-CN"/>
              </w:rPr>
            </w:pPr>
            <w:r>
              <w:rPr>
                <w:rFonts w:hint="eastAsia" w:cs="Times New Roman"/>
                <w:b w:val="0"/>
                <w:kern w:val="2"/>
                <w:sz w:val="24"/>
                <w:szCs w:val="24"/>
                <w:highlight w:val="none"/>
                <w:lang w:val="en-US" w:eastAsia="zh-CN" w:bidi="ar-SA"/>
              </w:rPr>
              <w:t>本项目用水从白杨河拉运</w:t>
            </w:r>
            <w:r>
              <w:rPr>
                <w:rFonts w:hint="eastAsia" w:ascii="Times New Roman" w:hAnsi="Times New Roman" w:cs="Times New Roman"/>
                <w:b w:val="0"/>
                <w:kern w:val="2"/>
                <w:sz w:val="24"/>
                <w:szCs w:val="24"/>
                <w:highlight w:val="none"/>
                <w:lang w:val="en-US" w:eastAsia="zh-CN" w:bidi="ar-SA"/>
              </w:rPr>
              <w:t>。生产废水</w:t>
            </w:r>
            <w:r>
              <w:rPr>
                <w:rFonts w:hint="default" w:ascii="Times New Roman" w:hAnsi="Times New Roman" w:eastAsia="宋体" w:cs="Times New Roman"/>
                <w:b w:val="0"/>
                <w:kern w:val="2"/>
                <w:sz w:val="24"/>
                <w:szCs w:val="24"/>
                <w:highlight w:val="none"/>
                <w:lang w:val="en-US" w:eastAsia="zh-CN" w:bidi="ar-SA"/>
              </w:rPr>
              <w:t>主要为生产过程中产生的洗砂废水、车辆冲洗废水、</w:t>
            </w:r>
            <w:r>
              <w:rPr>
                <w:rFonts w:hint="eastAsia" w:cs="Times New Roman"/>
                <w:b w:val="0"/>
                <w:kern w:val="2"/>
                <w:sz w:val="24"/>
                <w:szCs w:val="24"/>
                <w:highlight w:val="none"/>
                <w:lang w:val="en-US" w:eastAsia="zh-CN" w:bidi="ar-SA"/>
              </w:rPr>
              <w:t>降尘用水</w:t>
            </w:r>
            <w:r>
              <w:rPr>
                <w:rFonts w:hint="default" w:ascii="Times New Roman" w:hAnsi="Times New Roman" w:eastAsia="宋体" w:cs="Times New Roman"/>
                <w:b w:val="0"/>
                <w:kern w:val="2"/>
                <w:sz w:val="24"/>
                <w:szCs w:val="24"/>
                <w:highlight w:val="none"/>
                <w:lang w:val="en-US" w:eastAsia="zh-CN" w:bidi="ar-SA"/>
              </w:rPr>
              <w:t>。</w:t>
            </w:r>
          </w:p>
          <w:p>
            <w:pPr>
              <w:bidi w:val="0"/>
              <w:ind w:left="0" w:leftChars="0" w:firstLine="482" w:firstLineChars="200"/>
              <w:rPr>
                <w:rFonts w:hint="eastAsia"/>
                <w:b/>
                <w:bCs/>
                <w:lang w:val="en-US" w:eastAsia="zh-CN"/>
              </w:rPr>
            </w:pPr>
            <w:r>
              <w:rPr>
                <w:rFonts w:hint="eastAsia"/>
                <w:b/>
                <w:bCs/>
                <w:lang w:val="en-US" w:eastAsia="zh-CN"/>
              </w:rPr>
              <w:t>8.1生产用水</w:t>
            </w:r>
          </w:p>
          <w:p>
            <w:pPr>
              <w:bidi w:val="0"/>
              <w:rPr>
                <w:rFonts w:hint="eastAsia"/>
                <w:b w:val="0"/>
                <w:bCs w:val="0"/>
                <w:lang w:val="en-US" w:eastAsia="zh-CN"/>
              </w:rPr>
            </w:pPr>
            <w:r>
              <w:rPr>
                <w:rFonts w:hint="eastAsia"/>
                <w:b w:val="0"/>
                <w:bCs w:val="0"/>
                <w:lang w:val="en-US" w:eastAsia="zh-CN"/>
              </w:rPr>
              <w:t>（1）洗砂用水</w:t>
            </w:r>
          </w:p>
          <w:p>
            <w:pPr>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eastAsia="宋体" w:cs="Times New Roman"/>
                <w:b w:val="0"/>
                <w:kern w:val="2"/>
                <w:sz w:val="24"/>
                <w:szCs w:val="24"/>
                <w:highlight w:val="none"/>
                <w:lang w:val="en-US" w:eastAsia="zh-CN" w:bidi="ar-SA"/>
              </w:rPr>
            </w:pPr>
            <w:r>
              <w:rPr>
                <w:rFonts w:hint="eastAsia" w:ascii="Times New Roman" w:hAnsi="Times New Roman" w:eastAsia="宋体" w:cs="Times New Roman"/>
                <w:b w:val="0"/>
                <w:kern w:val="2"/>
                <w:sz w:val="24"/>
                <w:szCs w:val="24"/>
                <w:highlight w:val="none"/>
                <w:lang w:val="en-US" w:eastAsia="zh-CN" w:bidi="ar-SA"/>
              </w:rPr>
              <w:t>根据建设单位提供的资料，</w:t>
            </w:r>
            <w:r>
              <w:rPr>
                <w:rFonts w:hint="default" w:ascii="Times New Roman" w:hAnsi="Times New Roman" w:eastAsia="宋体" w:cs="Times New Roman"/>
                <w:b w:val="0"/>
                <w:kern w:val="2"/>
                <w:sz w:val="24"/>
                <w:szCs w:val="24"/>
                <w:highlight w:val="none"/>
                <w:lang w:val="en-US" w:eastAsia="zh-CN" w:bidi="ar-SA"/>
              </w:rPr>
              <w:t>该矿山设计生产规模</w:t>
            </w:r>
            <w:r>
              <w:rPr>
                <w:rFonts w:hint="eastAsia" w:ascii="Times New Roman" w:hAnsi="Times New Roman" w:eastAsia="宋体" w:cs="Times New Roman"/>
                <w:b w:val="0"/>
                <w:kern w:val="2"/>
                <w:sz w:val="24"/>
                <w:szCs w:val="24"/>
                <w:highlight w:val="none"/>
                <w:lang w:val="en-US" w:eastAsia="zh-CN" w:bidi="ar-SA"/>
              </w:rPr>
              <w:t>6</w:t>
            </w:r>
            <w:r>
              <w:rPr>
                <w:rFonts w:hint="default" w:ascii="Times New Roman" w:hAnsi="Times New Roman" w:eastAsia="宋体" w:cs="Times New Roman"/>
                <w:b w:val="0"/>
                <w:kern w:val="2"/>
                <w:sz w:val="24"/>
                <w:szCs w:val="24"/>
                <w:highlight w:val="none"/>
                <w:lang w:val="en-US" w:eastAsia="zh-CN" w:bidi="ar-SA"/>
              </w:rPr>
              <w:t>万m</w:t>
            </w:r>
            <w:r>
              <w:rPr>
                <w:rFonts w:hint="default" w:ascii="Times New Roman" w:hAnsi="Times New Roman" w:eastAsia="宋体" w:cs="Times New Roman"/>
                <w:b w:val="0"/>
                <w:kern w:val="2"/>
                <w:sz w:val="24"/>
                <w:szCs w:val="24"/>
                <w:highlight w:val="none"/>
                <w:vertAlign w:val="superscript"/>
                <w:lang w:val="en-US" w:eastAsia="zh-CN" w:bidi="ar-SA"/>
              </w:rPr>
              <w:t>3</w:t>
            </w:r>
            <w:r>
              <w:rPr>
                <w:rFonts w:hint="default" w:ascii="Times New Roman" w:hAnsi="Times New Roman" w:eastAsia="宋体" w:cs="Times New Roman"/>
                <w:b w:val="0"/>
                <w:kern w:val="2"/>
                <w:sz w:val="24"/>
                <w:szCs w:val="24"/>
                <w:highlight w:val="none"/>
                <w:lang w:val="en-US" w:eastAsia="zh-CN" w:bidi="ar-SA"/>
              </w:rPr>
              <w:t>/年，水洗1.0m</w:t>
            </w:r>
            <w:r>
              <w:rPr>
                <w:rFonts w:hint="default" w:ascii="Times New Roman" w:hAnsi="Times New Roman" w:eastAsia="宋体" w:cs="Times New Roman"/>
                <w:b w:val="0"/>
                <w:kern w:val="2"/>
                <w:sz w:val="24"/>
                <w:szCs w:val="24"/>
                <w:highlight w:val="none"/>
                <w:vertAlign w:val="superscript"/>
                <w:lang w:val="en-US" w:eastAsia="zh-CN" w:bidi="ar-SA"/>
              </w:rPr>
              <w:t>3</w:t>
            </w:r>
            <w:r>
              <w:rPr>
                <w:rFonts w:hint="default" w:ascii="Times New Roman" w:hAnsi="Times New Roman" w:eastAsia="宋体" w:cs="Times New Roman"/>
                <w:b w:val="0"/>
                <w:kern w:val="2"/>
                <w:sz w:val="24"/>
                <w:szCs w:val="24"/>
                <w:highlight w:val="none"/>
                <w:lang w:val="en-US" w:eastAsia="zh-CN" w:bidi="ar-SA"/>
              </w:rPr>
              <w:t>原矿需用水0.50m</w:t>
            </w:r>
            <w:r>
              <w:rPr>
                <w:rFonts w:hint="default" w:ascii="Times New Roman" w:hAnsi="Times New Roman" w:eastAsia="宋体" w:cs="Times New Roman"/>
                <w:b w:val="0"/>
                <w:kern w:val="2"/>
                <w:sz w:val="24"/>
                <w:szCs w:val="24"/>
                <w:highlight w:val="none"/>
                <w:vertAlign w:val="superscript"/>
                <w:lang w:val="en-US" w:eastAsia="zh-CN" w:bidi="ar-SA"/>
              </w:rPr>
              <w:t>3</w:t>
            </w:r>
            <w:r>
              <w:rPr>
                <w:rFonts w:hint="default" w:ascii="Times New Roman" w:hAnsi="Times New Roman" w:eastAsia="宋体" w:cs="Times New Roman"/>
                <w:b w:val="0"/>
                <w:kern w:val="2"/>
                <w:sz w:val="24"/>
                <w:szCs w:val="24"/>
                <w:highlight w:val="none"/>
                <w:lang w:val="en-US" w:eastAsia="zh-CN" w:bidi="ar-SA"/>
              </w:rPr>
              <w:t>，</w:t>
            </w:r>
            <w:r>
              <w:rPr>
                <w:rFonts w:hint="eastAsia" w:ascii="Times New Roman" w:hAnsi="Times New Roman" w:eastAsia="宋体" w:cs="Times New Roman"/>
                <w:b w:val="0"/>
                <w:kern w:val="2"/>
                <w:sz w:val="24"/>
                <w:szCs w:val="24"/>
                <w:highlight w:val="none"/>
                <w:lang w:val="en-US" w:eastAsia="zh-CN" w:bidi="ar-SA"/>
              </w:rPr>
              <w:t>故洗砂</w:t>
            </w:r>
            <w:r>
              <w:rPr>
                <w:rFonts w:hint="default" w:ascii="Times New Roman" w:hAnsi="Times New Roman" w:eastAsia="宋体" w:cs="Times New Roman"/>
                <w:b w:val="0"/>
                <w:kern w:val="2"/>
                <w:sz w:val="24"/>
                <w:szCs w:val="24"/>
                <w:highlight w:val="none"/>
                <w:lang w:val="en-US" w:eastAsia="zh-CN" w:bidi="ar-SA"/>
              </w:rPr>
              <w:t>用水量为</w:t>
            </w:r>
            <w:r>
              <w:rPr>
                <w:rFonts w:hint="eastAsia" w:ascii="Times New Roman" w:hAnsi="Times New Roman" w:eastAsia="宋体" w:cs="Times New Roman"/>
                <w:b w:val="0"/>
                <w:kern w:val="2"/>
                <w:sz w:val="24"/>
                <w:szCs w:val="24"/>
                <w:highlight w:val="none"/>
                <w:lang w:val="en-US" w:eastAsia="zh-CN" w:bidi="ar-SA"/>
              </w:rPr>
              <w:t>3</w:t>
            </w:r>
            <w:r>
              <w:rPr>
                <w:rFonts w:hint="default" w:ascii="Times New Roman" w:hAnsi="Times New Roman" w:eastAsia="宋体" w:cs="Times New Roman"/>
                <w:b w:val="0"/>
                <w:kern w:val="2"/>
                <w:sz w:val="24"/>
                <w:szCs w:val="24"/>
                <w:highlight w:val="none"/>
                <w:lang w:val="en-US" w:eastAsia="zh-CN" w:bidi="ar-SA"/>
              </w:rPr>
              <w:t>万m</w:t>
            </w:r>
            <w:r>
              <w:rPr>
                <w:rFonts w:hint="default" w:ascii="Times New Roman" w:hAnsi="Times New Roman" w:eastAsia="宋体" w:cs="Times New Roman"/>
                <w:b w:val="0"/>
                <w:kern w:val="2"/>
                <w:sz w:val="24"/>
                <w:szCs w:val="24"/>
                <w:highlight w:val="none"/>
                <w:vertAlign w:val="superscript"/>
                <w:lang w:val="en-US" w:eastAsia="zh-CN" w:bidi="ar-SA"/>
              </w:rPr>
              <w:t>3</w:t>
            </w:r>
            <w:r>
              <w:rPr>
                <w:rFonts w:hint="default" w:ascii="Times New Roman" w:hAnsi="Times New Roman" w:eastAsia="宋体" w:cs="Times New Roman"/>
                <w:b w:val="0"/>
                <w:kern w:val="2"/>
                <w:sz w:val="24"/>
                <w:szCs w:val="24"/>
                <w:highlight w:val="none"/>
                <w:lang w:val="en-US" w:eastAsia="zh-CN" w:bidi="ar-SA"/>
              </w:rPr>
              <w:t>/年（</w:t>
            </w:r>
            <w:r>
              <w:rPr>
                <w:rFonts w:hint="eastAsia" w:ascii="Times New Roman" w:hAnsi="Times New Roman" w:eastAsia="宋体" w:cs="Times New Roman"/>
                <w:b w:val="0"/>
                <w:kern w:val="2"/>
                <w:sz w:val="24"/>
                <w:szCs w:val="24"/>
                <w:highlight w:val="none"/>
                <w:lang w:val="en-US" w:eastAsia="zh-CN" w:bidi="ar-SA"/>
              </w:rPr>
              <w:t>120</w:t>
            </w:r>
            <w:r>
              <w:rPr>
                <w:rFonts w:hint="default" w:ascii="Times New Roman" w:hAnsi="Times New Roman" w:eastAsia="宋体" w:cs="Times New Roman"/>
                <w:b w:val="0"/>
                <w:kern w:val="2"/>
                <w:sz w:val="24"/>
                <w:szCs w:val="24"/>
                <w:highlight w:val="none"/>
                <w:lang w:val="en-US" w:eastAsia="zh-CN" w:bidi="ar-SA"/>
              </w:rPr>
              <w:t>m</w:t>
            </w:r>
            <w:r>
              <w:rPr>
                <w:rFonts w:hint="default" w:ascii="Times New Roman" w:hAnsi="Times New Roman" w:eastAsia="宋体" w:cs="Times New Roman"/>
                <w:b w:val="0"/>
                <w:kern w:val="2"/>
                <w:sz w:val="24"/>
                <w:szCs w:val="24"/>
                <w:highlight w:val="none"/>
                <w:vertAlign w:val="superscript"/>
                <w:lang w:val="en-US" w:eastAsia="zh-CN" w:bidi="ar-SA"/>
              </w:rPr>
              <w:t>3</w:t>
            </w:r>
            <w:r>
              <w:rPr>
                <w:rFonts w:hint="default" w:ascii="Times New Roman" w:hAnsi="Times New Roman" w:eastAsia="宋体" w:cs="Times New Roman"/>
                <w:b w:val="0"/>
                <w:kern w:val="2"/>
                <w:sz w:val="24"/>
                <w:szCs w:val="24"/>
                <w:highlight w:val="none"/>
                <w:lang w:val="en-US" w:eastAsia="zh-CN" w:bidi="ar-SA"/>
              </w:rPr>
              <w:t>/d）。废水经沉淀后可循环利用，回用率</w:t>
            </w:r>
            <w:r>
              <w:rPr>
                <w:rFonts w:hint="eastAsia" w:ascii="Times New Roman" w:hAnsi="Times New Roman" w:eastAsia="宋体" w:cs="Times New Roman"/>
                <w:b w:val="0"/>
                <w:kern w:val="2"/>
                <w:sz w:val="24"/>
                <w:szCs w:val="24"/>
                <w:highlight w:val="none"/>
                <w:lang w:val="en-US" w:eastAsia="zh-CN" w:bidi="ar-SA"/>
              </w:rPr>
              <w:t>85</w:t>
            </w:r>
            <w:r>
              <w:rPr>
                <w:rFonts w:hint="default" w:ascii="Times New Roman" w:hAnsi="Times New Roman" w:eastAsia="宋体" w:cs="Times New Roman"/>
                <w:b w:val="0"/>
                <w:kern w:val="2"/>
                <w:sz w:val="24"/>
                <w:szCs w:val="24"/>
                <w:highlight w:val="none"/>
                <w:lang w:val="en-US" w:eastAsia="zh-CN" w:bidi="ar-SA"/>
              </w:rPr>
              <w:t>%，补充新水</w:t>
            </w:r>
            <w:r>
              <w:rPr>
                <w:rFonts w:hint="eastAsia" w:ascii="Times New Roman" w:hAnsi="Times New Roman" w:eastAsia="宋体" w:cs="Times New Roman"/>
                <w:b w:val="0"/>
                <w:kern w:val="2"/>
                <w:sz w:val="24"/>
                <w:szCs w:val="24"/>
                <w:highlight w:val="none"/>
                <w:lang w:val="en-US" w:eastAsia="zh-CN" w:bidi="ar-SA"/>
              </w:rPr>
              <w:t>15</w:t>
            </w:r>
            <w:r>
              <w:rPr>
                <w:rFonts w:hint="default" w:ascii="Times New Roman" w:hAnsi="Times New Roman" w:eastAsia="宋体" w:cs="Times New Roman"/>
                <w:b w:val="0"/>
                <w:kern w:val="2"/>
                <w:sz w:val="24"/>
                <w:szCs w:val="24"/>
                <w:highlight w:val="none"/>
                <w:lang w:val="en-US" w:eastAsia="zh-CN" w:bidi="ar-SA"/>
              </w:rPr>
              <w:t>%，年需新水量</w:t>
            </w:r>
            <w:r>
              <w:rPr>
                <w:rFonts w:hint="eastAsia" w:ascii="Times New Roman" w:hAnsi="Times New Roman" w:eastAsia="宋体" w:cs="Times New Roman"/>
                <w:b w:val="0"/>
                <w:kern w:val="2"/>
                <w:sz w:val="24"/>
                <w:szCs w:val="24"/>
                <w:highlight w:val="none"/>
                <w:lang w:val="en-US" w:eastAsia="zh-CN" w:bidi="ar-SA"/>
              </w:rPr>
              <w:t>4500</w:t>
            </w:r>
            <w:r>
              <w:rPr>
                <w:rFonts w:hint="default" w:ascii="Times New Roman" w:hAnsi="Times New Roman" w:eastAsia="宋体" w:cs="Times New Roman"/>
                <w:b w:val="0"/>
                <w:kern w:val="2"/>
                <w:sz w:val="24"/>
                <w:szCs w:val="24"/>
                <w:highlight w:val="none"/>
                <w:lang w:val="en-US" w:eastAsia="zh-CN" w:bidi="ar-SA"/>
              </w:rPr>
              <w:t>m</w:t>
            </w:r>
            <w:r>
              <w:rPr>
                <w:rFonts w:hint="default" w:ascii="Times New Roman" w:hAnsi="Times New Roman" w:eastAsia="宋体" w:cs="Times New Roman"/>
                <w:b w:val="0"/>
                <w:kern w:val="2"/>
                <w:sz w:val="24"/>
                <w:szCs w:val="24"/>
                <w:highlight w:val="none"/>
                <w:vertAlign w:val="superscript"/>
                <w:lang w:val="en-US" w:eastAsia="zh-CN" w:bidi="ar-SA"/>
              </w:rPr>
              <w:t>3</w:t>
            </w:r>
            <w:r>
              <w:rPr>
                <w:rFonts w:hint="default" w:ascii="Times New Roman" w:hAnsi="Times New Roman" w:eastAsia="宋体" w:cs="Times New Roman"/>
                <w:b w:val="0"/>
                <w:kern w:val="2"/>
                <w:sz w:val="24"/>
                <w:szCs w:val="24"/>
                <w:highlight w:val="none"/>
                <w:lang w:val="en-US" w:eastAsia="zh-CN" w:bidi="ar-SA"/>
              </w:rPr>
              <w:t>/年（</w:t>
            </w:r>
            <w:r>
              <w:rPr>
                <w:rFonts w:hint="eastAsia" w:ascii="Times New Roman" w:hAnsi="Times New Roman" w:eastAsia="宋体" w:cs="Times New Roman"/>
                <w:b w:val="0"/>
                <w:kern w:val="2"/>
                <w:sz w:val="24"/>
                <w:szCs w:val="24"/>
                <w:highlight w:val="none"/>
                <w:lang w:val="en-US" w:eastAsia="zh-CN" w:bidi="ar-SA"/>
              </w:rPr>
              <w:t>18</w:t>
            </w:r>
            <w:r>
              <w:rPr>
                <w:rFonts w:hint="default" w:ascii="Times New Roman" w:hAnsi="Times New Roman" w:eastAsia="宋体" w:cs="Times New Roman"/>
                <w:b w:val="0"/>
                <w:kern w:val="2"/>
                <w:sz w:val="24"/>
                <w:szCs w:val="24"/>
                <w:highlight w:val="none"/>
                <w:lang w:val="en-US" w:eastAsia="zh-CN" w:bidi="ar-SA"/>
              </w:rPr>
              <w:t>m</w:t>
            </w:r>
            <w:r>
              <w:rPr>
                <w:rFonts w:hint="default" w:ascii="Times New Roman" w:hAnsi="Times New Roman" w:eastAsia="宋体" w:cs="Times New Roman"/>
                <w:b w:val="0"/>
                <w:kern w:val="2"/>
                <w:sz w:val="24"/>
                <w:szCs w:val="24"/>
                <w:highlight w:val="none"/>
                <w:vertAlign w:val="superscript"/>
                <w:lang w:val="en-US" w:eastAsia="zh-CN" w:bidi="ar-SA"/>
              </w:rPr>
              <w:t>3</w:t>
            </w:r>
            <w:r>
              <w:rPr>
                <w:rFonts w:hint="default" w:ascii="Times New Roman" w:hAnsi="Times New Roman" w:eastAsia="宋体" w:cs="Times New Roman"/>
                <w:b w:val="0"/>
                <w:kern w:val="2"/>
                <w:sz w:val="24"/>
                <w:szCs w:val="24"/>
                <w:highlight w:val="none"/>
                <w:lang w:val="en-US" w:eastAsia="zh-CN" w:bidi="ar-SA"/>
              </w:rPr>
              <w:t>/d）。</w:t>
            </w:r>
          </w:p>
          <w:p>
            <w:pPr>
              <w:pStyle w:val="4"/>
              <w:numPr>
                <w:ilvl w:val="1"/>
                <w:numId w:val="0"/>
              </w:numPr>
              <w:spacing w:line="360" w:lineRule="auto"/>
              <w:ind w:left="0" w:leftChars="0" w:firstLine="480" w:firstLineChars="200"/>
              <w:rPr>
                <w:rFonts w:hint="default" w:ascii="Times New Roman" w:hAnsi="Times New Roman" w:eastAsia="宋体" w:cs="Times New Roman"/>
                <w:b w:val="0"/>
                <w:bCs w:val="0"/>
                <w:kern w:val="2"/>
                <w:sz w:val="24"/>
                <w:szCs w:val="24"/>
                <w:highlight w:val="none"/>
                <w:lang w:val="en-US" w:eastAsia="zh-CN" w:bidi="ar-SA"/>
              </w:rPr>
            </w:pPr>
            <w:r>
              <w:rPr>
                <w:rFonts w:hint="eastAsia" w:ascii="Times New Roman" w:hAnsi="Times New Roman" w:cs="Times New Roman"/>
                <w:b w:val="0"/>
                <w:bCs w:val="0"/>
                <w:kern w:val="2"/>
                <w:sz w:val="24"/>
                <w:szCs w:val="24"/>
                <w:highlight w:val="none"/>
                <w:lang w:val="en-US" w:eastAsia="zh-CN" w:bidi="ar-SA"/>
              </w:rPr>
              <w:t>（2）</w:t>
            </w:r>
            <w:r>
              <w:rPr>
                <w:rFonts w:hint="default" w:ascii="Times New Roman" w:hAnsi="Times New Roman" w:eastAsia="宋体" w:cs="Times New Roman"/>
                <w:b w:val="0"/>
                <w:bCs w:val="0"/>
                <w:kern w:val="2"/>
                <w:sz w:val="24"/>
                <w:szCs w:val="24"/>
                <w:highlight w:val="none"/>
                <w:lang w:val="en-US" w:eastAsia="zh-CN" w:bidi="ar-SA"/>
              </w:rPr>
              <w:t>运输车辆冲洗水</w:t>
            </w:r>
          </w:p>
          <w:p>
            <w:pPr>
              <w:pStyle w:val="4"/>
              <w:numPr>
                <w:ilvl w:val="1"/>
                <w:numId w:val="0"/>
              </w:numPr>
              <w:spacing w:line="360" w:lineRule="auto"/>
              <w:ind w:left="0" w:leftChars="0" w:firstLine="480" w:firstLineChars="200"/>
              <w:rPr>
                <w:rFonts w:hint="default" w:ascii="Times New Roman" w:hAnsi="Times New Roman" w:eastAsia="宋体" w:cs="Times New Roman"/>
                <w:b w:val="0"/>
                <w:kern w:val="2"/>
                <w:sz w:val="24"/>
                <w:szCs w:val="24"/>
                <w:highlight w:val="none"/>
                <w:lang w:val="en-US" w:eastAsia="zh-CN" w:bidi="ar-SA"/>
              </w:rPr>
            </w:pPr>
            <w:r>
              <w:rPr>
                <w:rFonts w:hint="default" w:ascii="Times New Roman" w:hAnsi="Times New Roman" w:eastAsia="宋体" w:cs="Times New Roman"/>
                <w:b w:val="0"/>
                <w:kern w:val="2"/>
                <w:sz w:val="24"/>
                <w:szCs w:val="24"/>
                <w:highlight w:val="none"/>
                <w:lang w:val="en-US" w:eastAsia="zh-CN" w:bidi="ar-SA"/>
              </w:rPr>
              <w:t>本项目产品加工生产规模为</w:t>
            </w:r>
            <w:r>
              <w:rPr>
                <w:rFonts w:hint="eastAsia" w:cs="Times New Roman"/>
                <w:b w:val="0"/>
                <w:kern w:val="2"/>
                <w:sz w:val="24"/>
                <w:szCs w:val="24"/>
                <w:highlight w:val="none"/>
                <w:lang w:val="en-US" w:eastAsia="zh-CN" w:bidi="ar-SA"/>
              </w:rPr>
              <w:t>9</w:t>
            </w:r>
            <w:r>
              <w:rPr>
                <w:rFonts w:hint="default" w:ascii="Times New Roman" w:hAnsi="Times New Roman" w:eastAsia="宋体" w:cs="Times New Roman"/>
                <w:b w:val="0"/>
                <w:kern w:val="2"/>
                <w:sz w:val="24"/>
                <w:szCs w:val="24"/>
                <w:highlight w:val="none"/>
                <w:lang w:val="en-US" w:eastAsia="zh-CN" w:bidi="ar-SA"/>
              </w:rPr>
              <w:t>万t/a，按照生产装置最大能力的100%计算，每年最大运输原料</w:t>
            </w:r>
            <w:r>
              <w:rPr>
                <w:rFonts w:hint="eastAsia" w:cs="Times New Roman"/>
                <w:b w:val="0"/>
                <w:kern w:val="2"/>
                <w:sz w:val="24"/>
                <w:szCs w:val="24"/>
                <w:highlight w:val="none"/>
                <w:lang w:val="en-US" w:eastAsia="zh-CN" w:bidi="ar-SA"/>
              </w:rPr>
              <w:t>9</w:t>
            </w:r>
            <w:r>
              <w:rPr>
                <w:rFonts w:hint="default" w:ascii="Times New Roman" w:hAnsi="Times New Roman" w:eastAsia="宋体" w:cs="Times New Roman"/>
                <w:b w:val="0"/>
                <w:kern w:val="2"/>
                <w:sz w:val="24"/>
                <w:szCs w:val="24"/>
                <w:highlight w:val="none"/>
                <w:lang w:val="en-US" w:eastAsia="zh-CN" w:bidi="ar-SA"/>
              </w:rPr>
              <w:t>万吨，按照单车1次运输量最大为</w:t>
            </w:r>
            <w:r>
              <w:rPr>
                <w:rFonts w:hint="eastAsia" w:cs="Times New Roman"/>
                <w:b w:val="0"/>
                <w:kern w:val="2"/>
                <w:sz w:val="24"/>
                <w:szCs w:val="24"/>
                <w:highlight w:val="none"/>
                <w:lang w:val="en-US" w:eastAsia="zh-CN" w:bidi="ar-SA"/>
              </w:rPr>
              <w:t>25</w:t>
            </w:r>
            <w:r>
              <w:rPr>
                <w:rFonts w:hint="default" w:ascii="Times New Roman" w:hAnsi="Times New Roman" w:eastAsia="宋体" w:cs="Times New Roman"/>
                <w:b w:val="0"/>
                <w:kern w:val="2"/>
                <w:sz w:val="24"/>
                <w:szCs w:val="24"/>
                <w:highlight w:val="none"/>
                <w:lang w:val="en-US" w:eastAsia="zh-CN" w:bidi="ar-SA"/>
              </w:rPr>
              <w:t>吨计算，每年约需运输</w:t>
            </w:r>
            <w:r>
              <w:rPr>
                <w:rFonts w:hint="eastAsia" w:cs="Times New Roman"/>
                <w:b w:val="0"/>
                <w:kern w:val="2"/>
                <w:sz w:val="24"/>
                <w:szCs w:val="24"/>
                <w:highlight w:val="none"/>
                <w:lang w:val="en-US" w:eastAsia="zh-CN" w:bidi="ar-SA"/>
              </w:rPr>
              <w:t>3600</w:t>
            </w:r>
            <w:r>
              <w:rPr>
                <w:rFonts w:hint="default" w:ascii="Times New Roman" w:hAnsi="Times New Roman" w:eastAsia="宋体" w:cs="Times New Roman"/>
                <w:b w:val="0"/>
                <w:kern w:val="2"/>
                <w:sz w:val="24"/>
                <w:szCs w:val="24"/>
                <w:highlight w:val="none"/>
                <w:lang w:val="en-US" w:eastAsia="zh-CN" w:bidi="ar-SA"/>
              </w:rPr>
              <w:t>辆/年，每天运输车辆为</w:t>
            </w:r>
            <w:r>
              <w:rPr>
                <w:rFonts w:hint="eastAsia" w:cs="Times New Roman"/>
                <w:b w:val="0"/>
                <w:kern w:val="2"/>
                <w:sz w:val="24"/>
                <w:szCs w:val="24"/>
                <w:highlight w:val="none"/>
                <w:lang w:val="en-US" w:eastAsia="zh-CN" w:bidi="ar-SA"/>
              </w:rPr>
              <w:t>15</w:t>
            </w:r>
            <w:r>
              <w:rPr>
                <w:rFonts w:hint="default" w:ascii="Times New Roman" w:hAnsi="Times New Roman" w:eastAsia="宋体" w:cs="Times New Roman"/>
                <w:b w:val="0"/>
                <w:kern w:val="2"/>
                <w:sz w:val="24"/>
                <w:szCs w:val="24"/>
                <w:highlight w:val="none"/>
                <w:lang w:val="en-US" w:eastAsia="zh-CN" w:bidi="ar-SA"/>
              </w:rPr>
              <w:t>辆，车辆进出厂区前需对车轮和车身进行冲洗。据调查车辆车轮和车身冲洗水量为0.04m</w:t>
            </w:r>
            <w:r>
              <w:rPr>
                <w:rFonts w:hint="eastAsia" w:cs="Times New Roman"/>
                <w:b w:val="0"/>
                <w:kern w:val="2"/>
                <w:sz w:val="24"/>
                <w:szCs w:val="24"/>
                <w:highlight w:val="none"/>
                <w:vertAlign w:val="superscript"/>
                <w:lang w:val="en-US" w:eastAsia="zh-CN" w:bidi="ar-SA"/>
              </w:rPr>
              <w:t>3</w:t>
            </w:r>
            <w:r>
              <w:rPr>
                <w:rFonts w:hint="default" w:ascii="Times New Roman" w:hAnsi="Times New Roman" w:eastAsia="宋体" w:cs="Times New Roman"/>
                <w:b w:val="0"/>
                <w:kern w:val="2"/>
                <w:sz w:val="24"/>
                <w:szCs w:val="24"/>
                <w:highlight w:val="none"/>
                <w:lang w:val="en-US" w:eastAsia="zh-CN" w:bidi="ar-SA"/>
              </w:rPr>
              <w:t>/辆·，每年冲洗用水为150m</w:t>
            </w:r>
            <w:r>
              <w:rPr>
                <w:rFonts w:hint="default" w:ascii="Times New Roman" w:hAnsi="Times New Roman" w:eastAsia="宋体" w:cs="Times New Roman"/>
                <w:b w:val="0"/>
                <w:kern w:val="2"/>
                <w:sz w:val="24"/>
                <w:szCs w:val="24"/>
                <w:highlight w:val="none"/>
                <w:vertAlign w:val="superscript"/>
                <w:lang w:val="en-US" w:eastAsia="zh-CN" w:bidi="ar-SA"/>
              </w:rPr>
              <w:t>3</w:t>
            </w:r>
            <w:r>
              <w:rPr>
                <w:rFonts w:hint="default" w:ascii="Times New Roman" w:hAnsi="Times New Roman" w:eastAsia="宋体" w:cs="Times New Roman"/>
                <w:b w:val="0"/>
                <w:kern w:val="2"/>
                <w:sz w:val="24"/>
                <w:szCs w:val="24"/>
                <w:highlight w:val="none"/>
                <w:lang w:val="en-US" w:eastAsia="zh-CN" w:bidi="ar-SA"/>
              </w:rPr>
              <w:t>/a（</w:t>
            </w:r>
            <w:r>
              <w:rPr>
                <w:rFonts w:hint="eastAsia" w:cs="Times New Roman"/>
                <w:b w:val="0"/>
                <w:kern w:val="2"/>
                <w:sz w:val="24"/>
                <w:szCs w:val="24"/>
                <w:highlight w:val="none"/>
                <w:lang w:val="en-US" w:eastAsia="zh-CN" w:bidi="ar-SA"/>
              </w:rPr>
              <w:t>0.6</w:t>
            </w:r>
            <w:r>
              <w:rPr>
                <w:rFonts w:hint="default" w:ascii="Times New Roman" w:hAnsi="Times New Roman" w:eastAsia="宋体" w:cs="Times New Roman"/>
                <w:b w:val="0"/>
                <w:kern w:val="2"/>
                <w:sz w:val="24"/>
                <w:szCs w:val="24"/>
                <w:highlight w:val="none"/>
                <w:lang w:val="en-US" w:eastAsia="zh-CN" w:bidi="ar-SA"/>
              </w:rPr>
              <w:t>m³/d），排污系数按0.9计算，则冲洗车辆的清洗废水量约135m</w:t>
            </w:r>
            <w:r>
              <w:rPr>
                <w:rFonts w:hint="default" w:ascii="Times New Roman" w:hAnsi="Times New Roman" w:eastAsia="宋体" w:cs="Times New Roman"/>
                <w:b w:val="0"/>
                <w:kern w:val="2"/>
                <w:sz w:val="24"/>
                <w:szCs w:val="24"/>
                <w:highlight w:val="none"/>
                <w:vertAlign w:val="superscript"/>
                <w:lang w:val="en-US" w:eastAsia="zh-CN" w:bidi="ar-SA"/>
              </w:rPr>
              <w:t>3</w:t>
            </w:r>
            <w:r>
              <w:rPr>
                <w:rFonts w:hint="default" w:ascii="Times New Roman" w:hAnsi="Times New Roman" w:eastAsia="宋体" w:cs="Times New Roman"/>
                <w:b w:val="0"/>
                <w:kern w:val="2"/>
                <w:sz w:val="24"/>
                <w:szCs w:val="24"/>
                <w:highlight w:val="none"/>
                <w:lang w:val="en-US" w:eastAsia="zh-CN" w:bidi="ar-SA"/>
              </w:rPr>
              <w:t>/a（</w:t>
            </w:r>
            <w:r>
              <w:rPr>
                <w:rFonts w:hint="eastAsia" w:cs="Times New Roman"/>
                <w:b w:val="0"/>
                <w:kern w:val="2"/>
                <w:sz w:val="24"/>
                <w:szCs w:val="24"/>
                <w:highlight w:val="none"/>
                <w:lang w:val="en-US" w:eastAsia="zh-CN" w:bidi="ar-SA"/>
              </w:rPr>
              <w:t>0.54</w:t>
            </w:r>
            <w:r>
              <w:rPr>
                <w:rFonts w:hint="default" w:ascii="Times New Roman" w:hAnsi="Times New Roman" w:eastAsia="宋体" w:cs="Times New Roman"/>
                <w:b w:val="0"/>
                <w:kern w:val="2"/>
                <w:sz w:val="24"/>
                <w:szCs w:val="24"/>
                <w:highlight w:val="none"/>
                <w:lang w:val="en-US" w:eastAsia="zh-CN" w:bidi="ar-SA"/>
              </w:rPr>
              <w:t>m</w:t>
            </w:r>
            <w:r>
              <w:rPr>
                <w:rFonts w:hint="default" w:ascii="Times New Roman" w:hAnsi="Times New Roman" w:eastAsia="宋体" w:cs="Times New Roman"/>
                <w:b w:val="0"/>
                <w:kern w:val="2"/>
                <w:sz w:val="24"/>
                <w:szCs w:val="24"/>
                <w:highlight w:val="none"/>
                <w:vertAlign w:val="superscript"/>
                <w:lang w:val="en-US" w:eastAsia="zh-CN" w:bidi="ar-SA"/>
              </w:rPr>
              <w:t>3</w:t>
            </w:r>
            <w:r>
              <w:rPr>
                <w:rFonts w:hint="default" w:ascii="Times New Roman" w:hAnsi="Times New Roman" w:eastAsia="宋体" w:cs="Times New Roman"/>
                <w:b w:val="0"/>
                <w:kern w:val="2"/>
                <w:sz w:val="24"/>
                <w:szCs w:val="24"/>
                <w:highlight w:val="none"/>
                <w:lang w:val="en-US" w:eastAsia="zh-CN" w:bidi="ar-SA"/>
              </w:rPr>
              <w:t>/d）</w:t>
            </w:r>
            <w:r>
              <w:rPr>
                <w:rFonts w:hint="eastAsia" w:cs="Times New Roman"/>
                <w:b w:val="0"/>
                <w:kern w:val="2"/>
                <w:sz w:val="24"/>
                <w:szCs w:val="24"/>
                <w:highlight w:val="none"/>
                <w:lang w:val="en-US" w:eastAsia="zh-CN" w:bidi="ar-SA"/>
              </w:rPr>
              <w:t>，该</w:t>
            </w:r>
            <w:r>
              <w:rPr>
                <w:rFonts w:hint="default" w:ascii="Times New Roman" w:hAnsi="Times New Roman" w:eastAsia="宋体" w:cs="Times New Roman"/>
                <w:b w:val="0"/>
                <w:kern w:val="2"/>
                <w:sz w:val="24"/>
                <w:szCs w:val="24"/>
                <w:highlight w:val="none"/>
                <w:lang w:val="en-US" w:eastAsia="zh-CN" w:bidi="ar-SA"/>
              </w:rPr>
              <w:t>废水经沉淀池沉淀后回用。</w:t>
            </w:r>
          </w:p>
          <w:p>
            <w:pPr>
              <w:numPr>
                <w:ilvl w:val="0"/>
                <w:numId w:val="6"/>
              </w:numPr>
              <w:spacing w:line="360" w:lineRule="auto"/>
              <w:rPr>
                <w:rFonts w:hint="eastAsia" w:ascii="Times New Roman" w:hAnsi="Times New Roman" w:eastAsia="宋体" w:cs="Times New Roman"/>
                <w:b w:val="0"/>
                <w:bCs w:val="0"/>
                <w:kern w:val="2"/>
                <w:sz w:val="24"/>
                <w:szCs w:val="24"/>
                <w:highlight w:val="none"/>
                <w:lang w:val="en-US" w:eastAsia="zh-CN" w:bidi="ar-SA"/>
              </w:rPr>
            </w:pPr>
            <w:r>
              <w:rPr>
                <w:rFonts w:hint="eastAsia" w:ascii="Times New Roman" w:hAnsi="Times New Roman" w:eastAsia="宋体" w:cs="Times New Roman"/>
                <w:b w:val="0"/>
                <w:bCs w:val="0"/>
                <w:kern w:val="2"/>
                <w:sz w:val="24"/>
                <w:szCs w:val="24"/>
                <w:highlight w:val="none"/>
                <w:lang w:val="en-US" w:eastAsia="zh-CN" w:bidi="ar-SA"/>
              </w:rPr>
              <w:t>道路洒水降尘用水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Times New Roman" w:hAnsi="Times New Roman" w:eastAsia="宋体" w:cs="Times New Roman"/>
                <w:b w:val="0"/>
                <w:kern w:val="2"/>
                <w:sz w:val="24"/>
                <w:szCs w:val="24"/>
                <w:highlight w:val="none"/>
                <w:lang w:val="en-US" w:eastAsia="zh-CN" w:bidi="ar-SA"/>
              </w:rPr>
            </w:pPr>
            <w:r>
              <w:rPr>
                <w:rFonts w:hint="eastAsia" w:ascii="Times New Roman" w:hAnsi="Times New Roman" w:eastAsia="宋体" w:cs="Times New Roman"/>
                <w:b w:val="0"/>
                <w:kern w:val="2"/>
                <w:sz w:val="24"/>
                <w:szCs w:val="24"/>
                <w:highlight w:val="none"/>
                <w:lang w:val="en-US" w:eastAsia="zh-CN" w:bidi="ar-SA"/>
              </w:rPr>
              <w:t>矿山道路全长200米，占地面积1000平方米。根据《建筑给水排水设计标准》GB50015-2019中洒水抑尘系数按2L/（m</w:t>
            </w:r>
            <w:r>
              <w:rPr>
                <w:rFonts w:hint="eastAsia" w:ascii="Times New Roman" w:hAnsi="Times New Roman" w:eastAsia="宋体" w:cs="Times New Roman"/>
                <w:b w:val="0"/>
                <w:kern w:val="2"/>
                <w:sz w:val="24"/>
                <w:szCs w:val="24"/>
                <w:highlight w:val="none"/>
                <w:vertAlign w:val="superscript"/>
                <w:lang w:val="en-US" w:eastAsia="zh-CN" w:bidi="ar-SA"/>
              </w:rPr>
              <w:t>2</w:t>
            </w:r>
            <w:r>
              <w:rPr>
                <w:rFonts w:hint="eastAsia" w:ascii="Times New Roman" w:hAnsi="Times New Roman" w:eastAsia="宋体" w:cs="Times New Roman"/>
                <w:b w:val="0"/>
                <w:kern w:val="2"/>
                <w:sz w:val="24"/>
                <w:szCs w:val="24"/>
                <w:highlight w:val="none"/>
                <w:lang w:val="en-US" w:eastAsia="zh-CN" w:bidi="ar-SA"/>
              </w:rPr>
              <w:t>*d）计算，故洒水降尘用水为2m</w:t>
            </w:r>
            <w:r>
              <w:rPr>
                <w:rFonts w:hint="eastAsia" w:ascii="Times New Roman" w:hAnsi="Times New Roman" w:eastAsia="宋体" w:cs="Times New Roman"/>
                <w:b w:val="0"/>
                <w:kern w:val="2"/>
                <w:sz w:val="24"/>
                <w:szCs w:val="24"/>
                <w:highlight w:val="none"/>
                <w:vertAlign w:val="superscript"/>
                <w:lang w:val="en-US" w:eastAsia="zh-CN" w:bidi="ar-SA"/>
              </w:rPr>
              <w:t>3</w:t>
            </w:r>
            <w:r>
              <w:rPr>
                <w:rFonts w:hint="eastAsia" w:ascii="Times New Roman" w:hAnsi="Times New Roman" w:eastAsia="宋体" w:cs="Times New Roman"/>
                <w:b w:val="0"/>
                <w:kern w:val="2"/>
                <w:sz w:val="24"/>
                <w:szCs w:val="24"/>
                <w:highlight w:val="none"/>
                <w:lang w:val="en-US" w:eastAsia="zh-CN" w:bidi="ar-SA"/>
              </w:rPr>
              <w:t>/d（</w:t>
            </w:r>
            <w:r>
              <w:rPr>
                <w:rFonts w:hint="eastAsia" w:cs="Times New Roman"/>
                <w:b w:val="0"/>
                <w:kern w:val="2"/>
                <w:sz w:val="24"/>
                <w:szCs w:val="24"/>
                <w:highlight w:val="none"/>
                <w:lang w:val="en-US" w:eastAsia="zh-CN" w:bidi="ar-SA"/>
              </w:rPr>
              <w:t>50</w:t>
            </w:r>
            <w:r>
              <w:rPr>
                <w:rFonts w:hint="eastAsia" w:ascii="Times New Roman" w:hAnsi="Times New Roman" w:eastAsia="宋体" w:cs="Times New Roman"/>
                <w:b w:val="0"/>
                <w:kern w:val="2"/>
                <w:sz w:val="24"/>
                <w:szCs w:val="24"/>
                <w:highlight w:val="none"/>
                <w:lang w:val="en-US" w:eastAsia="zh-CN" w:bidi="ar-SA"/>
              </w:rPr>
              <w:t>0m</w:t>
            </w:r>
            <w:r>
              <w:rPr>
                <w:rFonts w:hint="eastAsia" w:ascii="Times New Roman" w:hAnsi="Times New Roman" w:eastAsia="宋体" w:cs="Times New Roman"/>
                <w:b w:val="0"/>
                <w:kern w:val="2"/>
                <w:sz w:val="24"/>
                <w:szCs w:val="24"/>
                <w:highlight w:val="none"/>
                <w:vertAlign w:val="superscript"/>
                <w:lang w:val="en-US" w:eastAsia="zh-CN" w:bidi="ar-SA"/>
              </w:rPr>
              <w:t>3</w:t>
            </w:r>
            <w:r>
              <w:rPr>
                <w:rFonts w:hint="eastAsia" w:ascii="Times New Roman" w:hAnsi="Times New Roman" w:eastAsia="宋体" w:cs="Times New Roman"/>
                <w:b w:val="0"/>
                <w:kern w:val="2"/>
                <w:sz w:val="24"/>
                <w:szCs w:val="24"/>
                <w:highlight w:val="none"/>
                <w:lang w:val="en-US" w:eastAsia="zh-CN" w:bidi="ar-SA"/>
              </w:rPr>
              <w:t>/a）</w:t>
            </w:r>
            <w:r>
              <w:rPr>
                <w:rFonts w:hint="eastAsia" w:cs="Times New Roman"/>
                <w:b w:val="0"/>
                <w:kern w:val="2"/>
                <w:sz w:val="24"/>
                <w:szCs w:val="24"/>
                <w:highlight w:val="none"/>
                <w:lang w:val="en-US" w:eastAsia="zh-CN" w:bidi="ar-SA"/>
              </w:rPr>
              <w:t>，</w:t>
            </w:r>
            <w:r>
              <w:rPr>
                <w:rFonts w:hint="eastAsia" w:ascii="Times New Roman" w:hAnsi="Times New Roman" w:eastAsia="宋体" w:cs="Times New Roman"/>
                <w:b w:val="0"/>
                <w:kern w:val="2"/>
                <w:sz w:val="24"/>
                <w:szCs w:val="24"/>
                <w:highlight w:val="none"/>
                <w:lang w:val="en-US" w:eastAsia="zh-CN" w:bidi="ar-SA"/>
              </w:rPr>
              <w:t>在使用过程中损耗，不会产生废水。</w:t>
            </w:r>
          </w:p>
          <w:p>
            <w:pPr>
              <w:pStyle w:val="4"/>
              <w:numPr>
                <w:ilvl w:val="1"/>
                <w:numId w:val="0"/>
              </w:numPr>
              <w:spacing w:line="360" w:lineRule="auto"/>
              <w:ind w:left="0" w:leftChars="0" w:firstLine="480" w:firstLineChars="200"/>
              <w:rPr>
                <w:rFonts w:hint="default" w:ascii="Times New Roman" w:hAnsi="Times New Roman" w:eastAsia="宋体" w:cs="Times New Roman"/>
                <w:b w:val="0"/>
                <w:kern w:val="2"/>
                <w:sz w:val="24"/>
                <w:szCs w:val="24"/>
                <w:highlight w:val="none"/>
                <w:lang w:val="en-US" w:eastAsia="zh-CN" w:bidi="ar-SA"/>
              </w:rPr>
            </w:pPr>
            <w:r>
              <w:rPr>
                <w:rFonts w:hint="eastAsia" w:ascii="Times New Roman" w:hAnsi="Times New Roman" w:eastAsia="宋体" w:cs="Times New Roman"/>
                <w:b w:val="0"/>
                <w:kern w:val="2"/>
                <w:sz w:val="24"/>
                <w:szCs w:val="24"/>
                <w:highlight w:val="none"/>
                <w:lang w:val="en-US" w:eastAsia="zh-CN" w:bidi="ar-SA"/>
              </w:rPr>
              <w:t>（4）</w:t>
            </w:r>
            <w:r>
              <w:rPr>
                <w:rFonts w:hint="default" w:ascii="Times New Roman" w:hAnsi="Times New Roman" w:eastAsia="宋体" w:cs="Times New Roman"/>
                <w:b w:val="0"/>
                <w:kern w:val="2"/>
                <w:sz w:val="24"/>
                <w:szCs w:val="24"/>
                <w:highlight w:val="none"/>
                <w:lang w:val="en-US" w:eastAsia="zh-CN" w:bidi="ar-SA"/>
              </w:rPr>
              <w:t>开采及装卸降尘用水</w:t>
            </w:r>
          </w:p>
          <w:p>
            <w:pPr>
              <w:pStyle w:val="4"/>
              <w:numPr>
                <w:ilvl w:val="1"/>
                <w:numId w:val="0"/>
              </w:numPr>
              <w:spacing w:line="360" w:lineRule="auto"/>
              <w:ind w:left="0" w:leftChars="0" w:firstLine="480" w:firstLineChars="200"/>
              <w:rPr>
                <w:rFonts w:hint="default" w:ascii="Times New Roman" w:hAnsi="Times New Roman" w:eastAsia="宋体" w:cs="Times New Roman"/>
                <w:b w:val="0"/>
                <w:kern w:val="2"/>
                <w:sz w:val="24"/>
                <w:szCs w:val="24"/>
                <w:highlight w:val="none"/>
                <w:lang w:val="en-US" w:eastAsia="zh-CN" w:bidi="ar-SA"/>
              </w:rPr>
            </w:pPr>
            <w:r>
              <w:rPr>
                <w:rFonts w:hint="default" w:ascii="Times New Roman" w:hAnsi="Times New Roman" w:eastAsia="宋体" w:cs="Times New Roman"/>
                <w:b w:val="0"/>
                <w:kern w:val="2"/>
                <w:sz w:val="24"/>
                <w:szCs w:val="24"/>
                <w:highlight w:val="none"/>
                <w:lang w:val="en-US" w:eastAsia="zh-CN" w:bidi="ar-SA"/>
              </w:rPr>
              <w:t>项目采用雾炮机对开采、铲装（装卸）过程中产生的扬尘进行抑制，根据</w:t>
            </w:r>
            <w:r>
              <w:rPr>
                <w:rFonts w:hint="eastAsia" w:ascii="Times New Roman" w:hAnsi="Times New Roman" w:eastAsia="宋体" w:cs="Times New Roman"/>
                <w:b w:val="0"/>
                <w:kern w:val="2"/>
                <w:sz w:val="24"/>
                <w:szCs w:val="24"/>
                <w:highlight w:val="none"/>
                <w:lang w:val="en-US" w:eastAsia="zh-CN" w:bidi="ar-SA"/>
              </w:rPr>
              <w:t>建设单位提供资料</w:t>
            </w:r>
            <w:r>
              <w:rPr>
                <w:rFonts w:hint="default" w:ascii="Times New Roman" w:hAnsi="Times New Roman" w:eastAsia="宋体" w:cs="Times New Roman"/>
                <w:b w:val="0"/>
                <w:kern w:val="2"/>
                <w:sz w:val="24"/>
                <w:szCs w:val="24"/>
                <w:highlight w:val="none"/>
                <w:lang w:val="en-US" w:eastAsia="zh-CN" w:bidi="ar-SA"/>
              </w:rPr>
              <w:t>，抑尘用水量按2L/t-矿石计，项目</w:t>
            </w:r>
            <w:r>
              <w:rPr>
                <w:rFonts w:hint="eastAsia" w:ascii="Times New Roman" w:hAnsi="Times New Roman" w:eastAsia="宋体" w:cs="Times New Roman"/>
                <w:b w:val="0"/>
                <w:kern w:val="2"/>
                <w:sz w:val="24"/>
                <w:szCs w:val="24"/>
                <w:highlight w:val="none"/>
                <w:lang w:val="en-US" w:eastAsia="zh-CN" w:bidi="ar-SA"/>
              </w:rPr>
              <w:t>年开采建筑用砂量为9万</w:t>
            </w:r>
            <w:r>
              <w:rPr>
                <w:rFonts w:hint="default" w:ascii="Times New Roman" w:hAnsi="Times New Roman" w:eastAsia="宋体" w:cs="Times New Roman"/>
                <w:b w:val="0"/>
                <w:kern w:val="2"/>
                <w:sz w:val="24"/>
                <w:szCs w:val="24"/>
                <w:highlight w:val="none"/>
                <w:lang w:val="en-US" w:eastAsia="zh-CN" w:bidi="ar-SA"/>
              </w:rPr>
              <w:t>t，用水量约</w:t>
            </w:r>
            <w:r>
              <w:rPr>
                <w:rFonts w:hint="eastAsia" w:ascii="Times New Roman" w:hAnsi="Times New Roman" w:eastAsia="宋体" w:cs="Times New Roman"/>
                <w:b w:val="0"/>
                <w:kern w:val="2"/>
                <w:sz w:val="24"/>
                <w:szCs w:val="24"/>
                <w:highlight w:val="none"/>
                <w:lang w:val="en-US" w:eastAsia="zh-CN" w:bidi="ar-SA"/>
              </w:rPr>
              <w:t>0.72</w:t>
            </w:r>
            <w:r>
              <w:rPr>
                <w:rFonts w:hint="default" w:ascii="Times New Roman" w:hAnsi="Times New Roman" w:eastAsia="宋体" w:cs="Times New Roman"/>
                <w:b w:val="0"/>
                <w:kern w:val="2"/>
                <w:sz w:val="24"/>
                <w:szCs w:val="24"/>
                <w:highlight w:val="none"/>
                <w:lang w:val="en-US" w:eastAsia="zh-CN" w:bidi="ar-SA"/>
              </w:rPr>
              <w:t>m</w:t>
            </w:r>
            <w:r>
              <w:rPr>
                <w:rFonts w:hint="default" w:ascii="Times New Roman" w:hAnsi="Times New Roman" w:eastAsia="宋体" w:cs="Times New Roman"/>
                <w:b w:val="0"/>
                <w:kern w:val="2"/>
                <w:sz w:val="24"/>
                <w:szCs w:val="24"/>
                <w:highlight w:val="none"/>
                <w:vertAlign w:val="superscript"/>
                <w:lang w:val="en-US" w:eastAsia="zh-CN" w:bidi="ar-SA"/>
              </w:rPr>
              <w:t>3</w:t>
            </w:r>
            <w:r>
              <w:rPr>
                <w:rFonts w:hint="default" w:ascii="Times New Roman" w:hAnsi="Times New Roman" w:eastAsia="宋体" w:cs="Times New Roman"/>
                <w:b w:val="0"/>
                <w:kern w:val="2"/>
                <w:sz w:val="24"/>
                <w:szCs w:val="24"/>
                <w:highlight w:val="none"/>
                <w:lang w:val="en-US" w:eastAsia="zh-CN" w:bidi="ar-SA"/>
              </w:rPr>
              <w:t>/d（</w:t>
            </w:r>
            <w:r>
              <w:rPr>
                <w:rFonts w:hint="eastAsia" w:ascii="Times New Roman" w:hAnsi="Times New Roman" w:eastAsia="宋体" w:cs="Times New Roman"/>
                <w:b w:val="0"/>
                <w:kern w:val="2"/>
                <w:sz w:val="24"/>
                <w:szCs w:val="24"/>
                <w:highlight w:val="none"/>
                <w:lang w:val="en-US" w:eastAsia="zh-CN" w:bidi="ar-SA"/>
              </w:rPr>
              <w:t>180</w:t>
            </w:r>
            <w:r>
              <w:rPr>
                <w:rFonts w:hint="default" w:ascii="Times New Roman" w:hAnsi="Times New Roman" w:eastAsia="宋体" w:cs="Times New Roman"/>
                <w:b w:val="0"/>
                <w:kern w:val="2"/>
                <w:sz w:val="24"/>
                <w:szCs w:val="24"/>
                <w:highlight w:val="none"/>
                <w:lang w:val="en-US" w:eastAsia="zh-CN" w:bidi="ar-SA"/>
              </w:rPr>
              <w:t>m</w:t>
            </w:r>
            <w:r>
              <w:rPr>
                <w:rFonts w:hint="default" w:ascii="Times New Roman" w:hAnsi="Times New Roman" w:eastAsia="宋体" w:cs="Times New Roman"/>
                <w:b w:val="0"/>
                <w:kern w:val="2"/>
                <w:sz w:val="24"/>
                <w:szCs w:val="24"/>
                <w:highlight w:val="none"/>
                <w:vertAlign w:val="superscript"/>
                <w:lang w:val="en-US" w:eastAsia="zh-CN" w:bidi="ar-SA"/>
              </w:rPr>
              <w:t>3</w:t>
            </w:r>
            <w:r>
              <w:rPr>
                <w:rFonts w:hint="default" w:ascii="Times New Roman" w:hAnsi="Times New Roman" w:eastAsia="宋体" w:cs="Times New Roman"/>
                <w:b w:val="0"/>
                <w:kern w:val="2"/>
                <w:sz w:val="24"/>
                <w:szCs w:val="24"/>
                <w:highlight w:val="none"/>
                <w:lang w:val="en-US" w:eastAsia="zh-CN" w:bidi="ar-SA"/>
              </w:rPr>
              <w:t>/a），用水直接自然蒸发消耗。</w:t>
            </w:r>
          </w:p>
          <w:p>
            <w:pPr>
              <w:pStyle w:val="4"/>
              <w:numPr>
                <w:ilvl w:val="1"/>
                <w:numId w:val="0"/>
              </w:numPr>
              <w:spacing w:line="360" w:lineRule="auto"/>
              <w:ind w:left="0" w:leftChars="0" w:firstLine="480" w:firstLineChars="200"/>
              <w:rPr>
                <w:rFonts w:hint="default" w:ascii="Times New Roman" w:hAnsi="Times New Roman" w:eastAsia="宋体" w:cs="Times New Roman"/>
                <w:b w:val="0"/>
                <w:kern w:val="2"/>
                <w:sz w:val="24"/>
                <w:szCs w:val="24"/>
                <w:highlight w:val="none"/>
                <w:lang w:val="en-US" w:eastAsia="zh-CN" w:bidi="ar-SA"/>
              </w:rPr>
            </w:pPr>
            <w:r>
              <w:rPr>
                <w:rFonts w:hint="eastAsia" w:ascii="Times New Roman" w:hAnsi="Times New Roman" w:eastAsia="宋体" w:cs="Times New Roman"/>
                <w:b w:val="0"/>
                <w:kern w:val="2"/>
                <w:sz w:val="24"/>
                <w:szCs w:val="24"/>
                <w:highlight w:val="none"/>
                <w:lang w:val="en-US" w:eastAsia="zh-CN" w:bidi="ar-SA"/>
              </w:rPr>
              <w:t>（5）</w:t>
            </w:r>
            <w:r>
              <w:rPr>
                <w:rFonts w:hint="default" w:ascii="Times New Roman" w:hAnsi="Times New Roman" w:eastAsia="宋体" w:cs="Times New Roman"/>
                <w:b w:val="0"/>
                <w:kern w:val="2"/>
                <w:sz w:val="24"/>
                <w:szCs w:val="24"/>
                <w:highlight w:val="none"/>
                <w:lang w:val="en-US" w:eastAsia="zh-CN" w:bidi="ar-SA"/>
              </w:rPr>
              <w:t>堆料场降尘用水</w:t>
            </w:r>
          </w:p>
          <w:p>
            <w:pPr>
              <w:pStyle w:val="4"/>
              <w:numPr>
                <w:ilvl w:val="1"/>
                <w:numId w:val="0"/>
              </w:numPr>
              <w:spacing w:line="360" w:lineRule="auto"/>
              <w:ind w:left="0" w:leftChars="0" w:firstLine="480" w:firstLineChars="200"/>
              <w:rPr>
                <w:rFonts w:hint="default" w:ascii="Times New Roman" w:hAnsi="Times New Roman" w:eastAsia="宋体" w:cs="Times New Roman"/>
                <w:b w:val="0"/>
                <w:kern w:val="2"/>
                <w:sz w:val="24"/>
                <w:szCs w:val="24"/>
                <w:highlight w:val="none"/>
                <w:lang w:val="en-US" w:eastAsia="zh-CN" w:bidi="ar-SA"/>
              </w:rPr>
            </w:pPr>
            <w:r>
              <w:rPr>
                <w:rFonts w:hint="default" w:ascii="Times New Roman" w:hAnsi="Times New Roman" w:eastAsia="宋体" w:cs="Times New Roman"/>
                <w:b w:val="0"/>
                <w:color w:val="auto"/>
                <w:kern w:val="2"/>
                <w:sz w:val="24"/>
                <w:szCs w:val="24"/>
                <w:highlight w:val="none"/>
                <w:lang w:val="en-US" w:eastAsia="zh-CN" w:bidi="ar-SA"/>
              </w:rPr>
              <w:t>堆料场占地面积为10000m</w:t>
            </w:r>
            <w:r>
              <w:rPr>
                <w:rFonts w:hint="default" w:ascii="Times New Roman" w:hAnsi="Times New Roman" w:eastAsia="宋体" w:cs="Times New Roman"/>
                <w:b w:val="0"/>
                <w:color w:val="auto"/>
                <w:kern w:val="2"/>
                <w:sz w:val="24"/>
                <w:szCs w:val="24"/>
                <w:highlight w:val="none"/>
                <w:vertAlign w:val="superscript"/>
                <w:lang w:val="en-US" w:eastAsia="zh-CN" w:bidi="ar-SA"/>
              </w:rPr>
              <w:t>2</w:t>
            </w:r>
            <w:r>
              <w:rPr>
                <w:rFonts w:hint="default" w:ascii="Times New Roman" w:hAnsi="Times New Roman" w:eastAsia="宋体" w:cs="Times New Roman"/>
                <w:b w:val="0"/>
                <w:color w:val="auto"/>
                <w:kern w:val="2"/>
                <w:sz w:val="24"/>
                <w:szCs w:val="24"/>
                <w:highlight w:val="none"/>
                <w:lang w:val="en-US" w:eastAsia="zh-CN" w:bidi="ar-SA"/>
              </w:rPr>
              <w:t>，抑尘用水量按1L/m</w:t>
            </w:r>
            <w:r>
              <w:rPr>
                <w:rFonts w:hint="default" w:ascii="Times New Roman" w:hAnsi="Times New Roman" w:eastAsia="宋体" w:cs="Times New Roman"/>
                <w:b w:val="0"/>
                <w:color w:val="auto"/>
                <w:kern w:val="2"/>
                <w:sz w:val="24"/>
                <w:szCs w:val="24"/>
                <w:highlight w:val="none"/>
                <w:vertAlign w:val="superscript"/>
                <w:lang w:val="en-US" w:eastAsia="zh-CN" w:bidi="ar-SA"/>
              </w:rPr>
              <w:t>2</w:t>
            </w:r>
            <w:r>
              <w:rPr>
                <w:rFonts w:hint="default" w:ascii="Times New Roman" w:hAnsi="Times New Roman" w:eastAsia="宋体" w:cs="Times New Roman"/>
                <w:b w:val="0"/>
                <w:color w:val="auto"/>
                <w:kern w:val="2"/>
                <w:sz w:val="24"/>
                <w:szCs w:val="24"/>
                <w:highlight w:val="none"/>
                <w:lang w:val="en-US" w:eastAsia="zh-CN" w:bidi="ar-SA"/>
              </w:rPr>
              <w:t>·次计算，每日1次，则堆料场用水量为10m</w:t>
            </w:r>
            <w:r>
              <w:rPr>
                <w:rFonts w:hint="default" w:ascii="Times New Roman" w:hAnsi="Times New Roman" w:eastAsia="宋体" w:cs="Times New Roman"/>
                <w:b w:val="0"/>
                <w:color w:val="auto"/>
                <w:kern w:val="2"/>
                <w:sz w:val="24"/>
                <w:szCs w:val="24"/>
                <w:highlight w:val="none"/>
                <w:vertAlign w:val="superscript"/>
                <w:lang w:val="en-US" w:eastAsia="zh-CN" w:bidi="ar-SA"/>
              </w:rPr>
              <w:t>3</w:t>
            </w:r>
            <w:r>
              <w:rPr>
                <w:rFonts w:hint="default" w:ascii="Times New Roman" w:hAnsi="Times New Roman" w:eastAsia="宋体" w:cs="Times New Roman"/>
                <w:b w:val="0"/>
                <w:color w:val="auto"/>
                <w:kern w:val="2"/>
                <w:sz w:val="24"/>
                <w:szCs w:val="24"/>
                <w:highlight w:val="none"/>
                <w:lang w:val="en-US" w:eastAsia="zh-CN" w:bidi="ar-SA"/>
              </w:rPr>
              <w:t>/d（2</w:t>
            </w:r>
            <w:r>
              <w:rPr>
                <w:rFonts w:hint="eastAsia" w:ascii="Times New Roman" w:hAnsi="Times New Roman" w:eastAsia="宋体" w:cs="Times New Roman"/>
                <w:b w:val="0"/>
                <w:color w:val="auto"/>
                <w:kern w:val="2"/>
                <w:sz w:val="24"/>
                <w:szCs w:val="24"/>
                <w:highlight w:val="none"/>
                <w:lang w:val="en-US" w:eastAsia="zh-CN" w:bidi="ar-SA"/>
              </w:rPr>
              <w:t>500</w:t>
            </w:r>
            <w:r>
              <w:rPr>
                <w:rFonts w:hint="default" w:ascii="Times New Roman" w:hAnsi="Times New Roman" w:eastAsia="宋体" w:cs="Times New Roman"/>
                <w:b w:val="0"/>
                <w:color w:val="auto"/>
                <w:kern w:val="2"/>
                <w:sz w:val="24"/>
                <w:szCs w:val="24"/>
                <w:highlight w:val="none"/>
                <w:lang w:val="en-US" w:eastAsia="zh-CN" w:bidi="ar-SA"/>
              </w:rPr>
              <w:t>m</w:t>
            </w:r>
            <w:r>
              <w:rPr>
                <w:rFonts w:hint="default" w:ascii="Times New Roman" w:hAnsi="Times New Roman" w:eastAsia="宋体" w:cs="Times New Roman"/>
                <w:b w:val="0"/>
                <w:color w:val="auto"/>
                <w:kern w:val="2"/>
                <w:sz w:val="24"/>
                <w:szCs w:val="24"/>
                <w:highlight w:val="none"/>
                <w:vertAlign w:val="superscript"/>
                <w:lang w:val="en-US" w:eastAsia="zh-CN" w:bidi="ar-SA"/>
              </w:rPr>
              <w:t>3</w:t>
            </w:r>
            <w:r>
              <w:rPr>
                <w:rFonts w:hint="default" w:ascii="Times New Roman" w:hAnsi="Times New Roman" w:eastAsia="宋体" w:cs="Times New Roman"/>
                <w:b w:val="0"/>
                <w:color w:val="auto"/>
                <w:kern w:val="2"/>
                <w:sz w:val="24"/>
                <w:szCs w:val="24"/>
                <w:highlight w:val="none"/>
                <w:lang w:val="en-US" w:eastAsia="zh-CN" w:bidi="ar-SA"/>
              </w:rPr>
              <w:t>/a），该部分水</w:t>
            </w:r>
            <w:r>
              <w:rPr>
                <w:rFonts w:hint="default" w:ascii="Times New Roman" w:hAnsi="Times New Roman" w:eastAsia="宋体" w:cs="Times New Roman"/>
                <w:b w:val="0"/>
                <w:kern w:val="2"/>
                <w:sz w:val="24"/>
                <w:szCs w:val="24"/>
                <w:highlight w:val="none"/>
                <w:lang w:val="en-US" w:eastAsia="zh-CN" w:bidi="ar-SA"/>
              </w:rPr>
              <w:t>被矿石吸收和蒸发，没有废水外排</w:t>
            </w:r>
            <w:r>
              <w:rPr>
                <w:rFonts w:hint="eastAsia" w:ascii="Times New Roman" w:hAnsi="Times New Roman" w:eastAsia="宋体" w:cs="Times New Roman"/>
                <w:b w:val="0"/>
                <w:kern w:val="2"/>
                <w:sz w:val="24"/>
                <w:szCs w:val="24"/>
                <w:highlight w:val="none"/>
                <w:lang w:val="en-US" w:eastAsia="zh-CN" w:bidi="ar-SA"/>
              </w:rPr>
              <w:t>。</w:t>
            </w:r>
          </w:p>
          <w:p>
            <w:pPr>
              <w:pStyle w:val="4"/>
              <w:numPr>
                <w:ilvl w:val="1"/>
                <w:numId w:val="0"/>
              </w:numPr>
              <w:spacing w:line="360" w:lineRule="auto"/>
              <w:ind w:left="0" w:leftChars="0" w:firstLine="482" w:firstLineChars="200"/>
              <w:rPr>
                <w:rFonts w:hint="default" w:ascii="Times New Roman" w:hAnsi="Times New Roman" w:eastAsia="宋体" w:cs="Times New Roman"/>
                <w:b/>
                <w:bCs/>
                <w:kern w:val="2"/>
                <w:sz w:val="24"/>
                <w:szCs w:val="24"/>
                <w:highlight w:val="none"/>
                <w:lang w:val="en-US" w:eastAsia="zh-CN" w:bidi="ar-SA"/>
              </w:rPr>
            </w:pPr>
            <w:r>
              <w:rPr>
                <w:rFonts w:hint="eastAsia" w:cs="Times New Roman"/>
                <w:b/>
                <w:bCs/>
                <w:kern w:val="2"/>
                <w:sz w:val="24"/>
                <w:szCs w:val="24"/>
                <w:highlight w:val="none"/>
                <w:lang w:val="en-US" w:eastAsia="zh-CN" w:bidi="ar-SA"/>
              </w:rPr>
              <w:t>8</w:t>
            </w:r>
            <w:r>
              <w:rPr>
                <w:rFonts w:hint="default" w:ascii="Times New Roman" w:hAnsi="Times New Roman" w:eastAsia="宋体" w:cs="Times New Roman"/>
                <w:b/>
                <w:bCs/>
                <w:kern w:val="2"/>
                <w:sz w:val="24"/>
                <w:szCs w:val="24"/>
                <w:highlight w:val="none"/>
                <w:lang w:val="en-US" w:eastAsia="zh-CN" w:bidi="ar-SA"/>
              </w:rPr>
              <w:t>.</w:t>
            </w:r>
            <w:r>
              <w:rPr>
                <w:rFonts w:hint="eastAsia" w:ascii="Times New Roman" w:hAnsi="Times New Roman" w:cs="Times New Roman"/>
                <w:b/>
                <w:bCs/>
                <w:kern w:val="2"/>
                <w:sz w:val="24"/>
                <w:szCs w:val="24"/>
                <w:highlight w:val="none"/>
                <w:lang w:val="en-US" w:eastAsia="zh-CN" w:bidi="ar-SA"/>
              </w:rPr>
              <w:t>2</w:t>
            </w:r>
            <w:r>
              <w:rPr>
                <w:rFonts w:hint="default" w:ascii="Times New Roman" w:hAnsi="Times New Roman" w:eastAsia="宋体" w:cs="Times New Roman"/>
                <w:b/>
                <w:bCs/>
                <w:kern w:val="2"/>
                <w:sz w:val="24"/>
                <w:szCs w:val="24"/>
                <w:highlight w:val="none"/>
                <w:lang w:val="en-US" w:eastAsia="zh-CN" w:bidi="ar-SA"/>
              </w:rPr>
              <w:t>生活</w:t>
            </w:r>
            <w:r>
              <w:rPr>
                <w:rFonts w:hint="eastAsia" w:ascii="Times New Roman" w:hAnsi="Times New Roman" w:cs="Times New Roman"/>
                <w:b/>
                <w:bCs/>
                <w:kern w:val="2"/>
                <w:sz w:val="24"/>
                <w:szCs w:val="24"/>
                <w:highlight w:val="none"/>
                <w:lang w:val="en-US" w:eastAsia="zh-CN" w:bidi="ar-SA"/>
              </w:rPr>
              <w:t>用</w:t>
            </w:r>
            <w:r>
              <w:rPr>
                <w:rFonts w:hint="eastAsia" w:cs="Times New Roman"/>
                <w:b/>
                <w:bCs/>
                <w:kern w:val="2"/>
                <w:sz w:val="24"/>
                <w:szCs w:val="24"/>
                <w:highlight w:val="none"/>
                <w:lang w:val="en-US" w:eastAsia="zh-CN" w:bidi="ar-SA"/>
              </w:rPr>
              <w:t>、排</w:t>
            </w:r>
            <w:r>
              <w:rPr>
                <w:rFonts w:hint="eastAsia" w:ascii="Times New Roman" w:hAnsi="Times New Roman" w:cs="Times New Roman"/>
                <w:b/>
                <w:bCs/>
                <w:kern w:val="2"/>
                <w:sz w:val="24"/>
                <w:szCs w:val="24"/>
                <w:highlight w:val="none"/>
                <w:lang w:val="en-US" w:eastAsia="zh-CN" w:bidi="ar-SA"/>
              </w:rPr>
              <w:t>水</w:t>
            </w:r>
          </w:p>
          <w:p>
            <w:pPr>
              <w:pStyle w:val="4"/>
              <w:numPr>
                <w:ilvl w:val="1"/>
                <w:numId w:val="0"/>
              </w:numPr>
              <w:spacing w:line="360" w:lineRule="auto"/>
              <w:ind w:left="0" w:leftChars="0" w:firstLine="480" w:firstLineChars="200"/>
              <w:rPr>
                <w:rFonts w:hint="default" w:ascii="Times New Roman" w:hAnsi="Times New Roman" w:eastAsia="宋体" w:cs="Times New Roman"/>
                <w:b w:val="0"/>
                <w:kern w:val="2"/>
                <w:sz w:val="24"/>
                <w:szCs w:val="24"/>
                <w:highlight w:val="none"/>
                <w:lang w:val="en-US" w:eastAsia="zh-CN" w:bidi="ar-SA"/>
              </w:rPr>
            </w:pPr>
            <w:r>
              <w:rPr>
                <w:rFonts w:hint="default" w:ascii="Times New Roman" w:hAnsi="Times New Roman" w:eastAsia="宋体" w:cs="Times New Roman"/>
                <w:b w:val="0"/>
                <w:kern w:val="2"/>
                <w:sz w:val="24"/>
                <w:szCs w:val="24"/>
                <w:highlight w:val="none"/>
                <w:lang w:val="en-US" w:eastAsia="zh-CN" w:bidi="ar-SA"/>
              </w:rPr>
              <w:t>运营期员工人数为1</w:t>
            </w:r>
            <w:r>
              <w:rPr>
                <w:rFonts w:hint="eastAsia" w:cs="Times New Roman"/>
                <w:b w:val="0"/>
                <w:kern w:val="2"/>
                <w:sz w:val="24"/>
                <w:szCs w:val="24"/>
                <w:highlight w:val="none"/>
                <w:lang w:val="en-US" w:eastAsia="zh-CN" w:bidi="ar-SA"/>
              </w:rPr>
              <w:t>3</w:t>
            </w:r>
            <w:r>
              <w:rPr>
                <w:rFonts w:hint="default" w:ascii="Times New Roman" w:hAnsi="Times New Roman" w:eastAsia="宋体" w:cs="Times New Roman"/>
                <w:b w:val="0"/>
                <w:kern w:val="2"/>
                <w:sz w:val="24"/>
                <w:szCs w:val="24"/>
                <w:highlight w:val="none"/>
                <w:lang w:val="en-US" w:eastAsia="zh-CN" w:bidi="ar-SA"/>
              </w:rPr>
              <w:t>人，</w:t>
            </w:r>
            <w:r>
              <w:rPr>
                <w:rFonts w:hint="eastAsia" w:ascii="Times New Roman" w:hAnsi="Times New Roman" w:eastAsia="宋体" w:cs="Times New Roman"/>
                <w:b w:val="0"/>
                <w:kern w:val="2"/>
                <w:sz w:val="24"/>
                <w:szCs w:val="24"/>
                <w:highlight w:val="none"/>
                <w:lang w:val="en-US" w:eastAsia="zh-CN" w:bidi="ar-SA"/>
              </w:rPr>
              <w:t>本次评价按《新疆维吾尔自治区生活用水定额》80L/人·d计</w:t>
            </w:r>
            <w:r>
              <w:rPr>
                <w:rFonts w:hint="default" w:ascii="Times New Roman" w:hAnsi="Times New Roman" w:eastAsia="宋体" w:cs="Times New Roman"/>
                <w:b w:val="0"/>
                <w:kern w:val="2"/>
                <w:sz w:val="24"/>
                <w:szCs w:val="24"/>
                <w:highlight w:val="none"/>
                <w:lang w:val="en-US" w:eastAsia="zh-CN" w:bidi="ar-SA"/>
              </w:rPr>
              <w:t>，用水量为</w:t>
            </w:r>
            <w:r>
              <w:rPr>
                <w:rFonts w:hint="eastAsia" w:cs="Times New Roman"/>
                <w:b w:val="0"/>
                <w:kern w:val="2"/>
                <w:sz w:val="24"/>
                <w:szCs w:val="24"/>
                <w:highlight w:val="none"/>
                <w:lang w:val="en-US" w:eastAsia="zh-CN" w:bidi="ar-SA"/>
              </w:rPr>
              <w:t>1.04</w:t>
            </w:r>
            <w:r>
              <w:rPr>
                <w:rFonts w:hint="default" w:ascii="Times New Roman" w:hAnsi="Times New Roman" w:eastAsia="宋体" w:cs="Times New Roman"/>
                <w:b w:val="0"/>
                <w:kern w:val="2"/>
                <w:sz w:val="24"/>
                <w:szCs w:val="24"/>
                <w:highlight w:val="none"/>
                <w:lang w:val="en-US" w:eastAsia="zh-CN" w:bidi="ar-SA"/>
              </w:rPr>
              <w:t>m</w:t>
            </w:r>
            <w:r>
              <w:rPr>
                <w:rFonts w:hint="default" w:ascii="Times New Roman" w:hAnsi="Times New Roman" w:eastAsia="宋体" w:cs="Times New Roman"/>
                <w:b w:val="0"/>
                <w:kern w:val="2"/>
                <w:sz w:val="24"/>
                <w:szCs w:val="24"/>
                <w:highlight w:val="none"/>
                <w:vertAlign w:val="superscript"/>
                <w:lang w:val="en-US" w:eastAsia="zh-CN" w:bidi="ar-SA"/>
              </w:rPr>
              <w:t>3</w:t>
            </w:r>
            <w:r>
              <w:rPr>
                <w:rFonts w:hint="default" w:ascii="Times New Roman" w:hAnsi="Times New Roman" w:eastAsia="宋体" w:cs="Times New Roman"/>
                <w:b w:val="0"/>
                <w:kern w:val="2"/>
                <w:sz w:val="24"/>
                <w:szCs w:val="24"/>
                <w:highlight w:val="none"/>
                <w:lang w:val="en-US" w:eastAsia="zh-CN" w:bidi="ar-SA"/>
              </w:rPr>
              <w:t>/d（</w:t>
            </w:r>
            <w:r>
              <w:rPr>
                <w:rFonts w:hint="eastAsia" w:cs="Times New Roman"/>
                <w:b w:val="0"/>
                <w:kern w:val="2"/>
                <w:sz w:val="24"/>
                <w:szCs w:val="24"/>
                <w:highlight w:val="none"/>
                <w:lang w:val="en-US" w:eastAsia="zh-CN" w:bidi="ar-SA"/>
              </w:rPr>
              <w:t>260</w:t>
            </w:r>
            <w:r>
              <w:rPr>
                <w:rFonts w:hint="default" w:ascii="Times New Roman" w:hAnsi="Times New Roman" w:eastAsia="宋体" w:cs="Times New Roman"/>
                <w:b w:val="0"/>
                <w:kern w:val="2"/>
                <w:sz w:val="24"/>
                <w:szCs w:val="24"/>
                <w:highlight w:val="none"/>
                <w:lang w:val="en-US" w:eastAsia="zh-CN" w:bidi="ar-SA"/>
              </w:rPr>
              <w:t>m</w:t>
            </w:r>
            <w:r>
              <w:rPr>
                <w:rFonts w:hint="default" w:ascii="Times New Roman" w:hAnsi="Times New Roman" w:eastAsia="宋体" w:cs="Times New Roman"/>
                <w:b w:val="0"/>
                <w:kern w:val="2"/>
                <w:sz w:val="24"/>
                <w:szCs w:val="24"/>
                <w:highlight w:val="none"/>
                <w:vertAlign w:val="superscript"/>
                <w:lang w:val="en-US" w:eastAsia="zh-CN" w:bidi="ar-SA"/>
              </w:rPr>
              <w:t>3</w:t>
            </w:r>
            <w:r>
              <w:rPr>
                <w:rFonts w:hint="default" w:ascii="Times New Roman" w:hAnsi="Times New Roman" w:eastAsia="宋体" w:cs="Times New Roman"/>
                <w:b w:val="0"/>
                <w:kern w:val="2"/>
                <w:sz w:val="24"/>
                <w:szCs w:val="24"/>
                <w:highlight w:val="none"/>
                <w:lang w:val="en-US" w:eastAsia="zh-CN" w:bidi="ar-SA"/>
              </w:rPr>
              <w:t>/a），生活污水以用水量80%计，项目生活污水产生量为</w:t>
            </w:r>
            <w:r>
              <w:rPr>
                <w:rFonts w:hint="eastAsia" w:ascii="Times New Roman" w:hAnsi="Times New Roman" w:eastAsia="宋体" w:cs="Times New Roman"/>
                <w:b w:val="0"/>
                <w:kern w:val="2"/>
                <w:sz w:val="24"/>
                <w:szCs w:val="24"/>
                <w:highlight w:val="none"/>
                <w:lang w:val="en-US" w:eastAsia="zh-CN" w:bidi="ar-SA"/>
              </w:rPr>
              <w:t>0.</w:t>
            </w:r>
            <w:r>
              <w:rPr>
                <w:rFonts w:hint="eastAsia" w:cs="Times New Roman"/>
                <w:b w:val="0"/>
                <w:kern w:val="2"/>
                <w:sz w:val="24"/>
                <w:szCs w:val="24"/>
                <w:highlight w:val="none"/>
                <w:lang w:val="en-US" w:eastAsia="zh-CN" w:bidi="ar-SA"/>
              </w:rPr>
              <w:t>832</w:t>
            </w:r>
            <w:r>
              <w:rPr>
                <w:rFonts w:hint="default" w:ascii="Times New Roman" w:hAnsi="Times New Roman" w:eastAsia="宋体" w:cs="Times New Roman"/>
                <w:b w:val="0"/>
                <w:kern w:val="2"/>
                <w:sz w:val="24"/>
                <w:szCs w:val="24"/>
                <w:highlight w:val="none"/>
                <w:lang w:val="en-US" w:eastAsia="zh-CN" w:bidi="ar-SA"/>
              </w:rPr>
              <w:t>m</w:t>
            </w:r>
            <w:r>
              <w:rPr>
                <w:rFonts w:hint="default" w:ascii="Times New Roman" w:hAnsi="Times New Roman" w:eastAsia="宋体" w:cs="Times New Roman"/>
                <w:b w:val="0"/>
                <w:kern w:val="2"/>
                <w:sz w:val="24"/>
                <w:szCs w:val="24"/>
                <w:highlight w:val="none"/>
                <w:vertAlign w:val="superscript"/>
                <w:lang w:val="en-US" w:eastAsia="zh-CN" w:bidi="ar-SA"/>
              </w:rPr>
              <w:t>3</w:t>
            </w:r>
            <w:r>
              <w:rPr>
                <w:rFonts w:hint="default" w:ascii="Times New Roman" w:hAnsi="Times New Roman" w:eastAsia="宋体" w:cs="Times New Roman"/>
                <w:b w:val="0"/>
                <w:kern w:val="2"/>
                <w:sz w:val="24"/>
                <w:szCs w:val="24"/>
                <w:highlight w:val="none"/>
                <w:lang w:val="en-US" w:eastAsia="zh-CN" w:bidi="ar-SA"/>
              </w:rPr>
              <w:t>/d，</w:t>
            </w:r>
            <w:r>
              <w:rPr>
                <w:rFonts w:hint="eastAsia" w:cs="Times New Roman"/>
                <w:b w:val="0"/>
                <w:kern w:val="2"/>
                <w:sz w:val="24"/>
                <w:szCs w:val="24"/>
                <w:highlight w:val="none"/>
                <w:lang w:val="en-US" w:eastAsia="zh-CN" w:bidi="ar-SA"/>
              </w:rPr>
              <w:t>208</w:t>
            </w:r>
            <w:r>
              <w:rPr>
                <w:rFonts w:hint="default" w:ascii="Times New Roman" w:hAnsi="Times New Roman" w:eastAsia="宋体" w:cs="Times New Roman"/>
                <w:b w:val="0"/>
                <w:kern w:val="2"/>
                <w:sz w:val="24"/>
                <w:szCs w:val="24"/>
                <w:highlight w:val="none"/>
                <w:lang w:val="en-US" w:eastAsia="zh-CN" w:bidi="ar-SA"/>
              </w:rPr>
              <w:t>m</w:t>
            </w:r>
            <w:r>
              <w:rPr>
                <w:rFonts w:hint="default" w:ascii="Times New Roman" w:hAnsi="Times New Roman" w:eastAsia="宋体" w:cs="Times New Roman"/>
                <w:b w:val="0"/>
                <w:kern w:val="2"/>
                <w:sz w:val="24"/>
                <w:szCs w:val="24"/>
                <w:highlight w:val="none"/>
                <w:vertAlign w:val="superscript"/>
                <w:lang w:val="en-US" w:eastAsia="zh-CN" w:bidi="ar-SA"/>
              </w:rPr>
              <w:t>3</w:t>
            </w:r>
            <w:r>
              <w:rPr>
                <w:rFonts w:hint="default" w:ascii="Times New Roman" w:hAnsi="Times New Roman" w:eastAsia="宋体" w:cs="Times New Roman"/>
                <w:b w:val="0"/>
                <w:kern w:val="2"/>
                <w:sz w:val="24"/>
                <w:szCs w:val="24"/>
                <w:highlight w:val="none"/>
                <w:lang w:val="en-US" w:eastAsia="zh-CN" w:bidi="ar-SA"/>
              </w:rPr>
              <w:t>/a。食堂废水经隔油处理后与其他生活污水经地埋式一体化污水处理设施处理后用于场地洒水抑尘。</w:t>
            </w:r>
          </w:p>
          <w:p>
            <w:pP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本项目生产、生活用、排水情况详见表2-</w:t>
            </w:r>
            <w:r>
              <w:rPr>
                <w:rFonts w:hint="eastAsia" w:cs="Times New Roman"/>
                <w:highlight w:val="none"/>
                <w:lang w:val="en-US" w:eastAsia="zh-CN"/>
              </w:rPr>
              <w:t>5</w:t>
            </w:r>
            <w:r>
              <w:rPr>
                <w:rFonts w:hint="eastAsia" w:ascii="Times New Roman" w:hAnsi="Times New Roman" w:eastAsia="宋体" w:cs="Times New Roman"/>
                <w:highlight w:val="none"/>
                <w:lang w:val="en-US" w:eastAsia="zh-CN"/>
              </w:rPr>
              <w:t>，水平衡图见图2-</w:t>
            </w:r>
            <w:r>
              <w:rPr>
                <w:rFonts w:hint="eastAsia" w:cs="Times New Roman"/>
                <w:highlight w:val="none"/>
                <w:lang w:val="en-US" w:eastAsia="zh-CN"/>
              </w:rPr>
              <w:t>1</w:t>
            </w:r>
            <w:r>
              <w:rPr>
                <w:rFonts w:hint="eastAsia" w:ascii="Times New Roman" w:hAnsi="Times New Roman" w:eastAsia="宋体" w:cs="Times New Roman"/>
                <w:highlight w:val="none"/>
                <w:lang w:val="en-US" w:eastAsia="zh-CN"/>
              </w:rPr>
              <w:t>。</w:t>
            </w:r>
          </w:p>
          <w:p>
            <w:pPr>
              <w:spacing w:line="240" w:lineRule="auto"/>
              <w:ind w:left="0" w:leftChars="0" w:firstLine="0" w:firstLineChars="0"/>
              <w:jc w:val="center"/>
              <w:rPr>
                <w:b w:val="0"/>
                <w:color w:val="000000"/>
                <w:sz w:val="24"/>
                <w:szCs w:val="24"/>
                <w:highlight w:val="none"/>
              </w:rPr>
            </w:pPr>
            <w:r>
              <w:rPr>
                <w:rFonts w:hint="eastAsia"/>
                <w:b/>
                <w:bCs/>
                <w:color w:val="auto"/>
                <w:sz w:val="21"/>
                <w:szCs w:val="21"/>
                <w:highlight w:val="none"/>
              </w:rPr>
              <w:t>表2-</w:t>
            </w:r>
            <w:r>
              <w:rPr>
                <w:rFonts w:hint="eastAsia"/>
                <w:b/>
                <w:bCs/>
                <w:color w:val="auto"/>
                <w:sz w:val="21"/>
                <w:szCs w:val="21"/>
                <w:highlight w:val="none"/>
                <w:lang w:val="en-US" w:eastAsia="zh-CN"/>
              </w:rPr>
              <w:t>5</w:t>
            </w:r>
            <w:r>
              <w:rPr>
                <w:rFonts w:hint="eastAsia"/>
                <w:b/>
                <w:bCs/>
                <w:color w:val="auto"/>
                <w:sz w:val="21"/>
                <w:szCs w:val="21"/>
                <w:highlight w:val="none"/>
              </w:rPr>
              <w:t xml:space="preserve">  水平衡一览表</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768"/>
              <w:gridCol w:w="943"/>
              <w:gridCol w:w="1104"/>
              <w:gridCol w:w="867"/>
              <w:gridCol w:w="9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59" w:type="pct"/>
                  <w:gridSpan w:val="2"/>
                  <w:vMerge w:val="restart"/>
                  <w:tcBorders>
                    <w:tl2br w:val="nil"/>
                    <w:tr2bl w:val="nil"/>
                  </w:tcBorders>
                  <w:vAlign w:val="center"/>
                </w:tcPr>
                <w:p>
                  <w:pPr>
                    <w:spacing w:line="240" w:lineRule="auto"/>
                    <w:ind w:left="0" w:leftChars="0" w:firstLine="0" w:firstLineChars="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名称</w:t>
                  </w:r>
                </w:p>
              </w:tc>
              <w:tc>
                <w:tcPr>
                  <w:tcW w:w="620" w:type="pct"/>
                  <w:tcBorders>
                    <w:tl2br w:val="nil"/>
                    <w:tr2bl w:val="nil"/>
                  </w:tcBorders>
                  <w:vAlign w:val="center"/>
                </w:tcPr>
                <w:p>
                  <w:pPr>
                    <w:spacing w:line="240" w:lineRule="auto"/>
                    <w:ind w:left="0" w:leftChars="0" w:firstLine="0" w:firstLineChars="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cs="Times New Roman"/>
                      <w:b/>
                      <w:bCs/>
                      <w:color w:val="auto"/>
                      <w:sz w:val="21"/>
                      <w:szCs w:val="21"/>
                      <w:highlight w:val="none"/>
                    </w:rPr>
                    <w:t>用水量</w:t>
                  </w:r>
                </w:p>
              </w:tc>
              <w:tc>
                <w:tcPr>
                  <w:tcW w:w="726" w:type="pct"/>
                  <w:tcBorders>
                    <w:tl2br w:val="nil"/>
                    <w:tr2bl w:val="nil"/>
                  </w:tcBorders>
                  <w:vAlign w:val="center"/>
                </w:tcPr>
                <w:p>
                  <w:pPr>
                    <w:spacing w:line="240" w:lineRule="auto"/>
                    <w:ind w:left="0" w:leftChars="0" w:firstLine="0" w:firstLine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循环水量</w:t>
                  </w:r>
                </w:p>
              </w:tc>
              <w:tc>
                <w:tcPr>
                  <w:tcW w:w="570" w:type="pct"/>
                  <w:tcBorders>
                    <w:tl2br w:val="nil"/>
                    <w:tr2bl w:val="nil"/>
                  </w:tcBorders>
                  <w:vAlign w:val="center"/>
                </w:tcPr>
                <w:p>
                  <w:pPr>
                    <w:spacing w:line="240" w:lineRule="auto"/>
                    <w:ind w:left="0" w:leftChars="0" w:firstLine="0" w:firstLineChars="0"/>
                    <w:jc w:val="center"/>
                    <w:rPr>
                      <w:rFonts w:hint="default" w:ascii="Times New Roman" w:hAnsi="Times New Roman"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损耗量</w:t>
                  </w:r>
                </w:p>
              </w:tc>
              <w:tc>
                <w:tcPr>
                  <w:tcW w:w="591" w:type="pct"/>
                  <w:tcBorders>
                    <w:tl2br w:val="nil"/>
                    <w:tr2bl w:val="nil"/>
                  </w:tcBorders>
                  <w:vAlign w:val="center"/>
                </w:tcPr>
                <w:p>
                  <w:pPr>
                    <w:spacing w:line="240" w:lineRule="auto"/>
                    <w:ind w:left="0" w:leftChars="0" w:firstLine="0" w:firstLineChars="0"/>
                    <w:jc w:val="center"/>
                    <w:rPr>
                      <w:rFonts w:hint="default" w:ascii="Times New Roman" w:hAnsi="Times New Roman"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废水量</w:t>
                  </w:r>
                </w:p>
              </w:tc>
              <w:tc>
                <w:tcPr>
                  <w:tcW w:w="931" w:type="pct"/>
                  <w:vMerge w:val="restart"/>
                  <w:tcBorders>
                    <w:tl2br w:val="nil"/>
                    <w:tr2bl w:val="nil"/>
                  </w:tcBorders>
                  <w:vAlign w:val="center"/>
                </w:tcPr>
                <w:p>
                  <w:pPr>
                    <w:spacing w:line="240" w:lineRule="auto"/>
                    <w:ind w:left="0" w:leftChars="0" w:firstLine="0" w:firstLineChars="0"/>
                    <w:jc w:val="center"/>
                    <w:rPr>
                      <w:rFonts w:hint="default" w:ascii="Times New Roman" w:hAnsi="Times New Roman"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59" w:type="pct"/>
                  <w:gridSpan w:val="2"/>
                  <w:vMerge w:val="continue"/>
                  <w:tcBorders>
                    <w:tl2br w:val="nil"/>
                    <w:tr2bl w:val="nil"/>
                  </w:tcBorders>
                  <w:vAlign w:val="center"/>
                </w:tcPr>
                <w:p>
                  <w:pPr>
                    <w:spacing w:line="240" w:lineRule="auto"/>
                    <w:jc w:val="center"/>
                    <w:rPr>
                      <w:rFonts w:hint="default" w:ascii="Times New Roman" w:hAnsi="Times New Roman" w:cs="Times New Roman"/>
                      <w:color w:val="auto"/>
                      <w:sz w:val="21"/>
                      <w:szCs w:val="21"/>
                      <w:highlight w:val="none"/>
                    </w:rPr>
                  </w:pPr>
                </w:p>
              </w:tc>
              <w:tc>
                <w:tcPr>
                  <w:tcW w:w="620" w:type="pct"/>
                  <w:tcBorders>
                    <w:tl2br w:val="nil"/>
                    <w:tr2bl w:val="nil"/>
                  </w:tcBorders>
                  <w:vAlign w:val="center"/>
                </w:tcPr>
                <w:p>
                  <w:pPr>
                    <w:spacing w:line="240" w:lineRule="auto"/>
                    <w:ind w:left="0" w:leftChars="0" w:firstLine="0" w:firstLineChars="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cs="Times New Roman"/>
                      <w:b/>
                      <w:bCs/>
                      <w:color w:val="auto"/>
                      <w:sz w:val="21"/>
                      <w:szCs w:val="21"/>
                      <w:highlight w:val="none"/>
                    </w:rPr>
                    <w:t>m</w:t>
                  </w:r>
                  <w:r>
                    <w:rPr>
                      <w:rFonts w:hint="default" w:ascii="Times New Roman" w:hAnsi="Times New Roman" w:cs="Times New Roman"/>
                      <w:b/>
                      <w:bCs/>
                      <w:color w:val="auto"/>
                      <w:sz w:val="21"/>
                      <w:szCs w:val="21"/>
                      <w:highlight w:val="none"/>
                      <w:vertAlign w:val="superscript"/>
                    </w:rPr>
                    <w:t>3</w:t>
                  </w:r>
                  <w:r>
                    <w:rPr>
                      <w:rFonts w:hint="default" w:ascii="Times New Roman" w:hAnsi="Times New Roman" w:cs="Times New Roman"/>
                      <w:b/>
                      <w:bCs/>
                      <w:color w:val="auto"/>
                      <w:sz w:val="21"/>
                      <w:szCs w:val="21"/>
                      <w:highlight w:val="none"/>
                    </w:rPr>
                    <w:t>/</w:t>
                  </w:r>
                  <w:r>
                    <w:rPr>
                      <w:rFonts w:hint="default" w:ascii="Times New Roman" w:hAnsi="Times New Roman" w:cs="Times New Roman"/>
                      <w:b/>
                      <w:bCs/>
                      <w:color w:val="auto"/>
                      <w:sz w:val="21"/>
                      <w:szCs w:val="21"/>
                      <w:highlight w:val="none"/>
                      <w:lang w:val="en-US" w:eastAsia="zh-CN"/>
                    </w:rPr>
                    <w:t>d</w:t>
                  </w:r>
                </w:p>
              </w:tc>
              <w:tc>
                <w:tcPr>
                  <w:tcW w:w="726" w:type="pct"/>
                  <w:tcBorders>
                    <w:tl2br w:val="nil"/>
                    <w:tr2bl w:val="nil"/>
                  </w:tcBorders>
                  <w:vAlign w:val="center"/>
                </w:tcPr>
                <w:p>
                  <w:pPr>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b/>
                      <w:bCs/>
                      <w:color w:val="auto"/>
                      <w:sz w:val="21"/>
                      <w:szCs w:val="21"/>
                      <w:highlight w:val="none"/>
                    </w:rPr>
                    <w:t>m</w:t>
                  </w:r>
                  <w:r>
                    <w:rPr>
                      <w:rFonts w:hint="default" w:ascii="Times New Roman" w:hAnsi="Times New Roman" w:cs="Times New Roman"/>
                      <w:b/>
                      <w:bCs/>
                      <w:color w:val="auto"/>
                      <w:sz w:val="21"/>
                      <w:szCs w:val="21"/>
                      <w:highlight w:val="none"/>
                      <w:vertAlign w:val="superscript"/>
                    </w:rPr>
                    <w:t>3</w:t>
                  </w:r>
                  <w:r>
                    <w:rPr>
                      <w:rFonts w:hint="default" w:ascii="Times New Roman" w:hAnsi="Times New Roman" w:cs="Times New Roman"/>
                      <w:b/>
                      <w:bCs/>
                      <w:color w:val="auto"/>
                      <w:sz w:val="21"/>
                      <w:szCs w:val="21"/>
                      <w:highlight w:val="none"/>
                    </w:rPr>
                    <w:t>/</w:t>
                  </w:r>
                  <w:r>
                    <w:rPr>
                      <w:rFonts w:hint="default" w:ascii="Times New Roman" w:hAnsi="Times New Roman" w:cs="Times New Roman"/>
                      <w:b/>
                      <w:bCs/>
                      <w:color w:val="auto"/>
                      <w:sz w:val="21"/>
                      <w:szCs w:val="21"/>
                      <w:highlight w:val="none"/>
                      <w:lang w:val="en-US" w:eastAsia="zh-CN"/>
                    </w:rPr>
                    <w:t>d</w:t>
                  </w:r>
                </w:p>
              </w:tc>
              <w:tc>
                <w:tcPr>
                  <w:tcW w:w="570" w:type="pct"/>
                  <w:tcBorders>
                    <w:tl2br w:val="nil"/>
                    <w:tr2bl w:val="nil"/>
                  </w:tcBorders>
                  <w:vAlign w:val="center"/>
                </w:tcPr>
                <w:p>
                  <w:pPr>
                    <w:spacing w:line="240" w:lineRule="auto"/>
                    <w:ind w:left="0" w:leftChars="0" w:firstLine="0" w:firstLineChars="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m</w:t>
                  </w:r>
                  <w:r>
                    <w:rPr>
                      <w:rFonts w:hint="default" w:ascii="Times New Roman" w:hAnsi="Times New Roman" w:cs="Times New Roman"/>
                      <w:b/>
                      <w:bCs/>
                      <w:color w:val="auto"/>
                      <w:sz w:val="21"/>
                      <w:szCs w:val="21"/>
                      <w:highlight w:val="none"/>
                      <w:vertAlign w:val="superscript"/>
                    </w:rPr>
                    <w:t>3</w:t>
                  </w:r>
                  <w:r>
                    <w:rPr>
                      <w:rFonts w:hint="default" w:ascii="Times New Roman" w:hAnsi="Times New Roman" w:cs="Times New Roman"/>
                      <w:b/>
                      <w:bCs/>
                      <w:color w:val="auto"/>
                      <w:sz w:val="21"/>
                      <w:szCs w:val="21"/>
                      <w:highlight w:val="none"/>
                    </w:rPr>
                    <w:t>/</w:t>
                  </w:r>
                  <w:r>
                    <w:rPr>
                      <w:rFonts w:hint="default" w:ascii="Times New Roman" w:hAnsi="Times New Roman" w:cs="Times New Roman"/>
                      <w:b/>
                      <w:bCs/>
                      <w:color w:val="auto"/>
                      <w:sz w:val="21"/>
                      <w:szCs w:val="21"/>
                      <w:highlight w:val="none"/>
                      <w:lang w:val="en-US" w:eastAsia="zh-CN"/>
                    </w:rPr>
                    <w:t>d</w:t>
                  </w:r>
                </w:p>
              </w:tc>
              <w:tc>
                <w:tcPr>
                  <w:tcW w:w="591" w:type="pct"/>
                  <w:tcBorders>
                    <w:tl2br w:val="nil"/>
                    <w:tr2bl w:val="nil"/>
                  </w:tcBorders>
                  <w:vAlign w:val="center"/>
                </w:tcPr>
                <w:p>
                  <w:pPr>
                    <w:spacing w:line="240" w:lineRule="auto"/>
                    <w:ind w:left="0" w:leftChars="0" w:firstLine="0" w:firstLineChars="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m</w:t>
                  </w:r>
                  <w:r>
                    <w:rPr>
                      <w:rFonts w:hint="default" w:ascii="Times New Roman" w:hAnsi="Times New Roman" w:cs="Times New Roman"/>
                      <w:b/>
                      <w:bCs/>
                      <w:color w:val="auto"/>
                      <w:sz w:val="21"/>
                      <w:szCs w:val="21"/>
                      <w:highlight w:val="none"/>
                      <w:vertAlign w:val="superscript"/>
                    </w:rPr>
                    <w:t>3</w:t>
                  </w:r>
                  <w:r>
                    <w:rPr>
                      <w:rFonts w:hint="default" w:ascii="Times New Roman" w:hAnsi="Times New Roman" w:cs="Times New Roman"/>
                      <w:b/>
                      <w:bCs/>
                      <w:color w:val="auto"/>
                      <w:sz w:val="21"/>
                      <w:szCs w:val="21"/>
                      <w:highlight w:val="none"/>
                    </w:rPr>
                    <w:t>/</w:t>
                  </w:r>
                  <w:r>
                    <w:rPr>
                      <w:rFonts w:hint="default" w:ascii="Times New Roman" w:hAnsi="Times New Roman" w:cs="Times New Roman"/>
                      <w:b/>
                      <w:bCs/>
                      <w:color w:val="auto"/>
                      <w:sz w:val="21"/>
                      <w:szCs w:val="21"/>
                      <w:highlight w:val="none"/>
                      <w:lang w:val="en-US" w:eastAsia="zh-CN"/>
                    </w:rPr>
                    <w:t>d</w:t>
                  </w:r>
                </w:p>
              </w:tc>
              <w:tc>
                <w:tcPr>
                  <w:tcW w:w="931" w:type="pct"/>
                  <w:vMerge w:val="continue"/>
                  <w:tcBorders>
                    <w:tl2br w:val="nil"/>
                    <w:tr2bl w:val="nil"/>
                  </w:tcBorders>
                  <w:vAlign w:val="center"/>
                </w:tcPr>
                <w:p>
                  <w:pPr>
                    <w:spacing w:line="240" w:lineRule="auto"/>
                    <w:jc w:val="center"/>
                    <w:rPr>
                      <w:rFonts w:hint="default" w:ascii="Times New Roman" w:hAnsi="Times New Roman" w:eastAsia="宋体" w:cs="Times New Roman"/>
                      <w:b/>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6" w:type="pct"/>
                  <w:vMerge w:val="restart"/>
                  <w:tcBorders>
                    <w:tl2br w:val="nil"/>
                    <w:tr2bl w:val="nil"/>
                  </w:tcBorders>
                  <w:vAlign w:val="center"/>
                </w:tcPr>
                <w:p>
                  <w:pPr>
                    <w:spacing w:line="240" w:lineRule="auto"/>
                    <w:ind w:left="0" w:leftChars="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生产用水</w:t>
                  </w:r>
                </w:p>
              </w:tc>
              <w:tc>
                <w:tcPr>
                  <w:tcW w:w="1162" w:type="pct"/>
                  <w:tcBorders>
                    <w:tl2br w:val="nil"/>
                    <w:tr2bl w:val="nil"/>
                  </w:tcBorders>
                  <w:vAlign w:val="center"/>
                </w:tcPr>
                <w:p>
                  <w:pPr>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洗砂用水</w:t>
                  </w:r>
                </w:p>
              </w:tc>
              <w:tc>
                <w:tcPr>
                  <w:tcW w:w="620" w:type="pct"/>
                  <w:tcBorders>
                    <w:tl2br w:val="nil"/>
                    <w:tr2bl w:val="nil"/>
                  </w:tcBorders>
                  <w:vAlign w:val="center"/>
                </w:tcPr>
                <w:p>
                  <w:pPr>
                    <w:spacing w:line="240" w:lineRule="auto"/>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120</w:t>
                  </w:r>
                </w:p>
              </w:tc>
              <w:tc>
                <w:tcPr>
                  <w:tcW w:w="726" w:type="pct"/>
                  <w:tcBorders>
                    <w:tl2br w:val="nil"/>
                    <w:tr2bl w:val="nil"/>
                  </w:tcBorders>
                  <w:vAlign w:val="center"/>
                </w:tcPr>
                <w:p>
                  <w:pPr>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102</w:t>
                  </w:r>
                </w:p>
              </w:tc>
              <w:tc>
                <w:tcPr>
                  <w:tcW w:w="570" w:type="pct"/>
                  <w:tcBorders>
                    <w:tl2br w:val="nil"/>
                    <w:tr2bl w:val="nil"/>
                  </w:tcBorders>
                  <w:vAlign w:val="center"/>
                </w:tcPr>
                <w:p>
                  <w:pPr>
                    <w:spacing w:line="240" w:lineRule="auto"/>
                    <w:ind w:left="0" w:lef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18</w:t>
                  </w:r>
                </w:p>
              </w:tc>
              <w:tc>
                <w:tcPr>
                  <w:tcW w:w="591" w:type="pct"/>
                  <w:tcBorders>
                    <w:tl2br w:val="nil"/>
                    <w:tr2bl w:val="nil"/>
                  </w:tcBorders>
                  <w:vAlign w:val="center"/>
                </w:tcPr>
                <w:p>
                  <w:pPr>
                    <w:spacing w:line="240" w:lineRule="auto"/>
                    <w:ind w:left="0" w:lef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w:t>
                  </w:r>
                </w:p>
              </w:tc>
              <w:tc>
                <w:tcPr>
                  <w:tcW w:w="931" w:type="pct"/>
                  <w:vMerge w:val="restart"/>
                  <w:tcBorders>
                    <w:tl2br w:val="nil"/>
                    <w:tr2bl w:val="nil"/>
                  </w:tcBorders>
                  <w:vAlign w:val="center"/>
                </w:tcPr>
                <w:p>
                  <w:pPr>
                    <w:widowControl/>
                    <w:spacing w:line="240" w:lineRule="auto"/>
                    <w:ind w:left="0" w:leftChars="0" w:firstLine="0" w:firstLineChars="0"/>
                    <w:jc w:val="center"/>
                    <w:textAlignment w:val="center"/>
                    <w:rPr>
                      <w:rFonts w:hint="default"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循环使用不外排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6" w:type="pct"/>
                  <w:vMerge w:val="continue"/>
                  <w:tcBorders>
                    <w:tl2br w:val="nil"/>
                    <w:tr2bl w:val="nil"/>
                  </w:tcBorders>
                  <w:vAlign w:val="center"/>
                </w:tcPr>
                <w:p>
                  <w:pPr>
                    <w:spacing w:line="240" w:lineRule="auto"/>
                    <w:ind w:left="0" w:leftChars="0" w:firstLine="0" w:firstLineChars="0"/>
                    <w:jc w:val="center"/>
                    <w:rPr>
                      <w:rFonts w:hint="default" w:ascii="Times New Roman" w:hAnsi="Times New Roman" w:cs="Times New Roman"/>
                      <w:color w:val="auto"/>
                      <w:sz w:val="21"/>
                      <w:szCs w:val="21"/>
                      <w:highlight w:val="none"/>
                    </w:rPr>
                  </w:pPr>
                </w:p>
              </w:tc>
              <w:tc>
                <w:tcPr>
                  <w:tcW w:w="1162" w:type="pct"/>
                  <w:tcBorders>
                    <w:tl2br w:val="nil"/>
                    <w:tr2bl w:val="nil"/>
                  </w:tcBorders>
                  <w:vAlign w:val="center"/>
                </w:tcPr>
                <w:p>
                  <w:pPr>
                    <w:spacing w:line="240" w:lineRule="auto"/>
                    <w:ind w:left="0" w:leftChars="0"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车辆冲洗水</w:t>
                  </w:r>
                </w:p>
              </w:tc>
              <w:tc>
                <w:tcPr>
                  <w:tcW w:w="620" w:type="pct"/>
                  <w:tcBorders>
                    <w:tl2br w:val="nil"/>
                    <w:tr2bl w:val="nil"/>
                  </w:tcBorders>
                  <w:vAlign w:val="center"/>
                </w:tcPr>
                <w:p>
                  <w:pPr>
                    <w:spacing w:line="240" w:lineRule="auto"/>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0.6</w:t>
                  </w:r>
                </w:p>
              </w:tc>
              <w:tc>
                <w:tcPr>
                  <w:tcW w:w="726" w:type="pct"/>
                  <w:tcBorders>
                    <w:tl2br w:val="nil"/>
                    <w:tr2bl w:val="nil"/>
                  </w:tcBorders>
                  <w:vAlign w:val="center"/>
                </w:tcPr>
                <w:p>
                  <w:pPr>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0.54</w:t>
                  </w:r>
                </w:p>
              </w:tc>
              <w:tc>
                <w:tcPr>
                  <w:tcW w:w="570" w:type="pct"/>
                  <w:tcBorders>
                    <w:tl2br w:val="nil"/>
                    <w:tr2bl w:val="nil"/>
                  </w:tcBorders>
                  <w:vAlign w:val="center"/>
                </w:tcPr>
                <w:p>
                  <w:pPr>
                    <w:spacing w:line="240" w:lineRule="auto"/>
                    <w:ind w:left="0" w:lef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0.06</w:t>
                  </w:r>
                </w:p>
              </w:tc>
              <w:tc>
                <w:tcPr>
                  <w:tcW w:w="591" w:type="pct"/>
                  <w:tcBorders>
                    <w:tl2br w:val="nil"/>
                    <w:tr2bl w:val="nil"/>
                  </w:tcBorders>
                  <w:vAlign w:val="center"/>
                </w:tcPr>
                <w:p>
                  <w:pPr>
                    <w:spacing w:line="240" w:lineRule="auto"/>
                    <w:ind w:left="0" w:lef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w:t>
                  </w:r>
                </w:p>
              </w:tc>
              <w:tc>
                <w:tcPr>
                  <w:tcW w:w="931" w:type="pct"/>
                  <w:vMerge w:val="continue"/>
                  <w:tcBorders>
                    <w:tl2br w:val="nil"/>
                    <w:tr2bl w:val="nil"/>
                  </w:tcBorders>
                  <w:vAlign w:val="center"/>
                </w:tcPr>
                <w:p>
                  <w:pPr>
                    <w:widowControl/>
                    <w:spacing w:line="240" w:lineRule="auto"/>
                    <w:ind w:left="0" w:leftChars="0" w:firstLine="0" w:firstLineChars="0"/>
                    <w:jc w:val="center"/>
                    <w:textAlignment w:val="center"/>
                    <w:rPr>
                      <w:rFonts w:hint="default" w:ascii="Times New Roman" w:hAnsi="Times New Roman" w:cs="Times New Roman"/>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6" w:type="pct"/>
                  <w:vMerge w:val="continue"/>
                  <w:tcBorders>
                    <w:tl2br w:val="nil"/>
                    <w:tr2bl w:val="nil"/>
                  </w:tcBorders>
                  <w:vAlign w:val="center"/>
                </w:tcPr>
                <w:p>
                  <w:pPr>
                    <w:spacing w:line="240" w:lineRule="auto"/>
                    <w:ind w:left="0" w:leftChars="0" w:firstLine="0" w:firstLineChars="0"/>
                    <w:jc w:val="center"/>
                    <w:rPr>
                      <w:rFonts w:hint="default" w:ascii="Times New Roman" w:hAnsi="Times New Roman" w:cs="Times New Roman"/>
                      <w:color w:val="auto"/>
                      <w:sz w:val="21"/>
                      <w:szCs w:val="21"/>
                      <w:highlight w:val="none"/>
                    </w:rPr>
                  </w:pPr>
                </w:p>
              </w:tc>
              <w:tc>
                <w:tcPr>
                  <w:tcW w:w="1162" w:type="pct"/>
                  <w:tcBorders>
                    <w:tl2br w:val="nil"/>
                    <w:tr2bl w:val="nil"/>
                  </w:tcBorders>
                  <w:vAlign w:val="center"/>
                </w:tcPr>
                <w:p>
                  <w:pPr>
                    <w:spacing w:line="240" w:lineRule="auto"/>
                    <w:ind w:left="0" w:leftChars="0"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道路洒水降尘</w:t>
                  </w:r>
                </w:p>
              </w:tc>
              <w:tc>
                <w:tcPr>
                  <w:tcW w:w="620" w:type="pct"/>
                  <w:tcBorders>
                    <w:tl2br w:val="nil"/>
                    <w:tr2bl w:val="nil"/>
                  </w:tcBorders>
                  <w:vAlign w:val="center"/>
                </w:tcPr>
                <w:p>
                  <w:pPr>
                    <w:widowControl/>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2</w:t>
                  </w:r>
                </w:p>
              </w:tc>
              <w:tc>
                <w:tcPr>
                  <w:tcW w:w="726" w:type="pct"/>
                  <w:tcBorders>
                    <w:tl2br w:val="nil"/>
                    <w:tr2bl w:val="nil"/>
                  </w:tcBorders>
                  <w:vAlign w:val="center"/>
                </w:tcPr>
                <w:p>
                  <w:pPr>
                    <w:widowControl/>
                    <w:spacing w:line="240" w:lineRule="auto"/>
                    <w:ind w:left="0" w:leftChars="0" w:firstLine="0" w:firstLineChars="0"/>
                    <w:jc w:val="center"/>
                    <w:textAlignment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0</w:t>
                  </w:r>
                </w:p>
              </w:tc>
              <w:tc>
                <w:tcPr>
                  <w:tcW w:w="570" w:type="pct"/>
                  <w:tcBorders>
                    <w:tl2br w:val="nil"/>
                    <w:tr2bl w:val="nil"/>
                  </w:tcBorders>
                  <w:vAlign w:val="center"/>
                </w:tcPr>
                <w:p>
                  <w:pPr>
                    <w:widowControl/>
                    <w:spacing w:line="240" w:lineRule="auto"/>
                    <w:ind w:left="0" w:leftChars="0" w:firstLine="0" w:firstLineChars="0"/>
                    <w:jc w:val="center"/>
                    <w:textAlignment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2</w:t>
                  </w:r>
                </w:p>
              </w:tc>
              <w:tc>
                <w:tcPr>
                  <w:tcW w:w="591" w:type="pct"/>
                  <w:tcBorders>
                    <w:tl2br w:val="nil"/>
                    <w:tr2bl w:val="nil"/>
                  </w:tcBorders>
                  <w:vAlign w:val="center"/>
                </w:tcPr>
                <w:p>
                  <w:pPr>
                    <w:widowControl/>
                    <w:spacing w:line="240" w:lineRule="auto"/>
                    <w:ind w:left="0" w:leftChars="0" w:firstLine="0" w:firstLineChars="0"/>
                    <w:jc w:val="center"/>
                    <w:textAlignment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0</w:t>
                  </w:r>
                </w:p>
              </w:tc>
              <w:tc>
                <w:tcPr>
                  <w:tcW w:w="931" w:type="pct"/>
                  <w:vMerge w:val="restart"/>
                  <w:tcBorders>
                    <w:tl2br w:val="nil"/>
                    <w:tr2bl w:val="nil"/>
                  </w:tcBorders>
                  <w:vAlign w:val="center"/>
                </w:tcPr>
                <w:p>
                  <w:pPr>
                    <w:widowControl/>
                    <w:spacing w:line="240" w:lineRule="auto"/>
                    <w:ind w:left="0" w:leftChars="0" w:firstLine="0" w:firstLineChars="0"/>
                    <w:jc w:val="center"/>
                    <w:textAlignment w:val="center"/>
                    <w:rPr>
                      <w:rFonts w:hint="default" w:ascii="Times New Roman" w:hAnsi="Times New Roman"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kern w:val="2"/>
                      <w:sz w:val="21"/>
                      <w:szCs w:val="21"/>
                      <w:highlight w:val="none"/>
                      <w:lang w:val="en-US" w:eastAsia="zh-CN" w:bidi="ar-SA"/>
                    </w:rPr>
                    <w:t>全部损耗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6" w:type="pct"/>
                  <w:vMerge w:val="continue"/>
                  <w:tcBorders>
                    <w:tl2br w:val="nil"/>
                    <w:tr2bl w:val="nil"/>
                  </w:tcBorders>
                  <w:vAlign w:val="center"/>
                </w:tcPr>
                <w:p>
                  <w:pPr>
                    <w:spacing w:line="240" w:lineRule="auto"/>
                    <w:ind w:left="0" w:leftChars="0" w:firstLine="0" w:firstLineChars="0"/>
                    <w:jc w:val="center"/>
                    <w:rPr>
                      <w:rFonts w:hint="default" w:ascii="Times New Roman" w:hAnsi="Times New Roman" w:cs="Times New Roman"/>
                      <w:color w:val="auto"/>
                      <w:sz w:val="21"/>
                      <w:szCs w:val="21"/>
                      <w:highlight w:val="none"/>
                    </w:rPr>
                  </w:pPr>
                </w:p>
              </w:tc>
              <w:tc>
                <w:tcPr>
                  <w:tcW w:w="1162" w:type="pct"/>
                  <w:tcBorders>
                    <w:tl2br w:val="nil"/>
                    <w:tr2bl w:val="nil"/>
                  </w:tcBorders>
                  <w:vAlign w:val="center"/>
                </w:tcPr>
                <w:p>
                  <w:pPr>
                    <w:spacing w:line="240" w:lineRule="auto"/>
                    <w:ind w:left="0" w:leftChars="0"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开采及装卸降尘用水</w:t>
                  </w:r>
                </w:p>
              </w:tc>
              <w:tc>
                <w:tcPr>
                  <w:tcW w:w="620" w:type="pct"/>
                  <w:tcBorders>
                    <w:tl2br w:val="nil"/>
                    <w:tr2bl w:val="nil"/>
                  </w:tcBorders>
                  <w:vAlign w:val="center"/>
                </w:tcPr>
                <w:p>
                  <w:pPr>
                    <w:widowControl/>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0.72</w:t>
                  </w:r>
                </w:p>
              </w:tc>
              <w:tc>
                <w:tcPr>
                  <w:tcW w:w="726" w:type="pct"/>
                  <w:tcBorders>
                    <w:tl2br w:val="nil"/>
                    <w:tr2bl w:val="nil"/>
                  </w:tcBorders>
                  <w:vAlign w:val="center"/>
                </w:tcPr>
                <w:p>
                  <w:pPr>
                    <w:widowControl/>
                    <w:spacing w:line="240" w:lineRule="auto"/>
                    <w:ind w:left="0" w:leftChars="0" w:firstLine="0" w:firstLineChars="0"/>
                    <w:jc w:val="center"/>
                    <w:textAlignment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0</w:t>
                  </w:r>
                </w:p>
              </w:tc>
              <w:tc>
                <w:tcPr>
                  <w:tcW w:w="570" w:type="pct"/>
                  <w:tcBorders>
                    <w:tl2br w:val="nil"/>
                    <w:tr2bl w:val="nil"/>
                  </w:tcBorders>
                  <w:vAlign w:val="center"/>
                </w:tcPr>
                <w:p>
                  <w:pPr>
                    <w:widowControl/>
                    <w:spacing w:line="240" w:lineRule="auto"/>
                    <w:ind w:left="0" w:leftChars="0" w:firstLine="0" w:firstLineChars="0"/>
                    <w:jc w:val="center"/>
                    <w:textAlignment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0.72</w:t>
                  </w:r>
                </w:p>
              </w:tc>
              <w:tc>
                <w:tcPr>
                  <w:tcW w:w="591" w:type="pct"/>
                  <w:tcBorders>
                    <w:tl2br w:val="nil"/>
                    <w:tr2bl w:val="nil"/>
                  </w:tcBorders>
                  <w:vAlign w:val="center"/>
                </w:tcPr>
                <w:p>
                  <w:pPr>
                    <w:widowControl/>
                    <w:spacing w:line="240" w:lineRule="auto"/>
                    <w:ind w:left="0" w:leftChars="0" w:firstLine="0" w:firstLineChars="0"/>
                    <w:jc w:val="center"/>
                    <w:textAlignment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0</w:t>
                  </w:r>
                </w:p>
              </w:tc>
              <w:tc>
                <w:tcPr>
                  <w:tcW w:w="931" w:type="pct"/>
                  <w:vMerge w:val="continue"/>
                  <w:tcBorders>
                    <w:tl2br w:val="nil"/>
                    <w:tr2bl w:val="nil"/>
                  </w:tcBorders>
                  <w:vAlign w:val="center"/>
                </w:tcPr>
                <w:p>
                  <w:pPr>
                    <w:widowControl/>
                    <w:spacing w:line="240" w:lineRule="auto"/>
                    <w:ind w:left="0" w:leftChars="0" w:firstLine="0" w:firstLineChars="0"/>
                    <w:jc w:val="center"/>
                    <w:textAlignment w:val="center"/>
                    <w:rPr>
                      <w:rFonts w:hint="default" w:ascii="Times New Roman" w:hAnsi="Times New Roman" w:cs="Times New Roman"/>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6" w:type="pct"/>
                  <w:vMerge w:val="continue"/>
                  <w:tcBorders>
                    <w:tl2br w:val="nil"/>
                    <w:tr2bl w:val="nil"/>
                  </w:tcBorders>
                  <w:vAlign w:val="center"/>
                </w:tcPr>
                <w:p>
                  <w:pPr>
                    <w:spacing w:line="240" w:lineRule="auto"/>
                    <w:ind w:left="0" w:leftChars="0" w:firstLine="0" w:firstLineChars="0"/>
                    <w:jc w:val="center"/>
                    <w:rPr>
                      <w:rFonts w:hint="default" w:ascii="Times New Roman" w:hAnsi="Times New Roman" w:cs="Times New Roman"/>
                      <w:color w:val="auto"/>
                      <w:sz w:val="21"/>
                      <w:szCs w:val="21"/>
                      <w:highlight w:val="none"/>
                    </w:rPr>
                  </w:pPr>
                </w:p>
              </w:tc>
              <w:tc>
                <w:tcPr>
                  <w:tcW w:w="1162" w:type="pct"/>
                  <w:tcBorders>
                    <w:tl2br w:val="nil"/>
                    <w:tr2bl w:val="nil"/>
                  </w:tcBorders>
                  <w:vAlign w:val="center"/>
                </w:tcPr>
                <w:p>
                  <w:pPr>
                    <w:spacing w:line="240" w:lineRule="auto"/>
                    <w:ind w:left="0" w:leftChars="0"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堆料场降尘用水</w:t>
                  </w:r>
                </w:p>
              </w:tc>
              <w:tc>
                <w:tcPr>
                  <w:tcW w:w="620" w:type="pct"/>
                  <w:tcBorders>
                    <w:tl2br w:val="nil"/>
                    <w:tr2bl w:val="nil"/>
                  </w:tcBorders>
                  <w:vAlign w:val="center"/>
                </w:tcPr>
                <w:p>
                  <w:pPr>
                    <w:widowControl/>
                    <w:spacing w:line="240" w:lineRule="auto"/>
                    <w:ind w:left="0" w:leftChars="0" w:firstLine="0" w:firstLineChars="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10</w:t>
                  </w:r>
                </w:p>
              </w:tc>
              <w:tc>
                <w:tcPr>
                  <w:tcW w:w="726" w:type="pct"/>
                  <w:tcBorders>
                    <w:tl2br w:val="nil"/>
                    <w:tr2bl w:val="nil"/>
                  </w:tcBorders>
                  <w:vAlign w:val="center"/>
                </w:tcPr>
                <w:p>
                  <w:pPr>
                    <w:widowControl/>
                    <w:spacing w:line="240" w:lineRule="auto"/>
                    <w:ind w:left="0" w:leftChars="0" w:firstLine="0" w:firstLineChars="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0</w:t>
                  </w:r>
                </w:p>
              </w:tc>
              <w:tc>
                <w:tcPr>
                  <w:tcW w:w="570" w:type="pct"/>
                  <w:tcBorders>
                    <w:tl2br w:val="nil"/>
                    <w:tr2bl w:val="nil"/>
                  </w:tcBorders>
                  <w:vAlign w:val="center"/>
                </w:tcPr>
                <w:p>
                  <w:pPr>
                    <w:widowControl/>
                    <w:spacing w:line="240" w:lineRule="auto"/>
                    <w:ind w:left="0" w:leftChars="0" w:firstLine="0" w:firstLineChars="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10</w:t>
                  </w:r>
                </w:p>
              </w:tc>
              <w:tc>
                <w:tcPr>
                  <w:tcW w:w="591" w:type="pct"/>
                  <w:tcBorders>
                    <w:tl2br w:val="nil"/>
                    <w:tr2bl w:val="nil"/>
                  </w:tcBorders>
                  <w:vAlign w:val="center"/>
                </w:tcPr>
                <w:p>
                  <w:pPr>
                    <w:widowControl/>
                    <w:spacing w:line="240" w:lineRule="auto"/>
                    <w:ind w:left="0" w:leftChars="0" w:firstLine="0" w:firstLineChars="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0</w:t>
                  </w:r>
                </w:p>
              </w:tc>
              <w:tc>
                <w:tcPr>
                  <w:tcW w:w="931" w:type="pct"/>
                  <w:vMerge w:val="continue"/>
                  <w:tcBorders>
                    <w:tl2br w:val="nil"/>
                    <w:tr2bl w:val="nil"/>
                  </w:tcBorders>
                  <w:vAlign w:val="center"/>
                </w:tcPr>
                <w:p>
                  <w:pPr>
                    <w:widowControl/>
                    <w:spacing w:line="240" w:lineRule="auto"/>
                    <w:ind w:left="0" w:leftChars="0" w:firstLine="0" w:firstLineChars="0"/>
                    <w:jc w:val="center"/>
                    <w:textAlignment w:val="center"/>
                    <w:rPr>
                      <w:rFonts w:hint="default" w:ascii="Times New Roman" w:hAnsi="Times New Roman" w:cs="Times New Roman"/>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59" w:type="pct"/>
                  <w:gridSpan w:val="2"/>
                  <w:tcBorders>
                    <w:tl2br w:val="nil"/>
                    <w:tr2bl w:val="nil"/>
                  </w:tcBorders>
                  <w:vAlign w:val="center"/>
                </w:tcPr>
                <w:p>
                  <w:pPr>
                    <w:spacing w:line="240" w:lineRule="auto"/>
                    <w:ind w:left="0" w:leftChars="0" w:firstLine="0" w:firstLineChars="0"/>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生活用水</w:t>
                  </w:r>
                </w:p>
              </w:tc>
              <w:tc>
                <w:tcPr>
                  <w:tcW w:w="620" w:type="pct"/>
                  <w:tcBorders>
                    <w:tl2br w:val="nil"/>
                    <w:tr2bl w:val="nil"/>
                  </w:tcBorders>
                  <w:vAlign w:val="center"/>
                </w:tcPr>
                <w:p>
                  <w:pPr>
                    <w:widowControl/>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1.04</w:t>
                  </w:r>
                </w:p>
              </w:tc>
              <w:tc>
                <w:tcPr>
                  <w:tcW w:w="726" w:type="pct"/>
                  <w:tcBorders>
                    <w:tl2br w:val="nil"/>
                    <w:tr2bl w:val="nil"/>
                  </w:tcBorders>
                  <w:vAlign w:val="center"/>
                </w:tcPr>
                <w:p>
                  <w:pPr>
                    <w:widowControl/>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570" w:type="pct"/>
                  <w:tcBorders>
                    <w:tl2br w:val="nil"/>
                    <w:tr2bl w:val="nil"/>
                  </w:tcBorders>
                  <w:vAlign w:val="center"/>
                </w:tcPr>
                <w:p>
                  <w:pPr>
                    <w:widowControl/>
                    <w:spacing w:line="240" w:lineRule="auto"/>
                    <w:ind w:left="0" w:lef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0.208</w:t>
                  </w:r>
                </w:p>
              </w:tc>
              <w:tc>
                <w:tcPr>
                  <w:tcW w:w="591" w:type="pct"/>
                  <w:tcBorders>
                    <w:tl2br w:val="nil"/>
                    <w:tr2bl w:val="nil"/>
                  </w:tcBorders>
                  <w:vAlign w:val="center"/>
                </w:tcPr>
                <w:p>
                  <w:pPr>
                    <w:widowControl/>
                    <w:spacing w:line="240" w:lineRule="auto"/>
                    <w:ind w:left="0" w:lef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0.832</w:t>
                  </w:r>
                </w:p>
              </w:tc>
              <w:tc>
                <w:tcPr>
                  <w:tcW w:w="931" w:type="pct"/>
                  <w:tcBorders>
                    <w:tl2br w:val="nil"/>
                    <w:tr2bl w:val="nil"/>
                  </w:tcBorders>
                  <w:vAlign w:val="center"/>
                </w:tcPr>
                <w:p>
                  <w:pPr>
                    <w:widowControl/>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highlight w:val="none"/>
                      <w:lang w:val="en-US" w:eastAsia="zh-CN" w:bidi="ar-SA"/>
                    </w:rPr>
                    <w:t>生活污水处理后回用于洒水降尘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59" w:type="pct"/>
                  <w:gridSpan w:val="2"/>
                  <w:tcBorders>
                    <w:tl2br w:val="nil"/>
                    <w:tr2bl w:val="nil"/>
                  </w:tcBorders>
                  <w:vAlign w:val="center"/>
                </w:tcPr>
                <w:p>
                  <w:pPr>
                    <w:spacing w:line="240" w:lineRule="auto"/>
                    <w:ind w:left="0" w:leftChars="0" w:firstLine="0" w:firstLineChars="0"/>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合计</w:t>
                  </w:r>
                </w:p>
              </w:tc>
              <w:tc>
                <w:tcPr>
                  <w:tcW w:w="620" w:type="pct"/>
                  <w:tcBorders>
                    <w:tl2br w:val="nil"/>
                    <w:tr2bl w:val="nil"/>
                  </w:tcBorders>
                  <w:vAlign w:val="center"/>
                </w:tcPr>
                <w:p>
                  <w:pPr>
                    <w:widowControl/>
                    <w:spacing w:line="240" w:lineRule="auto"/>
                    <w:ind w:left="0" w:lef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134.36</w:t>
                  </w:r>
                </w:p>
              </w:tc>
              <w:tc>
                <w:tcPr>
                  <w:tcW w:w="726" w:type="pct"/>
                  <w:tcBorders>
                    <w:tl2br w:val="nil"/>
                    <w:tr2bl w:val="nil"/>
                  </w:tcBorders>
                  <w:vAlign w:val="center"/>
                </w:tcPr>
                <w:p>
                  <w:pPr>
                    <w:widowControl/>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102.51</w:t>
                  </w:r>
                </w:p>
              </w:tc>
              <w:tc>
                <w:tcPr>
                  <w:tcW w:w="570" w:type="pct"/>
                  <w:tcBorders>
                    <w:tl2br w:val="nil"/>
                    <w:tr2bl w:val="nil"/>
                  </w:tcBorders>
                  <w:vAlign w:val="center"/>
                </w:tcPr>
                <w:p>
                  <w:pPr>
                    <w:widowControl/>
                    <w:spacing w:line="240" w:lineRule="auto"/>
                    <w:ind w:left="0" w:lef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30.988</w:t>
                  </w:r>
                </w:p>
              </w:tc>
              <w:tc>
                <w:tcPr>
                  <w:tcW w:w="591" w:type="pct"/>
                  <w:tcBorders>
                    <w:tl2br w:val="nil"/>
                    <w:tr2bl w:val="nil"/>
                  </w:tcBorders>
                  <w:vAlign w:val="center"/>
                </w:tcPr>
                <w:p>
                  <w:pPr>
                    <w:widowControl/>
                    <w:spacing w:line="240" w:lineRule="auto"/>
                    <w:ind w:left="0" w:lef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0.832</w:t>
                  </w:r>
                </w:p>
              </w:tc>
              <w:tc>
                <w:tcPr>
                  <w:tcW w:w="931" w:type="pct"/>
                  <w:tcBorders>
                    <w:tl2br w:val="nil"/>
                    <w:tr2bl w:val="nil"/>
                  </w:tcBorders>
                  <w:vAlign w:val="center"/>
                </w:tcPr>
                <w:p>
                  <w:pPr>
                    <w:widowControl/>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r>
          </w:tbl>
          <w:p>
            <w:pPr>
              <w:numPr>
                <w:ilvl w:val="0"/>
                <w:numId w:val="0"/>
              </w:numPr>
              <w:bidi w:val="0"/>
              <w:ind w:left="0" w:leftChars="0" w:firstLine="0" w:firstLineChars="0"/>
              <w:rPr>
                <w:rFonts w:hint="default"/>
                <w:sz w:val="24"/>
                <w:highlight w:val="none"/>
                <w:lang w:val="en-US"/>
              </w:rPr>
            </w:pPr>
            <w:r>
              <w:rPr>
                <w:sz w:val="24"/>
              </w:rPr>
              <mc:AlternateContent>
                <mc:Choice Requires="wps">
                  <w:drawing>
                    <wp:anchor distT="0" distB="0" distL="114300" distR="114300" simplePos="0" relativeHeight="251663360" behindDoc="0" locked="0" layoutInCell="1" allowOverlap="1">
                      <wp:simplePos x="0" y="0"/>
                      <wp:positionH relativeFrom="column">
                        <wp:posOffset>2669540</wp:posOffset>
                      </wp:positionH>
                      <wp:positionV relativeFrom="paragraph">
                        <wp:posOffset>3408680</wp:posOffset>
                      </wp:positionV>
                      <wp:extent cx="1179195" cy="363855"/>
                      <wp:effectExtent l="0" t="50800" r="20955" b="23495"/>
                      <wp:wrapNone/>
                      <wp:docPr id="52" name="肘形连接符 52"/>
                      <wp:cNvGraphicFramePr/>
                      <a:graphic xmlns:a="http://schemas.openxmlformats.org/drawingml/2006/main">
                        <a:graphicData uri="http://schemas.microsoft.com/office/word/2010/wordprocessingShape">
                          <wps:wsp>
                            <wps:cNvCnPr/>
                            <wps:spPr>
                              <a:xfrm rot="10800000">
                                <a:off x="4099560" y="3138805"/>
                                <a:ext cx="1179195" cy="363855"/>
                              </a:xfrm>
                              <a:prstGeom prst="bentConnector3">
                                <a:avLst>
                                  <a:gd name="adj1" fmla="val 53"/>
                                </a:avLst>
                              </a:prstGeom>
                              <a:ln>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4" type="#_x0000_t34" style="position:absolute;left:0pt;margin-left:210.2pt;margin-top:268.4pt;height:28.65pt;width:92.85pt;rotation:11796480f;z-index:251663360;mso-width-relative:page;mso-height-relative:page;" filled="f" stroked="t" coordsize="21600,21600" o:gfxdata="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fQIUI1wAAAAsBAAAPAAAAAAAAAAEAIAAAACIAAABkcnMvZG93bnJl&#10;di54bWxQSwECFAAUAAAACACHTuJA9AryfDcCAAAyBAAADgAAAAAAAAABACAAAAAmAQAAZHJzL2Uy&#10;b0RvYy54bWxQSwUGAAAAAAYABgBZAQAAzwUAAAAA&#10;" adj="11">
                      <v:fill on="f" focussize="0,0"/>
                      <v:stroke weight="1pt" color="#000000" miterlimit="8" joinstyle="miter" endarrow="open"/>
                      <v:imagedata o:title=""/>
                      <o:lock v:ext="edit" aspectratio="f"/>
                    </v:shape>
                  </w:pict>
                </mc:Fallback>
              </mc:AlternateContent>
            </w:r>
            <w:r>
              <w:rPr>
                <w:rFonts w:hint="default"/>
                <w:sz w:val="24"/>
                <w:highlight w:val="none"/>
                <w:lang w:val="en-US"/>
              </w:rPr>
              <mc:AlternateContent>
                <mc:Choice Requires="wpc">
                  <w:drawing>
                    <wp:inline distT="0" distB="0" distL="114300" distR="114300">
                      <wp:extent cx="4848860" cy="4340860"/>
                      <wp:effectExtent l="0" t="0" r="0" b="2540"/>
                      <wp:docPr id="2" name="画布 2"/>
                      <wp:cNvGraphicFramePr/>
                      <a:graphic xmlns:a="http://schemas.openxmlformats.org/drawingml/2006/main">
                        <a:graphicData uri="http://schemas.microsoft.com/office/word/2010/wordprocessingCanvas">
                          <wpc:wpc>
                            <wpc:bg/>
                            <wpc:whole/>
                            <wps:wsp>
                              <wps:cNvPr id="78" name="直接箭头连接符 4"/>
                              <wps:cNvCnPr/>
                              <wps:spPr>
                                <a:xfrm>
                                  <a:off x="113665" y="2304415"/>
                                  <a:ext cx="621030" cy="44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79" name="文本框 6"/>
                              <wps:cNvSpPr txBox="1"/>
                              <wps:spPr>
                                <a:xfrm>
                                  <a:off x="1534795" y="659130"/>
                                  <a:ext cx="1143000"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210" w:firstLineChars="100"/>
                                      <w:rPr>
                                        <w:rFonts w:hint="default" w:eastAsia="宋体"/>
                                        <w:sz w:val="21"/>
                                        <w:szCs w:val="21"/>
                                        <w:lang w:val="en-US" w:eastAsia="zh-CN"/>
                                      </w:rPr>
                                    </w:pPr>
                                    <w:r>
                                      <w:rPr>
                                        <w:rFonts w:hint="eastAsia"/>
                                        <w:sz w:val="21"/>
                                        <w:szCs w:val="21"/>
                                        <w:lang w:val="en-US" w:eastAsia="zh-CN"/>
                                      </w:rPr>
                                      <w:t>洗砂用水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1" name="文本框 8"/>
                              <wps:cNvSpPr txBox="1"/>
                              <wps:spPr>
                                <a:xfrm>
                                  <a:off x="1532255" y="1303655"/>
                                  <a:ext cx="1143000"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eastAsia="宋体"/>
                                        <w:sz w:val="21"/>
                                        <w:szCs w:val="21"/>
                                        <w:lang w:eastAsia="zh-CN"/>
                                      </w:rPr>
                                    </w:pPr>
                                    <w:r>
                                      <w:rPr>
                                        <w:rFonts w:hint="eastAsia"/>
                                        <w:sz w:val="21"/>
                                        <w:szCs w:val="21"/>
                                        <w:lang w:eastAsia="zh-CN"/>
                                      </w:rPr>
                                      <w:t>车辆冲洗水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2" name="文本框 9"/>
                              <wps:cNvSpPr txBox="1"/>
                              <wps:spPr>
                                <a:xfrm>
                                  <a:off x="1530350" y="2585085"/>
                                  <a:ext cx="1412240"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lang w:val="en-US" w:eastAsia="zh-CN"/>
                                      </w:rPr>
                                    </w:pPr>
                                    <w:r>
                                      <w:rPr>
                                        <w:rFonts w:hint="default" w:ascii="Times New Roman" w:hAnsi="Times New Roman" w:cs="Times New Roman"/>
                                        <w:color w:val="auto"/>
                                        <w:sz w:val="21"/>
                                        <w:szCs w:val="21"/>
                                        <w:highlight w:val="none"/>
                                        <w:lang w:val="en-US" w:eastAsia="zh-CN"/>
                                      </w:rPr>
                                      <w:t>开采及装卸降尘用水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9" name="直接箭头连接符 27"/>
                              <wps:cNvCnPr/>
                              <wps:spPr>
                                <a:xfrm flipV="1">
                                  <a:off x="770255" y="1486535"/>
                                  <a:ext cx="743585" cy="2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90" name="直接箭头连接符 28"/>
                              <wps:cNvCnPr/>
                              <wps:spPr>
                                <a:xfrm flipV="1">
                                  <a:off x="757555" y="2760345"/>
                                  <a:ext cx="777240" cy="69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92" name="文本框 30"/>
                              <wps:cNvSpPr txBox="1"/>
                              <wps:spPr>
                                <a:xfrm>
                                  <a:off x="895985" y="3077210"/>
                                  <a:ext cx="657860" cy="3429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sz w:val="21"/>
                                        <w:szCs w:val="21"/>
                                        <w:lang w:val="en-US" w:eastAsia="zh-CN"/>
                                      </w:rPr>
                                    </w:pPr>
                                    <w:r>
                                      <w:rPr>
                                        <w:rFonts w:hint="eastAsia"/>
                                        <w:sz w:val="21"/>
                                        <w:szCs w:val="21"/>
                                        <w:lang w:val="en-US" w:eastAsia="zh-CN"/>
                                      </w:rPr>
                                      <w:t>10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4" name="文本框 30"/>
                              <wps:cNvSpPr txBox="1"/>
                              <wps:spPr>
                                <a:xfrm>
                                  <a:off x="915670" y="1256665"/>
                                  <a:ext cx="520700" cy="336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ind w:left="0" w:leftChars="0" w:firstLine="0" w:firstLineChars="0"/>
                                      <w:rPr>
                                        <w:rFonts w:hint="default" w:eastAsia="宋体"/>
                                        <w:sz w:val="21"/>
                                        <w:szCs w:val="21"/>
                                        <w:lang w:val="en-US" w:eastAsia="zh-CN"/>
                                      </w:rPr>
                                    </w:pPr>
                                    <w:r>
                                      <w:rPr>
                                        <w:rFonts w:hint="eastAsia"/>
                                        <w:sz w:val="21"/>
                                        <w:szCs w:val="21"/>
                                        <w:lang w:val="en-US" w:eastAsia="zh-CN"/>
                                      </w:rPr>
                                      <w:t>0.6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5" name="文本框 30"/>
                              <wps:cNvSpPr txBox="1"/>
                              <wps:spPr>
                                <a:xfrm>
                                  <a:off x="848995" y="2379345"/>
                                  <a:ext cx="467360" cy="3041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sz w:val="21"/>
                                        <w:szCs w:val="21"/>
                                        <w:lang w:val="en-US" w:eastAsia="zh-CN"/>
                                      </w:rPr>
                                    </w:pPr>
                                    <w:r>
                                      <w:rPr>
                                        <w:rFonts w:hint="eastAsia"/>
                                        <w:sz w:val="21"/>
                                        <w:szCs w:val="21"/>
                                        <w:lang w:val="en-US" w:eastAsia="zh-CN"/>
                                      </w:rPr>
                                      <w:t>0.72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8" name="文本框 30"/>
                              <wps:cNvSpPr txBox="1"/>
                              <wps:spPr>
                                <a:xfrm>
                                  <a:off x="114300" y="1997075"/>
                                  <a:ext cx="581660" cy="295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sz w:val="21"/>
                                        <w:szCs w:val="21"/>
                                        <w:lang w:val="en-US" w:eastAsia="zh-CN"/>
                                      </w:rPr>
                                    </w:pPr>
                                    <w:r>
                                      <w:rPr>
                                        <w:rFonts w:hint="eastAsia"/>
                                        <w:sz w:val="21"/>
                                        <w:szCs w:val="21"/>
                                        <w:lang w:val="en-US" w:eastAsia="zh-CN"/>
                                      </w:rPr>
                                      <w:t>134.36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1" name="曲线连接符 54"/>
                              <wps:cNvCnPr/>
                              <wps:spPr>
                                <a:xfrm rot="16200000">
                                  <a:off x="1677670" y="1122680"/>
                                  <a:ext cx="149225" cy="228600"/>
                                </a:xfrm>
                                <a:prstGeom prst="curved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3" name="曲线连接符 56"/>
                              <wps:cNvCnPr/>
                              <wps:spPr>
                                <a:xfrm rot="16200000">
                                  <a:off x="1685290" y="2392045"/>
                                  <a:ext cx="149225" cy="228600"/>
                                </a:xfrm>
                                <a:prstGeom prst="curved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9" name="文本框 7"/>
                              <wps:cNvSpPr txBox="1"/>
                              <wps:spPr>
                                <a:xfrm>
                                  <a:off x="3493770" y="1301115"/>
                                  <a:ext cx="873125"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sz w:val="21"/>
                                        <w:szCs w:val="21"/>
                                        <w:lang w:val="en-US" w:eastAsia="zh-CN"/>
                                      </w:rPr>
                                    </w:pPr>
                                    <w:r>
                                      <w:rPr>
                                        <w:rFonts w:hint="eastAsia"/>
                                        <w:sz w:val="21"/>
                                        <w:szCs w:val="21"/>
                                        <w:lang w:val="en-US" w:eastAsia="zh-CN"/>
                                      </w:rPr>
                                      <w:t>沉淀池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3" name="文本框 30"/>
                              <wps:cNvSpPr txBox="1"/>
                              <wps:spPr>
                                <a:xfrm>
                                  <a:off x="2856865" y="135890"/>
                                  <a:ext cx="673735" cy="3771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sz w:val="21"/>
                                        <w:szCs w:val="21"/>
                                        <w:lang w:val="en-US" w:eastAsia="zh-CN"/>
                                      </w:rPr>
                                    </w:pPr>
                                    <w:r>
                                      <w:rPr>
                                        <w:rFonts w:hint="eastAsia"/>
                                        <w:sz w:val="21"/>
                                        <w:szCs w:val="21"/>
                                        <w:lang w:val="en-US" w:eastAsia="zh-CN"/>
                                      </w:rPr>
                                      <w:t>102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4" name="文本框 30"/>
                              <wps:cNvSpPr txBox="1"/>
                              <wps:spPr>
                                <a:xfrm>
                                  <a:off x="2913380" y="713105"/>
                                  <a:ext cx="676910" cy="295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7" name="文本框 30"/>
                              <wps:cNvSpPr txBox="1"/>
                              <wps:spPr>
                                <a:xfrm>
                                  <a:off x="2862580" y="1195070"/>
                                  <a:ext cx="504190" cy="295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sz w:val="21"/>
                                        <w:szCs w:val="21"/>
                                        <w:lang w:val="en-US" w:eastAsia="zh-CN"/>
                                      </w:rPr>
                                    </w:pPr>
                                    <w:r>
                                      <w:rPr>
                                        <w:rFonts w:hint="eastAsia"/>
                                        <w:sz w:val="21"/>
                                        <w:szCs w:val="21"/>
                                        <w:lang w:val="en-US" w:eastAsia="zh-CN"/>
                                      </w:rPr>
                                      <w:t>0.54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9" name="文本框 30"/>
                              <wps:cNvSpPr txBox="1"/>
                              <wps:spPr>
                                <a:xfrm>
                                  <a:off x="1898650" y="277495"/>
                                  <a:ext cx="429260" cy="346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sz w:val="21"/>
                                        <w:szCs w:val="21"/>
                                        <w:lang w:val="en-US" w:eastAsia="zh-CN"/>
                                      </w:rPr>
                                    </w:pPr>
                                    <w:r>
                                      <w:rPr>
                                        <w:rFonts w:hint="eastAsia"/>
                                        <w:sz w:val="21"/>
                                        <w:szCs w:val="21"/>
                                        <w:lang w:val="en-US" w:eastAsia="zh-CN"/>
                                      </w:rPr>
                                      <w:t>18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3" name="文本框 30"/>
                              <wps:cNvSpPr txBox="1"/>
                              <wps:spPr>
                                <a:xfrm>
                                  <a:off x="1892935" y="2326640"/>
                                  <a:ext cx="676910" cy="295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sz w:val="21"/>
                                        <w:szCs w:val="21"/>
                                        <w:lang w:val="en-US" w:eastAsia="zh-CN"/>
                                      </w:rPr>
                                    </w:pPr>
                                    <w:r>
                                      <w:rPr>
                                        <w:rFonts w:hint="eastAsia"/>
                                        <w:sz w:val="21"/>
                                        <w:szCs w:val="21"/>
                                        <w:lang w:val="en-US" w:eastAsia="zh-CN"/>
                                      </w:rPr>
                                      <w:t>0.72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直接箭头连接符 27"/>
                              <wps:cNvCnPr/>
                              <wps:spPr>
                                <a:xfrm>
                                  <a:off x="786130" y="2141855"/>
                                  <a:ext cx="737235" cy="19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7" name="肘形连接符 9"/>
                              <wps:cNvCnPr/>
                              <wps:spPr>
                                <a:xfrm rot="16200000" flipH="1" flipV="1">
                                  <a:off x="3160395" y="382270"/>
                                  <a:ext cx="29210" cy="1813560"/>
                                </a:xfrm>
                                <a:prstGeom prst="bentConnector3">
                                  <a:avLst>
                                    <a:gd name="adj1" fmla="val -48913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文本框 8"/>
                              <wps:cNvSpPr txBox="1"/>
                              <wps:spPr>
                                <a:xfrm>
                                  <a:off x="1513205" y="1951355"/>
                                  <a:ext cx="1143000"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eastAsia="宋体"/>
                                        <w:sz w:val="21"/>
                                        <w:szCs w:val="21"/>
                                        <w:lang w:val="en-US" w:eastAsia="zh-CN"/>
                                      </w:rPr>
                                    </w:pPr>
                                    <w:r>
                                      <w:rPr>
                                        <w:rFonts w:hint="eastAsia"/>
                                        <w:sz w:val="21"/>
                                        <w:szCs w:val="21"/>
                                        <w:lang w:val="en-US" w:eastAsia="zh-CN"/>
                                      </w:rPr>
                                      <w:t>道路洒水降尘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曲线连接符 55"/>
                              <wps:cNvCnPr/>
                              <wps:spPr>
                                <a:xfrm rot="16200000">
                                  <a:off x="1651000" y="1769745"/>
                                  <a:ext cx="149225" cy="228600"/>
                                </a:xfrm>
                                <a:prstGeom prst="curved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 name="文本框 30"/>
                              <wps:cNvSpPr txBox="1"/>
                              <wps:spPr>
                                <a:xfrm>
                                  <a:off x="902335" y="1840865"/>
                                  <a:ext cx="560070" cy="343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sz w:val="21"/>
                                        <w:szCs w:val="21"/>
                                        <w:lang w:val="en-US" w:eastAsia="zh-CN"/>
                                      </w:rPr>
                                    </w:pPr>
                                    <w:r>
                                      <w:rPr>
                                        <w:rFonts w:hint="eastAsia"/>
                                        <w:sz w:val="21"/>
                                        <w:szCs w:val="21"/>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文本框 30"/>
                              <wps:cNvSpPr txBox="1"/>
                              <wps:spPr>
                                <a:xfrm>
                                  <a:off x="1819275" y="1619885"/>
                                  <a:ext cx="588645" cy="3098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sz w:val="21"/>
                                        <w:szCs w:val="21"/>
                                        <w:lang w:val="en-US" w:eastAsia="zh-CN"/>
                                      </w:rPr>
                                    </w:pPr>
                                    <w:r>
                                      <w:rPr>
                                        <w:rFonts w:hint="eastAsia"/>
                                        <w:sz w:val="21"/>
                                        <w:szCs w:val="21"/>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文本框 30"/>
                              <wps:cNvSpPr txBox="1"/>
                              <wps:spPr>
                                <a:xfrm>
                                  <a:off x="3051810" y="3094355"/>
                                  <a:ext cx="506095" cy="3378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sz w:val="21"/>
                                        <w:szCs w:val="21"/>
                                        <w:lang w:val="en-US" w:eastAsia="zh-CN"/>
                                      </w:rPr>
                                    </w:pPr>
                                    <w:r>
                                      <w:rPr>
                                        <w:rFonts w:hint="eastAsia"/>
                                        <w:sz w:val="21"/>
                                        <w:szCs w:val="21"/>
                                        <w:lang w:val="en-US" w:eastAsia="zh-CN"/>
                                      </w:rPr>
                                      <w:t>0.832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 name="文本框 7"/>
                              <wps:cNvSpPr txBox="1"/>
                              <wps:spPr>
                                <a:xfrm>
                                  <a:off x="3319780" y="3767455"/>
                                  <a:ext cx="1139825" cy="5683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ind w:left="0" w:leftChars="0" w:firstLine="0" w:firstLineChars="0"/>
                                      <w:rPr>
                                        <w:rFonts w:hint="default" w:eastAsia="宋体"/>
                                        <w:sz w:val="21"/>
                                        <w:szCs w:val="21"/>
                                        <w:lang w:val="en-US" w:eastAsia="zh-CN"/>
                                      </w:rPr>
                                    </w:pPr>
                                    <w:r>
                                      <w:rPr>
                                        <w:rFonts w:hint="eastAsia"/>
                                        <w:sz w:val="21"/>
                                        <w:szCs w:val="21"/>
                                        <w:lang w:val="en-US" w:eastAsia="zh-CN"/>
                                      </w:rPr>
                                      <w:t>地埋式污水一体化处理设施</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直接箭头连接符 27"/>
                              <wps:cNvCnPr>
                                <a:stCxn id="81" idx="3"/>
                                <a:endCxn id="109" idx="1"/>
                              </wps:cNvCnPr>
                              <wps:spPr>
                                <a:xfrm flipV="1">
                                  <a:off x="2675255" y="1472565"/>
                                  <a:ext cx="818515" cy="2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4" name="直接箭头连接符 27"/>
                              <wps:cNvCnPr/>
                              <wps:spPr>
                                <a:xfrm flipV="1">
                                  <a:off x="2708275" y="812165"/>
                                  <a:ext cx="743585" cy="2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5" name="文本框 7"/>
                              <wps:cNvSpPr txBox="1"/>
                              <wps:spPr>
                                <a:xfrm>
                                  <a:off x="3470275" y="654050"/>
                                  <a:ext cx="873125" cy="3016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ind w:left="0" w:leftChars="0" w:firstLine="0" w:firstLineChars="0"/>
                                      <w:rPr>
                                        <w:rFonts w:hint="default" w:eastAsia="宋体"/>
                                        <w:sz w:val="21"/>
                                        <w:szCs w:val="21"/>
                                        <w:lang w:val="en-US" w:eastAsia="zh-CN"/>
                                      </w:rPr>
                                    </w:pPr>
                                    <w:r>
                                      <w:rPr>
                                        <w:rFonts w:hint="eastAsia"/>
                                        <w:sz w:val="21"/>
                                        <w:szCs w:val="21"/>
                                        <w:lang w:val="en-US" w:eastAsia="zh-CN"/>
                                      </w:rPr>
                                      <w:t>三级沉淀池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肘形连接符 9"/>
                              <wps:cNvCnPr/>
                              <wps:spPr>
                                <a:xfrm rot="16200000" flipH="1" flipV="1">
                                  <a:off x="3193415" y="-235585"/>
                                  <a:ext cx="29210" cy="1813560"/>
                                </a:xfrm>
                                <a:prstGeom prst="bentConnector3">
                                  <a:avLst>
                                    <a:gd name="adj1" fmla="val -697826"/>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7" name="文本框 30"/>
                              <wps:cNvSpPr txBox="1"/>
                              <wps:spPr>
                                <a:xfrm>
                                  <a:off x="2880995" y="854710"/>
                                  <a:ext cx="469265" cy="295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sz w:val="21"/>
                                        <w:szCs w:val="21"/>
                                        <w:lang w:val="en-US" w:eastAsia="zh-CN"/>
                                      </w:rPr>
                                    </w:pPr>
                                    <w:r>
                                      <w:rPr>
                                        <w:rFonts w:hint="eastAsia"/>
                                        <w:sz w:val="21"/>
                                        <w:szCs w:val="21"/>
                                        <w:lang w:val="en-US" w:eastAsia="zh-CN"/>
                                      </w:rPr>
                                      <w:t>0.54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曲线连接符 54"/>
                              <wps:cNvCnPr/>
                              <wps:spPr>
                                <a:xfrm rot="16200000">
                                  <a:off x="1737995" y="439420"/>
                                  <a:ext cx="149225" cy="228600"/>
                                </a:xfrm>
                                <a:prstGeom prst="curved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9" name="文本框 30"/>
                              <wps:cNvSpPr txBox="1"/>
                              <wps:spPr>
                                <a:xfrm>
                                  <a:off x="1808480" y="942340"/>
                                  <a:ext cx="469265" cy="295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sz w:val="21"/>
                                        <w:szCs w:val="21"/>
                                        <w:lang w:val="en-US" w:eastAsia="zh-CN"/>
                                      </w:rPr>
                                    </w:pPr>
                                    <w:r>
                                      <w:rPr>
                                        <w:rFonts w:hint="eastAsia"/>
                                        <w:sz w:val="21"/>
                                        <w:szCs w:val="21"/>
                                        <w:lang w:val="en-US" w:eastAsia="zh-CN"/>
                                      </w:rPr>
                                      <w:t>0.06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0" name="文本框 30"/>
                              <wps:cNvSpPr txBox="1"/>
                              <wps:spPr>
                                <a:xfrm>
                                  <a:off x="2846705" y="560705"/>
                                  <a:ext cx="673735" cy="3771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sz w:val="21"/>
                                        <w:szCs w:val="21"/>
                                        <w:lang w:val="en-US" w:eastAsia="zh-CN"/>
                                      </w:rPr>
                                    </w:pPr>
                                    <w:r>
                                      <w:rPr>
                                        <w:rFonts w:hint="eastAsia"/>
                                        <w:sz w:val="21"/>
                                        <w:szCs w:val="21"/>
                                        <w:lang w:val="en-US" w:eastAsia="zh-CN"/>
                                      </w:rPr>
                                      <w:t>102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1" name="直接箭头连接符 27"/>
                              <wps:cNvCnPr/>
                              <wps:spPr>
                                <a:xfrm flipV="1">
                                  <a:off x="2667635" y="4077970"/>
                                  <a:ext cx="641985" cy="50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6" name="文本框 9"/>
                              <wps:cNvSpPr txBox="1"/>
                              <wps:spPr>
                                <a:xfrm>
                                  <a:off x="1527175" y="3891280"/>
                                  <a:ext cx="1143000"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eastAsia="宋体"/>
                                        <w:sz w:val="21"/>
                                        <w:szCs w:val="21"/>
                                        <w:lang w:val="en-US" w:eastAsia="zh-CN"/>
                                      </w:rPr>
                                    </w:pPr>
                                    <w:r>
                                      <w:rPr>
                                        <w:rFonts w:hint="eastAsia"/>
                                        <w:sz w:val="21"/>
                                        <w:szCs w:val="21"/>
                                        <w:lang w:val="en-US" w:eastAsia="zh-CN"/>
                                      </w:rPr>
                                      <w:t>生活用水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文本框 9"/>
                              <wps:cNvSpPr txBox="1"/>
                              <wps:spPr>
                                <a:xfrm>
                                  <a:off x="1509395" y="3209925"/>
                                  <a:ext cx="1143000"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eastAsia="宋体"/>
                                        <w:sz w:val="21"/>
                                        <w:szCs w:val="21"/>
                                        <w:lang w:val="en-US" w:eastAsia="zh-CN"/>
                                      </w:rPr>
                                    </w:pPr>
                                    <w:r>
                                      <w:rPr>
                                        <w:rFonts w:hint="default" w:ascii="Times New Roman" w:hAnsi="Times New Roman" w:cs="Times New Roman"/>
                                        <w:color w:val="auto"/>
                                        <w:sz w:val="21"/>
                                        <w:szCs w:val="21"/>
                                        <w:highlight w:val="none"/>
                                        <w:lang w:val="en-US" w:eastAsia="zh-CN"/>
                                      </w:rPr>
                                      <w:t>堆料场降尘用水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曲线连接符 56"/>
                              <wps:cNvCnPr/>
                              <wps:spPr>
                                <a:xfrm rot="16200000">
                                  <a:off x="1724025" y="3703955"/>
                                  <a:ext cx="149225" cy="228600"/>
                                </a:xfrm>
                                <a:prstGeom prst="curved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 name="曲线连接符 56"/>
                              <wps:cNvCnPr/>
                              <wps:spPr>
                                <a:xfrm rot="16200000">
                                  <a:off x="1760855" y="3039745"/>
                                  <a:ext cx="149225" cy="228600"/>
                                </a:xfrm>
                                <a:prstGeom prst="curved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 name="文本框 30"/>
                              <wps:cNvSpPr txBox="1"/>
                              <wps:spPr>
                                <a:xfrm>
                                  <a:off x="833120" y="3771900"/>
                                  <a:ext cx="676910" cy="295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sz w:val="21"/>
                                        <w:szCs w:val="21"/>
                                        <w:lang w:val="en-US" w:eastAsia="zh-CN"/>
                                      </w:rPr>
                                    </w:pPr>
                                    <w:r>
                                      <w:rPr>
                                        <w:rFonts w:hint="eastAsia"/>
                                        <w:sz w:val="21"/>
                                        <w:szCs w:val="21"/>
                                        <w:lang w:val="en-US" w:eastAsia="zh-CN"/>
                                      </w:rPr>
                                      <w:t>1.04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文本框 30"/>
                              <wps:cNvSpPr txBox="1"/>
                              <wps:spPr>
                                <a:xfrm>
                                  <a:off x="1876425" y="3556635"/>
                                  <a:ext cx="676910" cy="295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sz w:val="21"/>
                                        <w:szCs w:val="21"/>
                                        <w:lang w:val="en-US" w:eastAsia="zh-CN"/>
                                      </w:rPr>
                                    </w:pPr>
                                    <w:r>
                                      <w:rPr>
                                        <w:rFonts w:hint="eastAsia"/>
                                        <w:sz w:val="21"/>
                                        <w:szCs w:val="21"/>
                                        <w:lang w:val="en-US" w:eastAsia="zh-CN"/>
                                      </w:rPr>
                                      <w:t>1.04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文本框 30"/>
                              <wps:cNvSpPr txBox="1"/>
                              <wps:spPr>
                                <a:xfrm>
                                  <a:off x="1885950" y="2893695"/>
                                  <a:ext cx="676910" cy="295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sz w:val="21"/>
                                        <w:szCs w:val="21"/>
                                        <w:lang w:val="en-US" w:eastAsia="zh-CN"/>
                                      </w:rPr>
                                    </w:pPr>
                                    <w:r>
                                      <w:rPr>
                                        <w:rFonts w:hint="eastAsia"/>
                                        <w:sz w:val="21"/>
                                        <w:szCs w:val="21"/>
                                        <w:lang w:val="en-US" w:eastAsia="zh-CN"/>
                                      </w:rPr>
                                      <w:t>10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肘形连接符 32"/>
                              <wps:cNvCnPr>
                                <a:stCxn id="79" idx="1"/>
                                <a:endCxn id="6" idx="1"/>
                              </wps:cNvCnPr>
                              <wps:spPr>
                                <a:xfrm rot="10800000" flipV="1">
                                  <a:off x="1527175" y="830580"/>
                                  <a:ext cx="7620" cy="3232150"/>
                                </a:xfrm>
                                <a:prstGeom prst="bentConnector3">
                                  <a:avLst>
                                    <a:gd name="adj1" fmla="val 10191666"/>
                                  </a:avLst>
                                </a:prstGeom>
                                <a:ln>
                                  <a:solidFill>
                                    <a:schemeClr val="tx1"/>
                                  </a:solidFill>
                                  <a:headEnd type="arrow"/>
                                  <a:tailEnd type="arrow"/>
                                </a:ln>
                              </wps:spPr>
                              <wps:style>
                                <a:lnRef idx="2">
                                  <a:schemeClr val="accent1"/>
                                </a:lnRef>
                                <a:fillRef idx="0">
                                  <a:srgbClr val="FFFFFF"/>
                                </a:fillRef>
                                <a:effectRef idx="0">
                                  <a:srgbClr val="FFFFFF"/>
                                </a:effectRef>
                                <a:fontRef idx="minor">
                                  <a:schemeClr val="tx1"/>
                                </a:fontRef>
                              </wps:style>
                              <wps:bodyPr/>
                            </wps:wsp>
                            <wps:wsp>
                              <wps:cNvPr id="35" name="直接箭头连接符 27"/>
                              <wps:cNvCnPr/>
                              <wps:spPr>
                                <a:xfrm>
                                  <a:off x="758190" y="3397885"/>
                                  <a:ext cx="737235" cy="19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37" name="文本框 30"/>
                              <wps:cNvSpPr txBox="1"/>
                              <wps:spPr>
                                <a:xfrm>
                                  <a:off x="873760" y="539750"/>
                                  <a:ext cx="520700" cy="336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ind w:left="0" w:leftChars="0" w:firstLine="0" w:firstLineChars="0"/>
                                      <w:rPr>
                                        <w:rFonts w:hint="default" w:eastAsia="宋体"/>
                                        <w:sz w:val="21"/>
                                        <w:szCs w:val="21"/>
                                        <w:lang w:val="en-US" w:eastAsia="zh-CN"/>
                                      </w:rPr>
                                    </w:pPr>
                                    <w:r>
                                      <w:rPr>
                                        <w:rFonts w:hint="eastAsia"/>
                                        <w:sz w:val="21"/>
                                        <w:szCs w:val="21"/>
                                        <w:lang w:val="en-US" w:eastAsia="zh-CN"/>
                                      </w:rPr>
                                      <w:t>120</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341.8pt;width:381.8pt;" coordsize="4848860,4340860" editas="canvas" o:gfxdata="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">
                      <o:lock v:ext="edit" aspectratio="f"/>
                      <v:shape id="_x0000_s1026" o:spid="_x0000_s1026" style="position:absolute;left:0;top:0;height:4340860;width:4848860;" filled="f" stroked="f" coordsize="21600,21600" o:gfxdata="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">
                        <v:fill on="f" focussize="0,0"/>
                        <v:stroke on="f"/>
                        <v:imagedata o:title=""/>
                        <o:lock v:ext="edit" aspectratio="f"/>
                      </v:shape>
                      <v:shape id="直接箭头连接符 4" o:spid="_x0000_s1026" o:spt="32" type="#_x0000_t32" style="position:absolute;left:113665;top:2304415;height:4445;width:621030;" filled="f" stroked="t" coordsize="21600,21600" o:gfxdata="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vUjAnVAAAABQEA&#10;AA8AAAAAAAAAAQAgAAAAIgAAAGRycy9kb3ducmV2LnhtbFBLAQIUABQAAAAIAIdO4kCjTfN1HQIA&#10;AP4DAAAOAAAAAAAAAAEAIAAAACQBAABkcnMvZTJvRG9jLnhtbFBLBQYAAAAABgAGAFkBAACzBQAA&#10;AAA=&#10;">
                        <v:fill on="f" focussize="0,0"/>
                        <v:stroke weight="0.5pt" color="#000000 [3200]" miterlimit="8" joinstyle="miter" endarrow="open"/>
                        <v:imagedata o:title=""/>
                        <o:lock v:ext="edit" aspectratio="f"/>
                      </v:shape>
                      <v:shape id="文本框 6" o:spid="_x0000_s1026" o:spt="202" type="#_x0000_t202" style="position:absolute;left:1534795;top:659130;height:342900;width:1143000;" fillcolor="#FFFFFF [3201]" filled="t" stroked="t" coordsize="21600,21600" o:gfxdata="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PC&#10;yOXSAAAABQEAAA8AAAAAAAAAAQAgAAAAIgAAAGRycy9kb3ducmV2LnhtbFBLAQIUABQAAAAIAIdO&#10;4kACEOh8YgIAAMMEAAAOAAAAAAAAAAEAIAAAACEBAABkcnMvZTJvRG9jLnhtbFBLBQYAAAAABgAG&#10;AFkBAAD1BQAAAAA=&#10;">
                        <v:fill on="t" focussize="0,0"/>
                        <v:stroke weight="0.5pt" color="#000000 [3204]" joinstyle="round"/>
                        <v:imagedata o:title=""/>
                        <o:lock v:ext="edit" aspectratio="f"/>
                        <v:textbox>
                          <w:txbxContent>
                            <w:p>
                              <w:pPr>
                                <w:ind w:left="0" w:leftChars="0" w:firstLine="210" w:firstLineChars="100"/>
                                <w:rPr>
                                  <w:rFonts w:hint="default" w:eastAsia="宋体"/>
                                  <w:sz w:val="21"/>
                                  <w:szCs w:val="21"/>
                                  <w:lang w:val="en-US" w:eastAsia="zh-CN"/>
                                </w:rPr>
                              </w:pPr>
                              <w:r>
                                <w:rPr>
                                  <w:rFonts w:hint="eastAsia"/>
                                  <w:sz w:val="21"/>
                                  <w:szCs w:val="21"/>
                                  <w:lang w:val="en-US" w:eastAsia="zh-CN"/>
                                </w:rPr>
                                <w:t>洗砂用水</w:t>
                              </w:r>
                            </w:p>
                          </w:txbxContent>
                        </v:textbox>
                      </v:shape>
                      <v:shape id="文本框 8" o:spid="_x0000_s1026" o:spt="202" type="#_x0000_t202" style="position:absolute;left:1532255;top:1303655;height:342900;width:1143000;" fillcolor="#FFFFFF [3201]" filled="t" stroked="t" coordsize="21600,21600" o:gfxdata="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PC&#10;yOXSAAAABQEAAA8AAAAAAAAAAQAgAAAAIgAAAGRycy9kb3ducmV2LnhtbFBLAQIUABQAAAAIAIdO&#10;4kBBU9JqYgIAAMQEAAAOAAAAAAAAAAEAIAAAACEBAABkcnMvZTJvRG9jLnhtbFBLBQYAAAAABgAG&#10;AFkBAAD1BQAAAAA=&#10;">
                        <v:fill on="t" focussize="0,0"/>
                        <v:stroke weight="0.5pt" color="#000000 [3204]" joinstyle="round"/>
                        <v:imagedata o:title=""/>
                        <o:lock v:ext="edit" aspectratio="f"/>
                        <v:textbox>
                          <w:txbxContent>
                            <w:p>
                              <w:pPr>
                                <w:ind w:left="0" w:leftChars="0" w:firstLine="0" w:firstLineChars="0"/>
                                <w:jc w:val="center"/>
                                <w:rPr>
                                  <w:rFonts w:hint="eastAsia" w:eastAsia="宋体"/>
                                  <w:sz w:val="21"/>
                                  <w:szCs w:val="21"/>
                                  <w:lang w:eastAsia="zh-CN"/>
                                </w:rPr>
                              </w:pPr>
                              <w:r>
                                <w:rPr>
                                  <w:rFonts w:hint="eastAsia"/>
                                  <w:sz w:val="21"/>
                                  <w:szCs w:val="21"/>
                                  <w:lang w:eastAsia="zh-CN"/>
                                </w:rPr>
                                <w:t>车辆冲洗水</w:t>
                              </w:r>
                            </w:p>
                          </w:txbxContent>
                        </v:textbox>
                      </v:shape>
                      <v:shape id="文本框 9" o:spid="_x0000_s1026" o:spt="202" type="#_x0000_t202" style="position:absolute;left:1530350;top:2585085;height:342900;width:1412240;" fillcolor="#FFFFFF [3201]" filled="t" stroked="t" coordsize="21600,21600" o:gfxdata="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j&#10;wsjl0gAAAAUBAAAPAAAAAAAAAAEAIAAAACIAAABkcnMvZG93bnJldi54bWxQSwECFAAUAAAACACH&#10;TuJAv7c8jGMCAADEBAAADgAAAAAAAAABACAAAAAhAQAAZHJzL2Uyb0RvYy54bWxQSwUGAAAAAAYA&#10;BgBZAQAA9gUAAAAA&#10;">
                        <v:fill on="t" focussize="0,0"/>
                        <v:stroke weight="0.5pt" color="#000000 [3204]" joinstyle="round"/>
                        <v:imagedata o:title=""/>
                        <o:lock v:ext="edit" aspectratio="f"/>
                        <v:textbox>
                          <w:txbxContent>
                            <w:p>
                              <w:pPr>
                                <w:ind w:left="0" w:leftChars="0" w:firstLine="0" w:firstLineChars="0"/>
                                <w:rPr>
                                  <w:rFonts w:hint="default"/>
                                  <w:lang w:val="en-US" w:eastAsia="zh-CN"/>
                                </w:rPr>
                              </w:pPr>
                              <w:r>
                                <w:rPr>
                                  <w:rFonts w:hint="default" w:ascii="Times New Roman" w:hAnsi="Times New Roman" w:cs="Times New Roman"/>
                                  <w:color w:val="auto"/>
                                  <w:sz w:val="21"/>
                                  <w:szCs w:val="21"/>
                                  <w:highlight w:val="none"/>
                                  <w:lang w:val="en-US" w:eastAsia="zh-CN"/>
                                </w:rPr>
                                <w:t>开采及装卸降尘用水</w:t>
                              </w:r>
                            </w:p>
                          </w:txbxContent>
                        </v:textbox>
                      </v:shape>
                      <v:shape id="直接箭头连接符 27" o:spid="_x0000_s1026" o:spt="32" type="#_x0000_t32" style="position:absolute;left:770255;top:1486535;flip:y;height:2540;width:743585;" filled="f" stroked="t" coordsize="21600,21600" o:gfxdata="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9/Q&#10;7tUAAAAFAQAADwAAAAAAAAABACAAAAAiAAAAZHJzL2Rvd25yZXYueG1sUEsBAhQAFAAAAAgAh07i&#10;QJXq1gElAgAACQQAAA4AAAAAAAAAAQAgAAAAJAEAAGRycy9lMm9Eb2MueG1sUEsFBgAAAAAGAAYA&#10;WQEAALsFAAAAAA==&#10;">
                        <v:fill on="f" focussize="0,0"/>
                        <v:stroke weight="0.5pt" color="#000000 [3200]" miterlimit="8" joinstyle="miter" endarrow="open"/>
                        <v:imagedata o:title=""/>
                        <o:lock v:ext="edit" aspectratio="f"/>
                      </v:shape>
                      <v:shape id="直接箭头连接符 28" o:spid="_x0000_s1026" o:spt="32" type="#_x0000_t32" style="position:absolute;left:757555;top:2760345;flip:y;height:6985;width:777240;" filled="f" stroked="t" coordsize="21600,21600" o:gfxdata="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9/Q&#10;7tUAAAAFAQAADwAAAAAAAAABACAAAAAiAAAAZHJzL2Rvd25yZXYueG1sUEsBAhQAFAAAAAgAh07i&#10;QN8TmfwlAgAACQQAAA4AAAAAAAAAAQAgAAAAJAEAAGRycy9lMm9Eb2MueG1sUEsFBgAAAAAGAAYA&#10;WQEAALsFAAAAAA==&#10;">
                        <v:fill on="f" focussize="0,0"/>
                        <v:stroke weight="0.5pt" color="#000000 [3200]" miterlimit="8" joinstyle="miter" endarrow="open"/>
                        <v:imagedata o:title=""/>
                        <o:lock v:ext="edit" aspectratio="f"/>
                      </v:shape>
                      <v:shape id="文本框 30" o:spid="_x0000_s1026" o:spt="202" type="#_x0000_t202" style="position:absolute;left:895985;top:3077210;height:342900;width:657860;" filled="f" stroked="f" coordsize="21600,21600" o:gfxdata="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w1CHz1gAAAAUBAAAPAAAAAAAAAAEAIAAA&#10;ACIAAABkcnMvZG93bnJldi54bWxQSwECFAAUAAAACACHTuJAksMtHUcCAAByBAAADgAAAAAAAAAB&#10;ACAAAAAlAQAAZHJzL2Uyb0RvYy54bWxQSwUGAAAAAAYABgBZAQAA3gUAAAAA&#10;">
                        <v:fill on="f" focussize="0,0"/>
                        <v:stroke on="f" weight="0.5pt"/>
                        <v:imagedata o:title=""/>
                        <o:lock v:ext="edit" aspectratio="f"/>
                        <v:textbox>
                          <w:txbxContent>
                            <w:p>
                              <w:pPr>
                                <w:ind w:left="0" w:leftChars="0" w:firstLine="0" w:firstLineChars="0"/>
                                <w:rPr>
                                  <w:rFonts w:hint="default" w:eastAsia="宋体"/>
                                  <w:sz w:val="21"/>
                                  <w:szCs w:val="21"/>
                                  <w:lang w:val="en-US" w:eastAsia="zh-CN"/>
                                </w:rPr>
                              </w:pPr>
                              <w:r>
                                <w:rPr>
                                  <w:rFonts w:hint="eastAsia"/>
                                  <w:sz w:val="21"/>
                                  <w:szCs w:val="21"/>
                                  <w:lang w:val="en-US" w:eastAsia="zh-CN"/>
                                </w:rPr>
                                <w:t>10</w:t>
                              </w:r>
                            </w:p>
                          </w:txbxContent>
                        </v:textbox>
                      </v:shape>
                      <v:shape id="文本框 30" o:spid="_x0000_s1026" o:spt="202" type="#_x0000_t202" style="position:absolute;left:915670;top:1256665;height:336550;width:520700;" filled="f" stroked="f" coordsize="21600,21600" o:gfxdata="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8NQh89YAAAAFAQAADwAAAAAAAAABACAAAAAi&#10;AAAAZHJzL2Rvd25yZXYueG1sUEsBAhQAFAAAAAgAh07iQEHrnldFAgAAcgQAAA4AAAAAAAAAAQAg&#10;AAAAJQEAAGRycy9lMm9Eb2MueG1sUEsFBgAAAAAGAAYAWQEAANwFAAAAAA==&#10;">
                        <v:fill on="f" focussize="0,0"/>
                        <v:stroke on="f" weight="0.5pt"/>
                        <v:imagedata o:title=""/>
                        <o:lock v:ext="edit" aspectratio="f"/>
                        <v:textbox>
                          <w:txbxContent>
                            <w:p>
                              <w:pPr>
                                <w:spacing w:line="240" w:lineRule="auto"/>
                                <w:ind w:left="0" w:leftChars="0" w:firstLine="0" w:firstLineChars="0"/>
                                <w:rPr>
                                  <w:rFonts w:hint="default" w:eastAsia="宋体"/>
                                  <w:sz w:val="21"/>
                                  <w:szCs w:val="21"/>
                                  <w:lang w:val="en-US" w:eastAsia="zh-CN"/>
                                </w:rPr>
                              </w:pPr>
                              <w:r>
                                <w:rPr>
                                  <w:rFonts w:hint="eastAsia"/>
                                  <w:sz w:val="21"/>
                                  <w:szCs w:val="21"/>
                                  <w:lang w:val="en-US" w:eastAsia="zh-CN"/>
                                </w:rPr>
                                <w:t>0.6</w:t>
                              </w:r>
                            </w:p>
                          </w:txbxContent>
                        </v:textbox>
                      </v:shape>
                      <v:shape id="文本框 30" o:spid="_x0000_s1026" o:spt="202" type="#_x0000_t202" style="position:absolute;left:848995;top:2379345;height:304165;width:467360;" filled="f" stroked="f" coordsize="21600,21600" o:gfxdata="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8NQh89YAAAAFAQAADwAAAAAAAAABACAA&#10;AAAiAAAAZHJzL2Rvd25yZXYueG1sUEsBAhQAFAAAAAgAh07iQGS/Xm9IAgAAcgQAAA4AAAAAAAAA&#10;AQAgAAAAJQEAAGRycy9lMm9Eb2MueG1sUEsFBgAAAAAGAAYAWQEAAN8FAAAAAA==&#10;">
                        <v:fill on="f" focussize="0,0"/>
                        <v:stroke on="f" weight="0.5pt"/>
                        <v:imagedata o:title=""/>
                        <o:lock v:ext="edit" aspectratio="f"/>
                        <v:textbox>
                          <w:txbxContent>
                            <w:p>
                              <w:pPr>
                                <w:ind w:left="0" w:leftChars="0" w:firstLine="0" w:firstLineChars="0"/>
                                <w:rPr>
                                  <w:rFonts w:hint="default" w:eastAsia="宋体"/>
                                  <w:sz w:val="21"/>
                                  <w:szCs w:val="21"/>
                                  <w:lang w:val="en-US" w:eastAsia="zh-CN"/>
                                </w:rPr>
                              </w:pPr>
                              <w:r>
                                <w:rPr>
                                  <w:rFonts w:hint="eastAsia"/>
                                  <w:sz w:val="21"/>
                                  <w:szCs w:val="21"/>
                                  <w:lang w:val="en-US" w:eastAsia="zh-CN"/>
                                </w:rPr>
                                <w:t>0.72</w:t>
                              </w:r>
                            </w:p>
                          </w:txbxContent>
                        </v:textbox>
                      </v:shape>
                      <v:shape id="文本框 30" o:spid="_x0000_s1026" o:spt="202" type="#_x0000_t202" style="position:absolute;left:114300;top:1997075;height:295275;width:581660;" filled="f" stroked="f" coordsize="21600,21600" o:gfxdata="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8NQh89YAAAAFAQAADwAAAAAAAAABACAAAAAi&#10;AAAAZHJzL2Rvd25yZXYueG1sUEsBAhQAFAAAAAgAh07iQDAehXBFAgAAcgQAAA4AAAAAAAAAAQAg&#10;AAAAJQEAAGRycy9lMm9Eb2MueG1sUEsFBgAAAAAGAAYAWQEAANwFAAAAAA==&#10;">
                        <v:fill on="f" focussize="0,0"/>
                        <v:stroke on="f" weight="0.5pt"/>
                        <v:imagedata o:title=""/>
                        <o:lock v:ext="edit" aspectratio="f"/>
                        <v:textbox>
                          <w:txbxContent>
                            <w:p>
                              <w:pPr>
                                <w:ind w:left="0" w:leftChars="0" w:firstLine="0" w:firstLineChars="0"/>
                                <w:rPr>
                                  <w:rFonts w:hint="default" w:eastAsia="宋体"/>
                                  <w:sz w:val="21"/>
                                  <w:szCs w:val="21"/>
                                  <w:lang w:val="en-US" w:eastAsia="zh-CN"/>
                                </w:rPr>
                              </w:pPr>
                              <w:r>
                                <w:rPr>
                                  <w:rFonts w:hint="eastAsia"/>
                                  <w:sz w:val="21"/>
                                  <w:szCs w:val="21"/>
                                  <w:lang w:val="en-US" w:eastAsia="zh-CN"/>
                                </w:rPr>
                                <w:t>134.36</w:t>
                              </w:r>
                            </w:p>
                          </w:txbxContent>
                        </v:textbox>
                      </v:shape>
                      <v:shape id="曲线连接符 54" o:spid="_x0000_s1026" o:spt="37" type="#_x0000_t37" style="position:absolute;left:1677670;top:1122680;height:228600;width:149225;rotation:-5898240f;" filled="f" stroked="t" coordsize="21600,21600" o:gfxdata="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y0ntvWAAAABQEAAA8A&#10;AAAAAAAAAQAgAAAAIgAAAGRycy9kb3ducmV2LnhtbFBLAQIUABQAAAAIAIdO4kA8IdC1GQIAAPgD&#10;AAAOAAAAAAAAAAEAIAAAACUBAABkcnMvZTJvRG9jLnhtbFBLBQYAAAAABgAGAFkBAACwBQAAAAA=&#10;">
                        <v:fill on="f" focussize="0,0"/>
                        <v:stroke weight="0.5pt" color="#000000 [3213]" miterlimit="8" joinstyle="miter" endarrow="open"/>
                        <v:imagedata o:title=""/>
                        <o:lock v:ext="edit" aspectratio="f"/>
                      </v:shape>
                      <v:shape id="曲线连接符 56" o:spid="_x0000_s1026" o:spt="37" type="#_x0000_t37" style="position:absolute;left:1685290;top:2392045;height:228600;width:149225;rotation:-5898240f;" filled="f" stroked="t" coordsize="21600,21600" o:gfxdata="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y0ntvWAAAABQEAAA8A&#10;AAAAAAAAAQAgAAAAIgAAAGRycy9kb3ducmV2LnhtbFBLAQIUABQAAAAIAIdO4kCPZp75GQIAAPgD&#10;AAAOAAAAAAAAAAEAIAAAACUBAABkcnMvZTJvRG9jLnhtbFBLBQYAAAAABgAGAFkBAACwBQAAAAA=&#10;">
                        <v:fill on="f" focussize="0,0"/>
                        <v:stroke weight="0.5pt" color="#000000 [3213]" miterlimit="8" joinstyle="miter" endarrow="open"/>
                        <v:imagedata o:title=""/>
                        <o:lock v:ext="edit" aspectratio="f"/>
                      </v:shape>
                      <v:shape id="文本框 7" o:spid="_x0000_s1026" o:spt="202" type="#_x0000_t202" style="position:absolute;left:3493770;top:1301115;height:342900;width:873125;" fillcolor="#FFFFFF [3201]" filled="t" stroked="t" coordsize="21600,21600" o:gfxdata="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jwsjl0gAAAAUBAAAPAAAAAAAAAAEAIAAAACIAAABkcnMvZG93bnJldi54bWxQSwECFAAUAAAA&#10;CACHTuJAHRNPPWYCAADEBAAADgAAAAAAAAABACAAAAAhAQAAZHJzL2Uyb0RvYy54bWxQSwUGAAAA&#10;AAYABgBZAQAA+QUAAAAA&#10;">
                        <v:fill on="t" focussize="0,0"/>
                        <v:stroke weight="0.5pt" color="#000000 [3204]" joinstyle="round"/>
                        <v:imagedata o:title=""/>
                        <o:lock v:ext="edit" aspectratio="f"/>
                        <v:textbox>
                          <w:txbxContent>
                            <w:p>
                              <w:pPr>
                                <w:ind w:left="0" w:leftChars="0" w:firstLine="0" w:firstLineChars="0"/>
                                <w:rPr>
                                  <w:rFonts w:hint="default" w:eastAsia="宋体"/>
                                  <w:sz w:val="21"/>
                                  <w:szCs w:val="21"/>
                                  <w:lang w:val="en-US" w:eastAsia="zh-CN"/>
                                </w:rPr>
                              </w:pPr>
                              <w:r>
                                <w:rPr>
                                  <w:rFonts w:hint="eastAsia"/>
                                  <w:sz w:val="21"/>
                                  <w:szCs w:val="21"/>
                                  <w:lang w:val="en-US" w:eastAsia="zh-CN"/>
                                </w:rPr>
                                <w:t>沉淀池</w:t>
                              </w:r>
                            </w:p>
                          </w:txbxContent>
                        </v:textbox>
                      </v:shape>
                      <v:shape id="文本框 30" o:spid="_x0000_s1026" o:spt="202" type="#_x0000_t202" style="position:absolute;left:2856865;top:135890;height:377190;width:673735;" filled="f" stroked="f" coordsize="21600,21600" o:gfxdata="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DUIfPWAAAABQEAAA8AAAAAAAAAAQAgAAAA&#10;IgAAAGRycy9kb3ducmV2LnhtbFBLAQIUABQAAAAIAIdO4kBSR55nRgIAAHMEAAAOAAAAAAAAAAEA&#10;IAAAACUBAABkcnMvZTJvRG9jLnhtbFBLBQYAAAAABgAGAFkBAADdBQAAAAA=&#10;">
                        <v:fill on="f" focussize="0,0"/>
                        <v:stroke on="f" weight="0.5pt"/>
                        <v:imagedata o:title=""/>
                        <o:lock v:ext="edit" aspectratio="f"/>
                        <v:textbox>
                          <w:txbxContent>
                            <w:p>
                              <w:pPr>
                                <w:ind w:left="0" w:leftChars="0" w:firstLine="0" w:firstLineChars="0"/>
                                <w:rPr>
                                  <w:rFonts w:hint="default" w:eastAsia="宋体"/>
                                  <w:sz w:val="21"/>
                                  <w:szCs w:val="21"/>
                                  <w:lang w:val="en-US" w:eastAsia="zh-CN"/>
                                </w:rPr>
                              </w:pPr>
                              <w:r>
                                <w:rPr>
                                  <w:rFonts w:hint="eastAsia"/>
                                  <w:sz w:val="21"/>
                                  <w:szCs w:val="21"/>
                                  <w:lang w:val="en-US" w:eastAsia="zh-CN"/>
                                </w:rPr>
                                <w:t>102</w:t>
                              </w:r>
                            </w:p>
                          </w:txbxContent>
                        </v:textbox>
                      </v:shape>
                      <v:shape id="文本框 30" o:spid="_x0000_s1026" o:spt="202" type="#_x0000_t202" style="position:absolute;left:2913380;top:713105;height:295275;width:676910;" filled="f" stroked="f" coordsize="21600,21600" o:gfxdata="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w1CHz1gAAAAUBAAAPAAAAAAAAAAEAIAAA&#10;ACIAAABkcnMvZG93bnJldi54bWxQSwECFAAUAAAACACHTuJAYuKn7UcCAABzBAAADgAAAAAAAAAB&#10;ACAAAAAlAQAAZHJzL2Uyb0RvYy54bWxQSwUGAAAAAAYABgBZAQAA3gUAAAAA&#10;">
                        <v:fill on="f" focussize="0,0"/>
                        <v:stroke on="f" weight="0.5pt"/>
                        <v:imagedata o:title=""/>
                        <o:lock v:ext="edit" aspectratio="f"/>
                        <v:textbox>
                          <w:txbxContent>
                            <w:p>
                              <w:pPr>
                                <w:rPr>
                                  <w:rFonts w:hint="default"/>
                                  <w:lang w:val="en-US" w:eastAsia="zh-CN"/>
                                </w:rPr>
                              </w:pPr>
                            </w:p>
                          </w:txbxContent>
                        </v:textbox>
                      </v:shape>
                      <v:shape id="文本框 30" o:spid="_x0000_s1026" o:spt="202" type="#_x0000_t202" style="position:absolute;left:2862580;top:1195070;height:295275;width:504190;" filled="f" stroked="f" coordsize="21600,21600" o:gfxdata="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w1CHz1gAAAAUBAAAPAAAAAAAAAAEAIAAA&#10;ACIAAABkcnMvZG93bnJldi54bWxQSwECFAAUAAAACACHTuJAVkGoGkcCAAB0BAAADgAAAAAAAAAB&#10;ACAAAAAlAQAAZHJzL2Uyb0RvYy54bWxQSwUGAAAAAAYABgBZAQAA3gUAAAAA&#10;">
                        <v:fill on="f" focussize="0,0"/>
                        <v:stroke on="f" weight="0.5pt"/>
                        <v:imagedata o:title=""/>
                        <o:lock v:ext="edit" aspectratio="f"/>
                        <v:textbox>
                          <w:txbxContent>
                            <w:p>
                              <w:pPr>
                                <w:ind w:left="0" w:leftChars="0" w:firstLine="0" w:firstLineChars="0"/>
                                <w:rPr>
                                  <w:rFonts w:hint="default" w:eastAsia="宋体"/>
                                  <w:sz w:val="21"/>
                                  <w:szCs w:val="21"/>
                                  <w:lang w:val="en-US" w:eastAsia="zh-CN"/>
                                </w:rPr>
                              </w:pPr>
                              <w:r>
                                <w:rPr>
                                  <w:rFonts w:hint="eastAsia"/>
                                  <w:sz w:val="21"/>
                                  <w:szCs w:val="21"/>
                                  <w:lang w:val="en-US" w:eastAsia="zh-CN"/>
                                </w:rPr>
                                <w:t>0.54</w:t>
                              </w:r>
                            </w:p>
                          </w:txbxContent>
                        </v:textbox>
                      </v:shape>
                      <v:shape id="文本框 30" o:spid="_x0000_s1026" o:spt="202" type="#_x0000_t202" style="position:absolute;left:1898650;top:277495;height:346075;width:429260;" filled="f" stroked="f" coordsize="21600,21600" o:gfxdata="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w1CHz1gAAAAUBAAAPAAAAAAAAAAEAIAAA&#10;ACIAAABkcnMvZG93bnJldi54bWxQSwECFAAUAAAACACHTuJAs6eGUEcCAABzBAAADgAAAAAAAAAB&#10;ACAAAAAlAQAAZHJzL2Uyb0RvYy54bWxQSwUGAAAAAAYABgBZAQAA3gUAAAAA&#10;">
                        <v:fill on="f" focussize="0,0"/>
                        <v:stroke on="f" weight="0.5pt"/>
                        <v:imagedata o:title=""/>
                        <o:lock v:ext="edit" aspectratio="f"/>
                        <v:textbox>
                          <w:txbxContent>
                            <w:p>
                              <w:pPr>
                                <w:ind w:left="0" w:leftChars="0" w:firstLine="0" w:firstLineChars="0"/>
                                <w:rPr>
                                  <w:rFonts w:hint="default" w:eastAsia="宋体"/>
                                  <w:sz w:val="21"/>
                                  <w:szCs w:val="21"/>
                                  <w:lang w:val="en-US" w:eastAsia="zh-CN"/>
                                </w:rPr>
                              </w:pPr>
                              <w:r>
                                <w:rPr>
                                  <w:rFonts w:hint="eastAsia"/>
                                  <w:sz w:val="21"/>
                                  <w:szCs w:val="21"/>
                                  <w:lang w:val="en-US" w:eastAsia="zh-CN"/>
                                </w:rPr>
                                <w:t>18</w:t>
                              </w:r>
                            </w:p>
                          </w:txbxContent>
                        </v:textbox>
                      </v:shape>
                      <v:shape id="文本框 30" o:spid="_x0000_s1026" o:spt="202" type="#_x0000_t202" style="position:absolute;left:1892935;top:2326640;height:295275;width:676910;" filled="f" stroked="f" coordsize="21600,21600" o:gfxdata="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w1CHz1gAAAAUBAAAPAAAAAAAAAAEAIAAA&#10;ACIAAABkcnMvZG93bnJldi54bWxQSwECFAAUAAAACACHTuJAiARD4UcCAAB0BAAADgAAAAAAAAAB&#10;ACAAAAAlAQAAZHJzL2Uyb0RvYy54bWxQSwUGAAAAAAYABgBZAQAA3gUAAAAA&#10;">
                        <v:fill on="f" focussize="0,0"/>
                        <v:stroke on="f" weight="0.5pt"/>
                        <v:imagedata o:title=""/>
                        <o:lock v:ext="edit" aspectratio="f"/>
                        <v:textbox>
                          <w:txbxContent>
                            <w:p>
                              <w:pPr>
                                <w:ind w:left="0" w:leftChars="0" w:firstLine="0" w:firstLineChars="0"/>
                                <w:rPr>
                                  <w:rFonts w:hint="default" w:eastAsia="宋体"/>
                                  <w:sz w:val="21"/>
                                  <w:szCs w:val="21"/>
                                  <w:lang w:val="en-US" w:eastAsia="zh-CN"/>
                                </w:rPr>
                              </w:pPr>
                              <w:r>
                                <w:rPr>
                                  <w:rFonts w:hint="eastAsia"/>
                                  <w:sz w:val="21"/>
                                  <w:szCs w:val="21"/>
                                  <w:lang w:val="en-US" w:eastAsia="zh-CN"/>
                                </w:rPr>
                                <w:t>0.72</w:t>
                              </w:r>
                            </w:p>
                          </w:txbxContent>
                        </v:textbox>
                      </v:shape>
                      <v:shape id="直接箭头连接符 27" o:spid="_x0000_s1026" o:spt="32" type="#_x0000_t32" style="position:absolute;left:786130;top:2141855;height:1905;width:737235;" filled="f" stroked="t" coordsize="21600,21600" o:gfxdata="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L1IwJ1QAAAAUB&#10;AAAPAAAAAAAAAAEAIAAAACIAAABkcnMvZG93bnJldi54bWxQSwECFAAUAAAACACHTuJAKj+Ruh4C&#10;AAD/AwAADgAAAAAAAAABACAAAAAkAQAAZHJzL2Uyb0RvYy54bWxQSwUGAAAAAAYABgBZAQAAtAUA&#10;AAAA&#10;">
                        <v:fill on="f" focussize="0,0"/>
                        <v:stroke weight="0.5pt" color="#000000 [3200]" miterlimit="8" joinstyle="miter" endarrow="open"/>
                        <v:imagedata o:title=""/>
                        <o:lock v:ext="edit" aspectratio="f"/>
                      </v:shape>
                      <v:shape id="肘形连接符 9" o:spid="_x0000_s1026" o:spt="34" type="#_x0000_t34" style="position:absolute;left:3160395;top:382270;flip:x y;height:1813560;width:29210;rotation:-5898240f;" filled="f" stroked="t" coordsize="21600,21600" o:gfxdata="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99N8tYAAAAFAQAADwAAAAAAAAABACAAAAAiAAAAZHJzL2Rv&#10;d25yZXYueG1sUEsBAhQAFAAAAAgAh07iQKx3xhw8AgAANgQAAA4AAAAAAAAAAQAgAAAAJQEAAGRy&#10;cy9lMm9Eb2MueG1sUEsFBgAAAAAGAAYAWQEAANMFAAAAAA==&#10;" adj="-105652">
                        <v:fill on="f" focussize="0,0"/>
                        <v:stroke weight="0.5pt" color="#000000 [3213]" miterlimit="8" joinstyle="miter" endarrow="open"/>
                        <v:imagedata o:title=""/>
                        <o:lock v:ext="edit" aspectratio="f"/>
                      </v:shape>
                      <v:shape id="文本框 8" o:spid="_x0000_s1026" o:spt="202" type="#_x0000_t202" style="position:absolute;left:1513205;top:1951355;height:342900;width:1143000;" fillcolor="#FFFFFF [3201]" filled="t" stroked="t" coordsize="21600,21600" o:gfxdata="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48LI&#10;5dIAAAAFAQAADwAAAAAAAAABACAAAAAiAAAAZHJzL2Rvd25yZXYueG1sUEsBAhQAFAAAAAgAh07i&#10;QItEqC5hAgAAxAQAAA4AAAAAAAAAAQAgAAAAIQEAAGRycy9lMm9Eb2MueG1sUEsFBgAAAAAGAAYA&#10;WQEAAPQFAAAAAA==&#10;">
                        <v:fill on="t" focussize="0,0"/>
                        <v:stroke weight="0.5pt" color="#000000 [3204]" joinstyle="round"/>
                        <v:imagedata o:title=""/>
                        <o:lock v:ext="edit" aspectratio="f"/>
                        <v:textbox>
                          <w:txbxContent>
                            <w:p>
                              <w:pPr>
                                <w:ind w:left="0" w:leftChars="0" w:firstLine="0" w:firstLineChars="0"/>
                                <w:jc w:val="center"/>
                                <w:rPr>
                                  <w:rFonts w:hint="default" w:eastAsia="宋体"/>
                                  <w:sz w:val="21"/>
                                  <w:szCs w:val="21"/>
                                  <w:lang w:val="en-US" w:eastAsia="zh-CN"/>
                                </w:rPr>
                              </w:pPr>
                              <w:r>
                                <w:rPr>
                                  <w:rFonts w:hint="eastAsia"/>
                                  <w:sz w:val="21"/>
                                  <w:szCs w:val="21"/>
                                  <w:lang w:val="en-US" w:eastAsia="zh-CN"/>
                                </w:rPr>
                                <w:t>道路洒水降尘</w:t>
                              </w:r>
                            </w:p>
                          </w:txbxContent>
                        </v:textbox>
                      </v:shape>
                      <v:shape id="曲线连接符 55" o:spid="_x0000_s1026" o:spt="37" type="#_x0000_t37" style="position:absolute;left:1651000;top:1769745;height:228600;width:149225;rotation:-5898240f;" filled="f" stroked="t" coordsize="21600,21600" o:gfxdata="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LSe29YAAAAFAQAADwAA&#10;AAAAAAABACAAAAAiAAAAZHJzL2Rvd25yZXYueG1sUEsBAhQAFAAAAAgAh07iQMVJSzAYAgAA9wMA&#10;AA4AAAAAAAAAAQAgAAAAJQEAAGRycy9lMm9Eb2MueG1sUEsFBgAAAAAGAAYAWQEAAK8FAAAAAA==&#10;">
                        <v:fill on="f" focussize="0,0"/>
                        <v:stroke weight="0.5pt" color="#000000 [3213]" miterlimit="8" joinstyle="miter" endarrow="open"/>
                        <v:imagedata o:title=""/>
                        <o:lock v:ext="edit" aspectratio="f"/>
                      </v:shape>
                      <v:shape id="文本框 30" o:spid="_x0000_s1026" o:spt="202" type="#_x0000_t202" style="position:absolute;left:902335;top:1840865;height:343535;width:560070;" filled="f" stroked="f" coordsize="21600,21600" o:gfxdata="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8NQh89YAAAAFAQAADwAAAAAAAAABACAAAAAi&#10;AAAAZHJzL2Rvd25yZXYueG1sUEsBAhQAFAAAAAgAh07iQE0LAFpFAgAAcgQAAA4AAAAAAAAAAQAg&#10;AAAAJQEAAGRycy9lMm9Eb2MueG1sUEsFBgAAAAAGAAYAWQEAANwFAAAAAA==&#10;">
                        <v:fill on="f" focussize="0,0"/>
                        <v:stroke on="f" weight="0.5pt"/>
                        <v:imagedata o:title=""/>
                        <o:lock v:ext="edit" aspectratio="f"/>
                        <v:textbox>
                          <w:txbxContent>
                            <w:p>
                              <w:pPr>
                                <w:ind w:left="0" w:leftChars="0" w:firstLine="0" w:firstLineChars="0"/>
                                <w:rPr>
                                  <w:rFonts w:hint="default" w:eastAsia="宋体"/>
                                  <w:sz w:val="21"/>
                                  <w:szCs w:val="21"/>
                                  <w:lang w:val="en-US" w:eastAsia="zh-CN"/>
                                </w:rPr>
                              </w:pPr>
                              <w:r>
                                <w:rPr>
                                  <w:rFonts w:hint="eastAsia"/>
                                  <w:sz w:val="21"/>
                                  <w:szCs w:val="21"/>
                                  <w:lang w:val="en-US" w:eastAsia="zh-CN"/>
                                </w:rPr>
                                <w:t>2</w:t>
                              </w:r>
                            </w:p>
                          </w:txbxContent>
                        </v:textbox>
                      </v:shape>
                      <v:shape id="文本框 30" o:spid="_x0000_s1026" o:spt="202" type="#_x0000_t202" style="position:absolute;left:1819275;top:1619885;height:309880;width:588645;" filled="f" stroked="f" coordsize="21600,21600" o:gfxdata="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w1CHz1gAAAAUBAAAPAAAAAAAAAAEAIAAA&#10;ACIAAABkcnMvZG93bnJldi54bWxQSwECFAAUAAAACACHTuJAo+4VV0cCAABzBAAADgAAAAAAAAAB&#10;ACAAAAAlAQAAZHJzL2Uyb0RvYy54bWxQSwUGAAAAAAYABgBZAQAA3gUAAAAA&#10;">
                        <v:fill on="f" focussize="0,0"/>
                        <v:stroke on="f" weight="0.5pt"/>
                        <v:imagedata o:title=""/>
                        <o:lock v:ext="edit" aspectratio="f"/>
                        <v:textbox>
                          <w:txbxContent>
                            <w:p>
                              <w:pPr>
                                <w:ind w:left="0" w:leftChars="0" w:firstLine="0" w:firstLineChars="0"/>
                                <w:rPr>
                                  <w:rFonts w:hint="default" w:eastAsia="宋体"/>
                                  <w:sz w:val="21"/>
                                  <w:szCs w:val="21"/>
                                  <w:lang w:val="en-US" w:eastAsia="zh-CN"/>
                                </w:rPr>
                              </w:pPr>
                              <w:r>
                                <w:rPr>
                                  <w:rFonts w:hint="eastAsia"/>
                                  <w:sz w:val="21"/>
                                  <w:szCs w:val="21"/>
                                  <w:lang w:val="en-US" w:eastAsia="zh-CN"/>
                                </w:rPr>
                                <w:t>2</w:t>
                              </w:r>
                            </w:p>
                          </w:txbxContent>
                        </v:textbox>
                      </v:shape>
                      <v:shape id="文本框 30" o:spid="_x0000_s1026" o:spt="202" type="#_x0000_t202" style="position:absolute;left:3051810;top:3094355;height:337820;width:506095;" filled="f" stroked="f" coordsize="21600,21600" o:gfxdata="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8NQh89YAAAAFAQAADwAAAAAAAAABACAA&#10;AAAiAAAAZHJzL2Rvd25yZXYueG1sUEsBAhQAFAAAAAgAh07iQEP2m45IAgAAcwQAAA4AAAAAAAAA&#10;AQAgAAAAJQEAAGRycy9lMm9Eb2MueG1sUEsFBgAAAAAGAAYAWQEAAN8FAAAAAA==&#10;">
                        <v:fill on="f" focussize="0,0"/>
                        <v:stroke on="f" weight="0.5pt"/>
                        <v:imagedata o:title=""/>
                        <o:lock v:ext="edit" aspectratio="f"/>
                        <v:textbox>
                          <w:txbxContent>
                            <w:p>
                              <w:pPr>
                                <w:ind w:left="0" w:leftChars="0" w:firstLine="0" w:firstLineChars="0"/>
                                <w:rPr>
                                  <w:rFonts w:hint="default" w:eastAsia="宋体"/>
                                  <w:sz w:val="21"/>
                                  <w:szCs w:val="21"/>
                                  <w:lang w:val="en-US" w:eastAsia="zh-CN"/>
                                </w:rPr>
                              </w:pPr>
                              <w:r>
                                <w:rPr>
                                  <w:rFonts w:hint="eastAsia"/>
                                  <w:sz w:val="21"/>
                                  <w:szCs w:val="21"/>
                                  <w:lang w:val="en-US" w:eastAsia="zh-CN"/>
                                </w:rPr>
                                <w:t>0.832</w:t>
                              </w:r>
                            </w:p>
                          </w:txbxContent>
                        </v:textbox>
                      </v:shape>
                      <v:shape id="文本框 7" o:spid="_x0000_s1026" o:spt="202" type="#_x0000_t202" style="position:absolute;left:3319780;top:3767455;height:568325;width:1139825;" fillcolor="#FFFFFF [3201]" filled="t" stroked="t" coordsize="21600,21600" o:gfxdata="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j&#10;wsjl0gAAAAUBAAAPAAAAAAAAAAEAIAAAACIAAABkcnMvZG93bnJldi54bWxQSwECFAAUAAAACACH&#10;TuJA9pEs1WMCAADEBAAADgAAAAAAAAABACAAAAAhAQAAZHJzL2Uyb0RvYy54bWxQSwUGAAAAAAYA&#10;BgBZAQAA9gUAAAAA&#10;">
                        <v:fill on="t" focussize="0,0"/>
                        <v:stroke weight="0.5pt" color="#000000 [3204]" joinstyle="round"/>
                        <v:imagedata o:title=""/>
                        <o:lock v:ext="edit" aspectratio="f"/>
                        <v:textbox>
                          <w:txbxContent>
                            <w:p>
                              <w:pPr>
                                <w:spacing w:line="240" w:lineRule="auto"/>
                                <w:ind w:left="0" w:leftChars="0" w:firstLine="0" w:firstLineChars="0"/>
                                <w:rPr>
                                  <w:rFonts w:hint="default" w:eastAsia="宋体"/>
                                  <w:sz w:val="21"/>
                                  <w:szCs w:val="21"/>
                                  <w:lang w:val="en-US" w:eastAsia="zh-CN"/>
                                </w:rPr>
                              </w:pPr>
                              <w:r>
                                <w:rPr>
                                  <w:rFonts w:hint="eastAsia"/>
                                  <w:sz w:val="21"/>
                                  <w:szCs w:val="21"/>
                                  <w:lang w:val="en-US" w:eastAsia="zh-CN"/>
                                </w:rPr>
                                <w:t>地埋式污水一体化处理设施</w:t>
                              </w:r>
                            </w:p>
                          </w:txbxContent>
                        </v:textbox>
                      </v:shape>
                      <v:shape id="直接箭头连接符 27" o:spid="_x0000_s1026" o:spt="32" type="#_x0000_t32" style="position:absolute;left:2675255;top:1472565;flip:y;height:2540;width:818515;" filled="f" stroked="t" coordsize="21600,21600" o:gfxdata="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f0O7VAAAABQEAAA8AAAAAAAAAAQAgAAAAIgAAAGRy&#10;cy9kb3ducmV2LnhtbFBLAQIUABQAAAAIAIdO4kBIIoRiQQIAAE0EAAAOAAAAAAAAAAEAIAAAACQB&#10;AABkcnMvZTJvRG9jLnhtbFBLBQYAAAAABgAGAFkBAADXBQAAAAA=&#10;">
                        <v:fill on="f" focussize="0,0"/>
                        <v:stroke weight="0.5pt" color="#000000 [3200]" miterlimit="8" joinstyle="miter" endarrow="open"/>
                        <v:imagedata o:title=""/>
                        <o:lock v:ext="edit" aspectratio="f"/>
                      </v:shape>
                      <v:shape id="直接箭头连接符 27" o:spid="_x0000_s1026" o:spt="32" type="#_x0000_t32" style="position:absolute;left:2708275;top:812165;flip:y;height:2540;width:743585;" filled="f" stroked="t" coordsize="21600,21600" o:gfxdata="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f&#10;0O7VAAAABQEAAA8AAAAAAAAAAQAgAAAAIgAAAGRycy9kb3ducmV2LnhtbFBLAQIUABQAAAAIAIdO&#10;4kB5tHIkJgIAAAkEAAAOAAAAAAAAAAEAIAAAACQBAABkcnMvZTJvRG9jLnhtbFBLBQYAAAAABgAG&#10;AFkBAAC8BQAAAAA=&#10;">
                        <v:fill on="f" focussize="0,0"/>
                        <v:stroke weight="0.5pt" color="#000000 [3200]" miterlimit="8" joinstyle="miter" endarrow="open"/>
                        <v:imagedata o:title=""/>
                        <o:lock v:ext="edit" aspectratio="f"/>
                      </v:shape>
                      <v:shape id="文本框 7" o:spid="_x0000_s1026" o:spt="202" type="#_x0000_t202" style="position:absolute;left:3470275;top:654050;height:301625;width:873125;" fillcolor="#FFFFFF [3201]" filled="t" stroked="t" coordsize="21600,21600" o:gfxdata="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jwsjl&#10;0gAAAAUBAAAPAAAAAAAAAAEAIAAAACIAAABkcnMvZG93bnJldi54bWxQSwECFAAUAAAACACHTuJA&#10;ZSdoUGACAADCBAAADgAAAAAAAAABACAAAAAhAQAAZHJzL2Uyb0RvYy54bWxQSwUGAAAAAAYABgBZ&#10;AQAA8wUAAAAA&#10;">
                        <v:fill on="t" focussize="0,0"/>
                        <v:stroke weight="0.5pt" color="#000000 [3204]" joinstyle="round"/>
                        <v:imagedata o:title=""/>
                        <o:lock v:ext="edit" aspectratio="f"/>
                        <v:textbox>
                          <w:txbxContent>
                            <w:p>
                              <w:pPr>
                                <w:spacing w:line="240" w:lineRule="auto"/>
                                <w:ind w:left="0" w:leftChars="0" w:firstLine="0" w:firstLineChars="0"/>
                                <w:rPr>
                                  <w:rFonts w:hint="default" w:eastAsia="宋体"/>
                                  <w:sz w:val="21"/>
                                  <w:szCs w:val="21"/>
                                  <w:lang w:val="en-US" w:eastAsia="zh-CN"/>
                                </w:rPr>
                              </w:pPr>
                              <w:r>
                                <w:rPr>
                                  <w:rFonts w:hint="eastAsia"/>
                                  <w:sz w:val="21"/>
                                  <w:szCs w:val="21"/>
                                  <w:lang w:val="en-US" w:eastAsia="zh-CN"/>
                                </w:rPr>
                                <w:t>三级沉淀池</w:t>
                              </w:r>
                            </w:p>
                          </w:txbxContent>
                        </v:textbox>
                      </v:shape>
                      <v:shape id="肘形连接符 9" o:spid="_x0000_s1026" o:spt="34" type="#_x0000_t34" style="position:absolute;left:3193415;top:-235585;flip:x y;height:1813560;width:29210;rotation:-5898240f;" filled="f" stroked="t" coordsize="21600,21600" o:gfxdata="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twRhfVAAAABQEAAA8AAAAAAAAAAQAgAAAAIgAAAGRycy9k&#10;b3ducmV2LnhtbFBLAQIUABQAAAAIAIdO4kAdmQUlPgIAADcEAAAOAAAAAAAAAAEAIAAAACQBAABk&#10;cnMvZTJvRG9jLnhtbFBLBQYAAAAABgAGAFkBAADUBQAAAAA=&#10;" adj="-150730">
                        <v:fill on="f" focussize="0,0"/>
                        <v:stroke weight="0.5pt" color="#000000 [3213]" miterlimit="8" joinstyle="miter" endarrow="open"/>
                        <v:imagedata o:title=""/>
                        <o:lock v:ext="edit" aspectratio="f"/>
                      </v:shape>
                      <v:shape id="文本框 30" o:spid="_x0000_s1026" o:spt="202" type="#_x0000_t202" style="position:absolute;left:2880995;top:854710;height:295275;width:469265;" filled="f" stroked="f" coordsize="21600,21600" o:gfxdata="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w1CHz1gAAAAUBAAAPAAAAAAAAAAEAIAAA&#10;ACIAAABkcnMvZG93bnJldi54bWxQSwECFAAUAAAACACHTuJAr8VfakcCAAByBAAADgAAAAAAAAAB&#10;ACAAAAAlAQAAZHJzL2Uyb0RvYy54bWxQSwUGAAAAAAYABgBZAQAA3gUAAAAA&#10;">
                        <v:fill on="f" focussize="0,0"/>
                        <v:stroke on="f" weight="0.5pt"/>
                        <v:imagedata o:title=""/>
                        <o:lock v:ext="edit" aspectratio="f"/>
                        <v:textbox>
                          <w:txbxContent>
                            <w:p>
                              <w:pPr>
                                <w:ind w:left="0" w:leftChars="0" w:firstLine="0" w:firstLineChars="0"/>
                                <w:rPr>
                                  <w:rFonts w:hint="default" w:eastAsia="宋体"/>
                                  <w:sz w:val="21"/>
                                  <w:szCs w:val="21"/>
                                  <w:lang w:val="en-US" w:eastAsia="zh-CN"/>
                                </w:rPr>
                              </w:pPr>
                              <w:r>
                                <w:rPr>
                                  <w:rFonts w:hint="eastAsia"/>
                                  <w:sz w:val="21"/>
                                  <w:szCs w:val="21"/>
                                  <w:lang w:val="en-US" w:eastAsia="zh-CN"/>
                                </w:rPr>
                                <w:t>0.54</w:t>
                              </w:r>
                            </w:p>
                          </w:txbxContent>
                        </v:textbox>
                      </v:shape>
                      <v:shape id="曲线连接符 54" o:spid="_x0000_s1026" o:spt="37" type="#_x0000_t37" style="position:absolute;left:1737995;top:439420;height:228600;width:149225;rotation:-5898240f;" filled="f" stroked="t" coordsize="21600,21600" o:gfxdata="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LSe29YAAAAFAQAADwAA&#10;AAAAAAABACAAAAAiAAAAZHJzL2Rvd25yZXYueG1sUEsBAhQAFAAAAAgAh07iQPtMVMsYAgAA9gMA&#10;AA4AAAAAAAAAAQAgAAAAJQEAAGRycy9lMm9Eb2MueG1sUEsFBgAAAAAGAAYAWQEAAK8FAAAAAA==&#10;">
                        <v:fill on="f" focussize="0,0"/>
                        <v:stroke weight="0.5pt" color="#000000 [3213]" miterlimit="8" joinstyle="miter" endarrow="open"/>
                        <v:imagedata o:title=""/>
                        <o:lock v:ext="edit" aspectratio="f"/>
                      </v:shape>
                      <v:shape id="文本框 30" o:spid="_x0000_s1026" o:spt="202" type="#_x0000_t202" style="position:absolute;left:1808480;top:942340;height:295275;width:469265;" filled="f" stroked="f" coordsize="21600,21600" o:gfxdata="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w1CHz1gAAAAUBAAAPAAAAAAAAAAEAIAAA&#10;ACIAAABkcnMvZG93bnJldi54bWxQSwECFAAUAAAACACHTuJASisHDUcCAAByBAAADgAAAAAAAAAB&#10;ACAAAAAlAQAAZHJzL2Uyb0RvYy54bWxQSwUGAAAAAAYABgBZAQAA3gUAAAAA&#10;">
                        <v:fill on="f" focussize="0,0"/>
                        <v:stroke on="f" weight="0.5pt"/>
                        <v:imagedata o:title=""/>
                        <o:lock v:ext="edit" aspectratio="f"/>
                        <v:textbox>
                          <w:txbxContent>
                            <w:p>
                              <w:pPr>
                                <w:ind w:left="0" w:leftChars="0" w:firstLine="0" w:firstLineChars="0"/>
                                <w:rPr>
                                  <w:rFonts w:hint="default" w:eastAsia="宋体"/>
                                  <w:sz w:val="21"/>
                                  <w:szCs w:val="21"/>
                                  <w:lang w:val="en-US" w:eastAsia="zh-CN"/>
                                </w:rPr>
                              </w:pPr>
                              <w:r>
                                <w:rPr>
                                  <w:rFonts w:hint="eastAsia"/>
                                  <w:sz w:val="21"/>
                                  <w:szCs w:val="21"/>
                                  <w:lang w:val="en-US" w:eastAsia="zh-CN"/>
                                </w:rPr>
                                <w:t>0.06</w:t>
                              </w:r>
                            </w:p>
                          </w:txbxContent>
                        </v:textbox>
                      </v:shape>
                      <v:shape id="文本框 30" o:spid="_x0000_s1026" o:spt="202" type="#_x0000_t202" style="position:absolute;left:2846705;top:560705;height:377190;width:673735;" filled="f" stroked="f" coordsize="21600,21600" o:gfxdata="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DUIfPWAAAABQEAAA8AAAAAAAAAAQAgAAAAIgAA&#10;AGRycy9kb3ducmV2LnhtbFBLAQIUABQAAAAIAIdO4kA8+qBSQwIAAHIEAAAOAAAAAAAAAAEAIAAA&#10;ACUBAABkcnMvZTJvRG9jLnhtbFBLBQYAAAAABgAGAFkBAADaBQAAAAA=&#10;">
                        <v:fill on="f" focussize="0,0"/>
                        <v:stroke on="f" weight="0.5pt"/>
                        <v:imagedata o:title=""/>
                        <o:lock v:ext="edit" aspectratio="f"/>
                        <v:textbox>
                          <w:txbxContent>
                            <w:p>
                              <w:pPr>
                                <w:ind w:left="0" w:leftChars="0" w:firstLine="0" w:firstLineChars="0"/>
                                <w:rPr>
                                  <w:rFonts w:hint="default" w:eastAsia="宋体"/>
                                  <w:sz w:val="21"/>
                                  <w:szCs w:val="21"/>
                                  <w:lang w:val="en-US" w:eastAsia="zh-CN"/>
                                </w:rPr>
                              </w:pPr>
                              <w:r>
                                <w:rPr>
                                  <w:rFonts w:hint="eastAsia"/>
                                  <w:sz w:val="21"/>
                                  <w:szCs w:val="21"/>
                                  <w:lang w:val="en-US" w:eastAsia="zh-CN"/>
                                </w:rPr>
                                <w:t>102</w:t>
                              </w:r>
                            </w:p>
                          </w:txbxContent>
                        </v:textbox>
                      </v:shape>
                      <v:shape id="直接箭头连接符 27" o:spid="_x0000_s1026" o:spt="32" type="#_x0000_t32" style="position:absolute;left:2667635;top:4077970;flip:y;height:5080;width:641985;" filled="f" stroked="t" coordsize="21600,21600" o:gfxdata="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10;39Du1QAAAAUBAAAPAAAAAAAAAAEAIAAAACIAAABkcnMvZG93bnJldi54bWxQSwECFAAUAAAACACH&#10;TuJA4Z5l1icCAAAKBAAADgAAAAAAAAABACAAAAAkAQAAZHJzL2Uyb0RvYy54bWxQSwUGAAAAAAYA&#10;BgBZAQAAvQUAAAAA&#10;">
                        <v:fill on="f" focussize="0,0"/>
                        <v:stroke weight="0.5pt" color="#000000 [3200]" miterlimit="8" joinstyle="miter" endarrow="open"/>
                        <v:imagedata o:title=""/>
                        <o:lock v:ext="edit" aspectratio="f"/>
                      </v:shape>
                      <v:shape id="文本框 9" o:spid="_x0000_s1026" o:spt="202" type="#_x0000_t202" style="position:absolute;left:1527175;top:3891280;height:342900;width:1143000;" fillcolor="#FFFFFF [3201]" filled="t" stroked="t" coordsize="21600,21600" o:gfxdata="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PC&#10;yOXSAAAABQEAAA8AAAAAAAAAAQAgAAAAIgAAAGRycy9kb3ducmV2LnhtbFBLAQIUABQAAAAIAIdO&#10;4kAOot2PYgIAAMMEAAAOAAAAAAAAAAEAIAAAACEBAABkcnMvZTJvRG9jLnhtbFBLBQYAAAAABgAG&#10;AFkBAAD1BQAAAAA=&#10;">
                        <v:fill on="t" focussize="0,0"/>
                        <v:stroke weight="0.5pt" color="#000000 [3204]" joinstyle="round"/>
                        <v:imagedata o:title=""/>
                        <o:lock v:ext="edit" aspectratio="f"/>
                        <v:textbox>
                          <w:txbxContent>
                            <w:p>
                              <w:pPr>
                                <w:ind w:left="0" w:leftChars="0" w:firstLine="0" w:firstLineChars="0"/>
                                <w:jc w:val="center"/>
                                <w:rPr>
                                  <w:rFonts w:hint="default" w:eastAsia="宋体"/>
                                  <w:sz w:val="21"/>
                                  <w:szCs w:val="21"/>
                                  <w:lang w:val="en-US" w:eastAsia="zh-CN"/>
                                </w:rPr>
                              </w:pPr>
                              <w:r>
                                <w:rPr>
                                  <w:rFonts w:hint="eastAsia"/>
                                  <w:sz w:val="21"/>
                                  <w:szCs w:val="21"/>
                                  <w:lang w:val="en-US" w:eastAsia="zh-CN"/>
                                </w:rPr>
                                <w:t>生活用水</w:t>
                              </w:r>
                            </w:p>
                          </w:txbxContent>
                        </v:textbox>
                      </v:shape>
                      <v:shape id="文本框 9" o:spid="_x0000_s1026" o:spt="202" type="#_x0000_t202" style="position:absolute;left:1509395;top:3209925;height:342900;width:1143000;" fillcolor="#FFFFFF [3201]" filled="t" stroked="t" coordsize="21600,21600" o:gfxdata="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48LI&#10;5dIAAAAFAQAADwAAAAAAAAABACAAAAAiAAAAZHJzL2Rvd25yZXYueG1sUEsBAhQAFAAAAAgAh07i&#10;QLJc1gxhAgAAwwQAAA4AAAAAAAAAAQAgAAAAIQEAAGRycy9lMm9Eb2MueG1sUEsFBgAAAAAGAAYA&#10;WQEAAPQFAAAAAA==&#10;">
                        <v:fill on="t" focussize="0,0"/>
                        <v:stroke weight="0.5pt" color="#000000 [3204]" joinstyle="round"/>
                        <v:imagedata o:title=""/>
                        <o:lock v:ext="edit" aspectratio="f"/>
                        <v:textbox>
                          <w:txbxContent>
                            <w:p>
                              <w:pPr>
                                <w:ind w:left="0" w:leftChars="0" w:firstLine="0" w:firstLineChars="0"/>
                                <w:jc w:val="center"/>
                                <w:rPr>
                                  <w:rFonts w:hint="default" w:eastAsia="宋体"/>
                                  <w:sz w:val="21"/>
                                  <w:szCs w:val="21"/>
                                  <w:lang w:val="en-US" w:eastAsia="zh-CN"/>
                                </w:rPr>
                              </w:pPr>
                              <w:r>
                                <w:rPr>
                                  <w:rFonts w:hint="default" w:ascii="Times New Roman" w:hAnsi="Times New Roman" w:cs="Times New Roman"/>
                                  <w:color w:val="auto"/>
                                  <w:sz w:val="21"/>
                                  <w:szCs w:val="21"/>
                                  <w:highlight w:val="none"/>
                                  <w:lang w:val="en-US" w:eastAsia="zh-CN"/>
                                </w:rPr>
                                <w:t>堆料场降尘用水</w:t>
                              </w:r>
                            </w:p>
                          </w:txbxContent>
                        </v:textbox>
                      </v:shape>
                      <v:shape id="曲线连接符 56" o:spid="_x0000_s1026" o:spt="37" type="#_x0000_t37" style="position:absolute;left:1724025;top:3703955;height:228600;width:149225;rotation:-5898240f;" filled="f" stroked="t" coordsize="21600,21600" o:gfxdata="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y0ntvWAAAABQEAAA8A&#10;AAAAAAAAAQAgAAAAIgAAAGRycy9kb3ducmV2LnhtbFBLAQIUABQAAAAIAIdO4kCSwBZpGQIAAPYD&#10;AAAOAAAAAAAAAAEAIAAAACUBAABkcnMvZTJvRG9jLnhtbFBLBQYAAAAABgAGAFkBAACwBQAAAAA=&#10;">
                        <v:fill on="f" focussize="0,0"/>
                        <v:stroke weight="0.5pt" color="#000000 [3213]" miterlimit="8" joinstyle="miter" endarrow="open"/>
                        <v:imagedata o:title=""/>
                        <o:lock v:ext="edit" aspectratio="f"/>
                      </v:shape>
                      <v:shape id="曲线连接符 56" o:spid="_x0000_s1026" o:spt="37" type="#_x0000_t37" style="position:absolute;left:1760855;top:3039745;height:228600;width:149225;rotation:-5898240f;" filled="f" stroked="t" coordsize="21600,21600" o:gfxdata="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MtJ7b1gAAAAUBAAAP&#10;AAAAAAAAAAEAIAAAACIAAABkcnMvZG93bnJldi54bWxQSwECFAAUAAAACACHTuJAeneh3BoCAAD3&#10;AwAADgAAAAAAAAABACAAAAAlAQAAZHJzL2Uyb0RvYy54bWxQSwUGAAAAAAYABgBZAQAAsQUAAAAA&#10;">
                        <v:fill on="f" focussize="0,0"/>
                        <v:stroke weight="0.5pt" color="#000000 [3213]" miterlimit="8" joinstyle="miter" endarrow="open"/>
                        <v:imagedata o:title=""/>
                        <o:lock v:ext="edit" aspectratio="f"/>
                      </v:shape>
                      <v:shape id="文本框 30" o:spid="_x0000_s1026" o:spt="202" type="#_x0000_t202" style="position:absolute;left:833120;top:3771900;height:295275;width:676910;" filled="f" stroked="f" coordsize="21600,21600" o:gfxdata="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8NQh89YAAAAFAQAADwAAAAAAAAABACAAAAAi&#10;AAAAZHJzL2Rvd25yZXYueG1sUEsBAhQAFAAAAAgAh07iQIR+6mtFAgAAcgQAAA4AAAAAAAAAAQAg&#10;AAAAJQEAAGRycy9lMm9Eb2MueG1sUEsFBgAAAAAGAAYAWQEAANwFAAAAAA==&#10;">
                        <v:fill on="f" focussize="0,0"/>
                        <v:stroke on="f" weight="0.5pt"/>
                        <v:imagedata o:title=""/>
                        <o:lock v:ext="edit" aspectratio="f"/>
                        <v:textbox>
                          <w:txbxContent>
                            <w:p>
                              <w:pPr>
                                <w:ind w:left="0" w:leftChars="0" w:firstLine="0" w:firstLineChars="0"/>
                                <w:rPr>
                                  <w:rFonts w:hint="default" w:eastAsia="宋体"/>
                                  <w:sz w:val="21"/>
                                  <w:szCs w:val="21"/>
                                  <w:lang w:val="en-US" w:eastAsia="zh-CN"/>
                                </w:rPr>
                              </w:pPr>
                              <w:r>
                                <w:rPr>
                                  <w:rFonts w:hint="eastAsia"/>
                                  <w:sz w:val="21"/>
                                  <w:szCs w:val="21"/>
                                  <w:lang w:val="en-US" w:eastAsia="zh-CN"/>
                                </w:rPr>
                                <w:t>1.04</w:t>
                              </w:r>
                            </w:p>
                          </w:txbxContent>
                        </v:textbox>
                      </v:shape>
                      <v:shape id="文本框 30" o:spid="_x0000_s1026" o:spt="202" type="#_x0000_t202" style="position:absolute;left:1876425;top:3556635;height:295275;width:676910;" filled="f" stroked="f" coordsize="21600,21600" o:gfxdata="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DUIfPWAAAABQEAAA8AAAAAAAAAAQAg&#10;AAAAIgAAAGRycy9kb3ducmV2LnhtbFBLAQIUABQAAAAIAIdO4kBBDyMcSQIAAHMEAAAOAAAAAAAA&#10;AAEAIAAAACUBAABkcnMvZTJvRG9jLnhtbFBLBQYAAAAABgAGAFkBAADgBQAAAAA=&#10;">
                        <v:fill on="f" focussize="0,0"/>
                        <v:stroke on="f" weight="0.5pt"/>
                        <v:imagedata o:title=""/>
                        <o:lock v:ext="edit" aspectratio="f"/>
                        <v:textbox>
                          <w:txbxContent>
                            <w:p>
                              <w:pPr>
                                <w:ind w:left="0" w:leftChars="0" w:firstLine="0" w:firstLineChars="0"/>
                                <w:rPr>
                                  <w:rFonts w:hint="default" w:eastAsia="宋体"/>
                                  <w:sz w:val="21"/>
                                  <w:szCs w:val="21"/>
                                  <w:lang w:val="en-US" w:eastAsia="zh-CN"/>
                                </w:rPr>
                              </w:pPr>
                              <w:r>
                                <w:rPr>
                                  <w:rFonts w:hint="eastAsia"/>
                                  <w:sz w:val="21"/>
                                  <w:szCs w:val="21"/>
                                  <w:lang w:val="en-US" w:eastAsia="zh-CN"/>
                                </w:rPr>
                                <w:t>1.04</w:t>
                              </w:r>
                            </w:p>
                          </w:txbxContent>
                        </v:textbox>
                      </v:shape>
                      <v:shape id="文本框 30" o:spid="_x0000_s1026" o:spt="202" type="#_x0000_t202" style="position:absolute;left:1885950;top:2893695;height:295275;width:676910;" filled="f" stroked="f" coordsize="21600,21600" o:gfxdata="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DUIfPWAAAABQEAAA8AAAAAAAAAAQAgAAAA&#10;IgAAAGRycy9kb3ducmV2LnhtbFBLAQIUABQAAAAIAIdO4kDArF1hRgIAAHMEAAAOAAAAAAAAAAEA&#10;IAAAACUBAABkcnMvZTJvRG9jLnhtbFBLBQYAAAAABgAGAFkBAADdBQAAAAA=&#10;">
                        <v:fill on="f" focussize="0,0"/>
                        <v:stroke on="f" weight="0.5pt"/>
                        <v:imagedata o:title=""/>
                        <o:lock v:ext="edit" aspectratio="f"/>
                        <v:textbox>
                          <w:txbxContent>
                            <w:p>
                              <w:pPr>
                                <w:ind w:left="0" w:leftChars="0" w:firstLine="0" w:firstLineChars="0"/>
                                <w:rPr>
                                  <w:rFonts w:hint="default" w:eastAsia="宋体"/>
                                  <w:sz w:val="21"/>
                                  <w:szCs w:val="21"/>
                                  <w:lang w:val="en-US" w:eastAsia="zh-CN"/>
                                </w:rPr>
                              </w:pPr>
                              <w:r>
                                <w:rPr>
                                  <w:rFonts w:hint="eastAsia"/>
                                  <w:sz w:val="21"/>
                                  <w:szCs w:val="21"/>
                                  <w:lang w:val="en-US" w:eastAsia="zh-CN"/>
                                </w:rPr>
                                <w:t>10</w:t>
                              </w:r>
                            </w:p>
                          </w:txbxContent>
                        </v:textbox>
                      </v:shape>
                      <v:shape id="_x0000_s1026" o:spid="_x0000_s1026" o:spt="34" type="#_x0000_t34" style="position:absolute;left:1527175;top:830580;flip:y;height:3232150;width:7620;rotation:11796480f;" filled="f" stroked="t" coordsize="21600,21600" o:gfxdata="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ff5L71AAAAAUB&#10;AAAPAAAAAAAAAAEAIAAAACIAAABkcnMvZG93bnJldi54bWxQSwECFAAUAAAACACHTuJAqhBq1FgC&#10;AACIBAAADgAAAAAAAAABACAAAAAjAQAAZHJzL2Uyb0RvYy54bWxQSwUGAAAAAAYABgBZAQAA7QUA&#10;AAAA&#10;" adj="2201400">
                        <v:fill on="f" focussize="0,0"/>
                        <v:stroke weight="1pt" color="#000000 [3213]" miterlimit="8" joinstyle="miter" startarrow="open" endarrow="open"/>
                        <v:imagedata o:title=""/>
                        <o:lock v:ext="edit" aspectratio="f"/>
                      </v:shape>
                      <v:shape id="直接箭头连接符 27" o:spid="_x0000_s1026" o:spt="32" type="#_x0000_t32" style="position:absolute;left:758190;top:3397885;height:1905;width:737235;" filled="f" stroked="t" coordsize="21600,21600" o:gfxdata="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9SMCdUAAAAFAQAA&#10;DwAAAAAAAAABACAAAAAiAAAAZHJzL2Rvd25yZXYueG1sUEsBAhQAFAAAAAgAh07iQBQoHZwcAgAA&#10;/wMAAA4AAAAAAAAAAQAgAAAAJAEAAGRycy9lMm9Eb2MueG1sUEsFBgAAAAAGAAYAWQEAALIFAAAA&#10;AA==&#10;">
                        <v:fill on="f" focussize="0,0"/>
                        <v:stroke weight="0.5pt" color="#000000 [3200]" miterlimit="8" joinstyle="miter" endarrow="open"/>
                        <v:imagedata o:title=""/>
                        <o:lock v:ext="edit" aspectratio="f"/>
                      </v:shape>
                      <v:shape id="文本框 30" o:spid="_x0000_s1026" o:spt="202" type="#_x0000_t202" style="position:absolute;left:873760;top:539750;height:336550;width:520700;" filled="f" stroked="f" coordsize="21600,21600" o:gfxdata="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w1CHz1gAAAAUBAAAPAAAAAAAAAAEAIAAAACIA&#10;AABkcnMvZG93bnJldi54bWxQSwECFAAUAAAACACHTuJAsIeoWUQCAABxBAAADgAAAAAAAAABACAA&#10;AAAlAQAAZHJzL2Uyb0RvYy54bWxQSwUGAAAAAAYABgBZAQAA2wUAAAAA&#10;">
                        <v:fill on="f" focussize="0,0"/>
                        <v:stroke on="f" weight="0.5pt"/>
                        <v:imagedata o:title=""/>
                        <o:lock v:ext="edit" aspectratio="f"/>
                        <v:textbox>
                          <w:txbxContent>
                            <w:p>
                              <w:pPr>
                                <w:spacing w:line="240" w:lineRule="auto"/>
                                <w:ind w:left="0" w:leftChars="0" w:firstLine="0" w:firstLineChars="0"/>
                                <w:rPr>
                                  <w:rFonts w:hint="default" w:eastAsia="宋体"/>
                                  <w:sz w:val="21"/>
                                  <w:szCs w:val="21"/>
                                  <w:lang w:val="en-US" w:eastAsia="zh-CN"/>
                                </w:rPr>
                              </w:pPr>
                              <w:r>
                                <w:rPr>
                                  <w:rFonts w:hint="eastAsia"/>
                                  <w:sz w:val="21"/>
                                  <w:szCs w:val="21"/>
                                  <w:lang w:val="en-US" w:eastAsia="zh-CN"/>
                                </w:rPr>
                                <w:t>120</w:t>
                              </w:r>
                            </w:p>
                          </w:txbxContent>
                        </v:textbox>
                      </v:shape>
                      <w10:wrap type="none"/>
                      <w10:anchorlock/>
                    </v:group>
                  </w:pict>
                </mc:Fallback>
              </mc:AlternateContent>
            </w:r>
          </w:p>
          <w:p>
            <w:pPr>
              <w:numPr>
                <w:ilvl w:val="0"/>
                <w:numId w:val="0"/>
              </w:numPr>
              <w:bidi w:val="0"/>
              <w:spacing w:line="240" w:lineRule="auto"/>
              <w:ind w:leftChars="0"/>
              <w:jc w:val="center"/>
              <w:rPr>
                <w:rFonts w:hint="default" w:ascii="Times New Roman" w:hAnsi="Times New Roman" w:eastAsia="宋体" w:cs="Times New Roman"/>
                <w:b/>
                <w:kern w:val="2"/>
                <w:sz w:val="21"/>
                <w:szCs w:val="21"/>
                <w:lang w:val="en-US" w:eastAsia="zh-CN" w:bidi="ar-SA"/>
              </w:rPr>
            </w:pPr>
            <w:r>
              <w:rPr>
                <w:rFonts w:hint="default" w:ascii="Times New Roman" w:hAnsi="Times New Roman" w:cs="Times New Roman"/>
                <w:b/>
                <w:bCs/>
                <w:sz w:val="21"/>
                <w:szCs w:val="21"/>
                <w:lang w:val="en-US" w:eastAsia="zh-CN"/>
              </w:rPr>
              <w:t>图2-</w:t>
            </w:r>
            <w:r>
              <w:rPr>
                <w:rFonts w:hint="eastAsia" w:cs="Times New Roman"/>
                <w:b/>
                <w:bCs/>
                <w:sz w:val="21"/>
                <w:szCs w:val="21"/>
                <w:lang w:val="en-US" w:eastAsia="zh-CN"/>
              </w:rPr>
              <w:t>1</w:t>
            </w:r>
            <w:r>
              <w:rPr>
                <w:rFonts w:hint="default" w:ascii="Times New Roman" w:hAnsi="Times New Roman" w:cs="Times New Roman"/>
                <w:b/>
                <w:bCs/>
                <w:sz w:val="21"/>
                <w:szCs w:val="21"/>
                <w:lang w:val="en-US" w:eastAsia="zh-CN"/>
              </w:rPr>
              <w:t xml:space="preserve"> </w:t>
            </w:r>
            <w:r>
              <w:rPr>
                <w:rFonts w:hint="eastAsia" w:cs="Times New Roman"/>
                <w:b/>
                <w:bCs/>
                <w:sz w:val="21"/>
                <w:szCs w:val="21"/>
                <w:lang w:val="en-US" w:eastAsia="zh-CN"/>
              </w:rPr>
              <w:t>水平衡图</w:t>
            </w:r>
            <w:r>
              <w:rPr>
                <w:rFonts w:hint="default" w:ascii="Times New Roman" w:hAnsi="Times New Roman" w:cs="Times New Roman"/>
                <w:b/>
                <w:bCs/>
                <w:sz w:val="21"/>
                <w:szCs w:val="21"/>
                <w:lang w:val="en-US" w:eastAsia="zh-CN"/>
              </w:rPr>
              <w:t>（</w:t>
            </w:r>
            <w:r>
              <w:rPr>
                <w:rFonts w:hint="default" w:ascii="Times New Roman" w:hAnsi="Times New Roman" w:eastAsia="宋体" w:cs="Times New Roman"/>
                <w:b/>
                <w:bCs/>
                <w:kern w:val="2"/>
                <w:sz w:val="21"/>
                <w:szCs w:val="21"/>
                <w:highlight w:val="none"/>
                <w:lang w:val="en-US" w:eastAsia="zh-CN" w:bidi="ar-SA"/>
              </w:rPr>
              <w:t>m</w:t>
            </w:r>
            <w:r>
              <w:rPr>
                <w:rFonts w:hint="default" w:ascii="Times New Roman" w:hAnsi="Times New Roman" w:eastAsia="宋体" w:cs="Times New Roman"/>
                <w:b/>
                <w:bCs/>
                <w:kern w:val="2"/>
                <w:sz w:val="21"/>
                <w:szCs w:val="21"/>
                <w:highlight w:val="none"/>
                <w:vertAlign w:val="superscript"/>
                <w:lang w:val="en-US" w:eastAsia="zh-CN" w:bidi="ar-SA"/>
              </w:rPr>
              <w:t>3</w:t>
            </w:r>
            <w:r>
              <w:rPr>
                <w:rFonts w:hint="default" w:ascii="Times New Roman" w:hAnsi="Times New Roman" w:eastAsia="宋体" w:cs="Times New Roman"/>
                <w:b/>
                <w:bCs/>
                <w:kern w:val="2"/>
                <w:sz w:val="21"/>
                <w:szCs w:val="21"/>
                <w:highlight w:val="none"/>
                <w:lang w:val="en-US" w:eastAsia="zh-CN" w:bidi="ar-SA"/>
              </w:rPr>
              <w:t>/</w:t>
            </w:r>
            <w:r>
              <w:rPr>
                <w:rFonts w:hint="eastAsia" w:cs="Times New Roman"/>
                <w:b/>
                <w:bCs/>
                <w:kern w:val="2"/>
                <w:sz w:val="21"/>
                <w:szCs w:val="21"/>
                <w:highlight w:val="none"/>
                <w:lang w:val="en-US" w:eastAsia="zh-CN" w:bidi="ar-SA"/>
              </w:rPr>
              <w:t>d</w:t>
            </w:r>
            <w:r>
              <w:rPr>
                <w:rFonts w:hint="default" w:ascii="Times New Roman" w:hAnsi="Times New Roman" w:cs="Times New Roman"/>
                <w:b/>
                <w:bCs/>
                <w:sz w:val="21"/>
                <w:szCs w:val="21"/>
                <w:lang w:val="en-US" w:eastAsia="zh-CN"/>
              </w:rPr>
              <w:t>）</w:t>
            </w:r>
          </w:p>
          <w:p>
            <w:pPr>
              <w:numPr>
                <w:ilvl w:val="0"/>
                <w:numId w:val="0"/>
              </w:numPr>
              <w:bidi w:val="0"/>
              <w:spacing w:line="360" w:lineRule="auto"/>
              <w:ind w:leftChars="0" w:firstLine="482" w:firstLineChars="200"/>
              <w:rPr>
                <w:rFonts w:hint="default" w:ascii="Times New Roman" w:hAnsi="Times New Roman" w:cs="Times New Roman"/>
                <w:b/>
                <w:kern w:val="2"/>
                <w:sz w:val="24"/>
                <w:szCs w:val="24"/>
                <w:lang w:val="en-US" w:eastAsia="zh-CN" w:bidi="ar-SA"/>
              </w:rPr>
            </w:pPr>
            <w:r>
              <w:rPr>
                <w:rFonts w:hint="eastAsia" w:cs="Times New Roman"/>
                <w:b/>
                <w:kern w:val="2"/>
                <w:sz w:val="24"/>
                <w:szCs w:val="24"/>
                <w:lang w:val="en-US" w:eastAsia="zh-CN" w:bidi="ar-SA"/>
              </w:rPr>
              <w:t>8</w:t>
            </w:r>
            <w:r>
              <w:rPr>
                <w:rFonts w:hint="default" w:ascii="Times New Roman" w:hAnsi="Times New Roman" w:cs="Times New Roman"/>
                <w:b/>
                <w:kern w:val="2"/>
                <w:sz w:val="24"/>
                <w:szCs w:val="24"/>
                <w:lang w:val="en-US" w:eastAsia="zh-CN" w:bidi="ar-SA"/>
              </w:rPr>
              <w:t>.3供电</w:t>
            </w:r>
          </w:p>
          <w:p>
            <w:pPr>
              <w:adjustRightInd w:val="0"/>
              <w:snapToGrid w:val="0"/>
              <w:spacing w:line="360" w:lineRule="auto"/>
              <w:ind w:firstLine="480"/>
              <w:jc w:val="both"/>
              <w:rPr>
                <w:rFonts w:hint="default" w:ascii="Times New Roman" w:hAnsi="Times New Roman" w:cs="Times New Roman"/>
                <w:color w:val="auto"/>
                <w:vertAlign w:val="superscript"/>
              </w:rPr>
            </w:pPr>
            <w:r>
              <w:rPr>
                <w:rFonts w:hint="default" w:ascii="Times New Roman" w:hAnsi="Times New Roman" w:eastAsia="宋体" w:cs="Times New Roman"/>
                <w:color w:val="auto"/>
              </w:rPr>
              <w:t>该矿电源引自</w:t>
            </w:r>
            <w:r>
              <w:rPr>
                <w:rFonts w:hint="default" w:ascii="Times New Roman" w:hAnsi="Times New Roman" w:eastAsia="宋体" w:cs="Times New Roman"/>
                <w:color w:val="auto"/>
                <w:lang w:val="en-US" w:eastAsia="zh-CN"/>
              </w:rPr>
              <w:t>附近国家电网</w:t>
            </w:r>
            <w:r>
              <w:rPr>
                <w:rFonts w:hint="eastAsia" w:cs="Times New Roman"/>
                <w:color w:val="auto"/>
                <w:lang w:eastAsia="zh-CN"/>
              </w:rPr>
              <w:t>，</w:t>
            </w:r>
            <w:r>
              <w:rPr>
                <w:rFonts w:hint="default" w:ascii="Times New Roman" w:hAnsi="Times New Roman" w:eastAsia="宋体" w:cs="Times New Roman"/>
                <w:color w:val="auto"/>
              </w:rPr>
              <w:t>作为生产、生活电源使用。</w:t>
            </w:r>
          </w:p>
          <w:p>
            <w:pPr>
              <w:ind w:firstLine="482"/>
              <w:rPr>
                <w:rFonts w:hint="default" w:ascii="Times New Roman" w:hAnsi="Times New Roman" w:cs="Times New Roman"/>
                <w:b/>
                <w:color w:val="auto"/>
              </w:rPr>
            </w:pPr>
            <w:r>
              <w:rPr>
                <w:rFonts w:hint="eastAsia" w:cs="Times New Roman"/>
                <w:b/>
                <w:color w:val="auto"/>
                <w:lang w:val="en-US" w:eastAsia="zh-CN"/>
              </w:rPr>
              <w:t>8</w:t>
            </w:r>
            <w:r>
              <w:rPr>
                <w:rFonts w:hint="default" w:ascii="Times New Roman" w:hAnsi="Times New Roman" w:cs="Times New Roman"/>
                <w:b/>
                <w:color w:val="auto"/>
                <w:lang w:val="en-US" w:eastAsia="zh-CN"/>
              </w:rPr>
              <w:t>.5</w:t>
            </w:r>
            <w:r>
              <w:rPr>
                <w:rFonts w:hint="default" w:ascii="Times New Roman" w:hAnsi="Times New Roman" w:cs="Times New Roman"/>
                <w:b/>
                <w:color w:val="auto"/>
              </w:rPr>
              <w:t>供油</w:t>
            </w:r>
          </w:p>
          <w:p>
            <w:pPr>
              <w:ind w:firstLine="480"/>
              <w:rPr>
                <w:rFonts w:hint="default" w:ascii="Times New Roman" w:hAnsi="Times New Roman" w:cs="Times New Roman"/>
                <w:b/>
                <w:bCs/>
                <w:color w:val="auto"/>
              </w:rPr>
            </w:pPr>
            <w:r>
              <w:rPr>
                <w:rFonts w:hint="default" w:ascii="Times New Roman" w:hAnsi="Times New Roman" w:cs="Times New Roman"/>
                <w:color w:val="auto"/>
              </w:rPr>
              <w:t>矿山铲装、运输设备均为柴油动力设备</w:t>
            </w:r>
            <w:r>
              <w:rPr>
                <w:rFonts w:hint="eastAsia" w:cs="Times New Roman"/>
                <w:color w:val="auto"/>
                <w:lang w:eastAsia="zh-CN"/>
              </w:rPr>
              <w:t>，</w:t>
            </w:r>
            <w:r>
              <w:rPr>
                <w:rFonts w:hint="default" w:ascii="Times New Roman" w:hAnsi="Times New Roman" w:cs="Times New Roman"/>
                <w:color w:val="auto"/>
              </w:rPr>
              <w:t>矿区不设储油罐，每日早晚定时由加油站罐车配送柴油，直接给工程车辆加注。加注过程应用专人管理，做好安全防护措施</w:t>
            </w:r>
            <w:r>
              <w:rPr>
                <w:rFonts w:hint="default" w:ascii="Times New Roman" w:hAnsi="Times New Roman" w:cs="Times New Roman"/>
                <w:color w:val="auto"/>
                <w:lang w:eastAsia="zh-CN"/>
              </w:rPr>
              <w:t>。</w:t>
            </w:r>
          </w:p>
          <w:p>
            <w:pPr>
              <w:adjustRightInd w:val="0"/>
              <w:snapToGrid w:val="0"/>
              <w:ind w:firstLine="482"/>
              <w:jc w:val="both"/>
              <w:rPr>
                <w:rFonts w:hint="default" w:ascii="Times New Roman" w:hAnsi="Times New Roman" w:cs="Times New Roman"/>
                <w:b/>
                <w:bCs/>
                <w:color w:val="auto"/>
              </w:rPr>
            </w:pPr>
            <w:r>
              <w:rPr>
                <w:rFonts w:hint="eastAsia" w:cs="Times New Roman"/>
                <w:b/>
                <w:bCs/>
                <w:color w:val="auto"/>
                <w:lang w:val="en-US" w:eastAsia="zh-CN"/>
              </w:rPr>
              <w:t>8</w:t>
            </w:r>
            <w:r>
              <w:rPr>
                <w:rFonts w:hint="default" w:ascii="Times New Roman" w:hAnsi="Times New Roman" w:cs="Times New Roman"/>
                <w:b/>
                <w:bCs/>
                <w:color w:val="auto"/>
                <w:lang w:val="en-US" w:eastAsia="zh-CN"/>
              </w:rPr>
              <w:t>.6</w:t>
            </w:r>
            <w:r>
              <w:rPr>
                <w:rFonts w:hint="default" w:ascii="Times New Roman" w:hAnsi="Times New Roman" w:cs="Times New Roman"/>
                <w:b/>
                <w:bCs/>
                <w:color w:val="auto"/>
              </w:rPr>
              <w:t>矿山供热</w:t>
            </w:r>
          </w:p>
          <w:p>
            <w:pPr>
              <w:adjustRightInd w:val="0"/>
              <w:snapToGrid w:val="0"/>
              <w:ind w:firstLine="480"/>
              <w:jc w:val="both"/>
              <w:rPr>
                <w:rFonts w:hint="default" w:ascii="Times New Roman" w:hAnsi="Times New Roman" w:cs="Times New Roman"/>
                <w:color w:val="auto"/>
              </w:rPr>
            </w:pPr>
            <w:bookmarkStart w:id="1" w:name="_Toc383184696"/>
            <w:bookmarkStart w:id="2" w:name="_Toc109462187"/>
            <w:bookmarkStart w:id="3" w:name="_Toc342209880"/>
            <w:bookmarkStart w:id="4" w:name="_Toc420246101"/>
            <w:bookmarkStart w:id="5" w:name="_Toc109464288"/>
            <w:bookmarkStart w:id="6" w:name="_Toc109464083"/>
            <w:bookmarkStart w:id="7" w:name="_Toc375226302"/>
            <w:bookmarkStart w:id="8" w:name="_Toc528861919"/>
            <w:bookmarkStart w:id="9" w:name="_Toc357268599"/>
            <w:bookmarkStart w:id="10" w:name="_Toc414801381"/>
            <w:bookmarkStart w:id="11" w:name="_Toc104440256"/>
            <w:bookmarkStart w:id="12" w:name="_Toc152215201"/>
            <w:bookmarkStart w:id="13" w:name="_Toc104440432"/>
            <w:bookmarkStart w:id="14" w:name="_Toc283222044"/>
            <w:bookmarkStart w:id="15" w:name="_Toc123873628"/>
            <w:bookmarkStart w:id="16" w:name="_Toc123874031"/>
            <w:bookmarkStart w:id="17" w:name="_Toc283203835"/>
            <w:bookmarkStart w:id="18" w:name="_Toc283279653"/>
            <w:bookmarkStart w:id="19" w:name="_Toc354659427"/>
            <w:r>
              <w:rPr>
                <w:rFonts w:hint="default" w:ascii="Times New Roman" w:hAnsi="Times New Roman" w:cs="Times New Roman"/>
                <w:color w:val="auto"/>
              </w:rPr>
              <w:t>矿山冬季不生产，无集中供热设施，留守人员采用电锅炉供暖。</w:t>
            </w:r>
          </w:p>
          <w:p>
            <w:pPr>
              <w:adjustRightInd w:val="0"/>
              <w:snapToGrid w:val="0"/>
              <w:ind w:firstLine="482"/>
              <w:jc w:val="both"/>
              <w:rPr>
                <w:rFonts w:hint="default" w:ascii="Times New Roman" w:hAnsi="Times New Roman" w:cs="Times New Roman"/>
                <w:b/>
                <w:bCs/>
                <w:color w:val="auto"/>
              </w:rPr>
            </w:pPr>
            <w:bookmarkStart w:id="20" w:name="_Toc4104"/>
            <w:r>
              <w:rPr>
                <w:rFonts w:hint="eastAsia" w:cs="Times New Roman"/>
                <w:b/>
                <w:bCs/>
                <w:color w:val="auto"/>
                <w:lang w:val="en-US" w:eastAsia="zh-CN"/>
              </w:rPr>
              <w:t>8</w:t>
            </w:r>
            <w:r>
              <w:rPr>
                <w:rFonts w:hint="default" w:ascii="Times New Roman" w:hAnsi="Times New Roman" w:cs="Times New Roman"/>
                <w:b/>
                <w:bCs/>
                <w:color w:val="auto"/>
                <w:lang w:val="en-US" w:eastAsia="zh-CN"/>
              </w:rPr>
              <w:t>.7</w:t>
            </w:r>
            <w:r>
              <w:rPr>
                <w:rFonts w:hint="default" w:ascii="Times New Roman" w:hAnsi="Times New Roman" w:cs="Times New Roman"/>
                <w:b/>
                <w:bCs/>
                <w:color w:val="auto"/>
              </w:rPr>
              <w:t>矿山机修</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adjustRightInd w:val="0"/>
              <w:snapToGrid w:val="0"/>
              <w:ind w:firstLine="480"/>
              <w:jc w:val="both"/>
              <w:rPr>
                <w:rFonts w:hint="default"/>
                <w:lang w:val="en-US" w:eastAsia="zh-CN"/>
              </w:rPr>
            </w:pPr>
            <w:bookmarkStart w:id="21" w:name="_Toc52295205"/>
            <w:bookmarkStart w:id="22" w:name="_Toc46897317"/>
            <w:r>
              <w:rPr>
                <w:rFonts w:hint="default" w:ascii="Times New Roman" w:hAnsi="Times New Roman" w:cs="Times New Roman"/>
                <w:color w:val="auto"/>
              </w:rPr>
              <w:t>矿山距城镇较近，只配备简单的机修工具，不配备专职人员。出现自身解决不了的机修问题委托社会协作解决。砂厂规模较小，交通方便，为满足设备正常生产机、汽修设施仅做一般性配置。对于砂厂设备的大修、三级保养、大型的零配件加工均外协解决。</w:t>
            </w:r>
            <w:bookmarkEnd w:id="21"/>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09" w:type="dxa"/>
            <w:vAlign w:val="center"/>
          </w:tcPr>
          <w:p>
            <w:pPr>
              <w:ind w:firstLine="0" w:firstLineChars="0"/>
              <w:jc w:val="center"/>
              <w:rPr>
                <w:sz w:val="21"/>
                <w:szCs w:val="21"/>
              </w:rPr>
            </w:pPr>
            <w:r>
              <w:rPr>
                <w:rFonts w:hint="eastAsia"/>
                <w:sz w:val="21"/>
                <w:szCs w:val="21"/>
              </w:rPr>
              <w:t>总平面及现场布置</w:t>
            </w:r>
          </w:p>
        </w:tc>
        <w:tc>
          <w:tcPr>
            <w:tcW w:w="7831" w:type="dxa"/>
            <w:vAlign w:val="center"/>
          </w:tcPr>
          <w:p>
            <w:pPr>
              <w:rPr>
                <w:b/>
                <w:bCs/>
                <w:color w:val="auto"/>
              </w:rPr>
            </w:pPr>
            <w:r>
              <w:rPr>
                <w:color w:val="auto"/>
              </w:rPr>
              <w:t>项目平面以节约用地、满足生产工艺、交通运输、安全防护的前提下进行布置：本项目</w:t>
            </w:r>
            <w:r>
              <w:rPr>
                <w:rFonts w:hint="eastAsia"/>
                <w:color w:val="auto"/>
              </w:rPr>
              <w:t>矿山生活区位于</w:t>
            </w:r>
            <w:r>
              <w:rPr>
                <w:rFonts w:hint="eastAsia"/>
                <w:color w:val="auto"/>
                <w:lang w:val="en-US" w:eastAsia="zh-CN"/>
              </w:rPr>
              <w:t>西北侧</w:t>
            </w:r>
            <w:r>
              <w:rPr>
                <w:color w:val="auto"/>
              </w:rPr>
              <w:t>，</w:t>
            </w:r>
            <w:r>
              <w:rPr>
                <w:rFonts w:hint="eastAsia"/>
                <w:color w:val="auto"/>
                <w:lang w:val="en-US" w:eastAsia="zh-CN"/>
              </w:rPr>
              <w:t>工业加工厂区</w:t>
            </w:r>
            <w:r>
              <w:rPr>
                <w:rFonts w:hint="eastAsia"/>
                <w:color w:val="auto"/>
                <w:lang w:eastAsia="zh-CN"/>
              </w:rPr>
              <w:t>位于矿区</w:t>
            </w:r>
            <w:r>
              <w:rPr>
                <w:rFonts w:hint="eastAsia"/>
                <w:color w:val="auto"/>
                <w:lang w:val="en-US" w:eastAsia="zh-CN"/>
              </w:rPr>
              <w:t>中</w:t>
            </w:r>
            <w:r>
              <w:rPr>
                <w:rFonts w:hint="eastAsia"/>
                <w:color w:val="auto"/>
                <w:lang w:eastAsia="zh-CN"/>
              </w:rPr>
              <w:t>部</w:t>
            </w:r>
            <w:r>
              <w:rPr>
                <w:rFonts w:hint="eastAsia"/>
                <w:color w:val="auto"/>
                <w:lang w:val="en-US" w:eastAsia="zh-CN"/>
              </w:rPr>
              <w:t>。</w:t>
            </w:r>
            <w:r>
              <w:rPr>
                <w:rFonts w:hint="eastAsia"/>
                <w:color w:val="auto"/>
              </w:rPr>
              <w:t>项目平面布置图见附图</w:t>
            </w:r>
            <w:r>
              <w:rPr>
                <w:rFonts w:hint="eastAsia"/>
                <w:color w:val="auto"/>
                <w:lang w:val="en-US" w:eastAsia="zh-CN"/>
              </w:rPr>
              <w:t>4</w:t>
            </w:r>
            <w:r>
              <w:rPr>
                <w:rFonts w:hint="eastAsia"/>
                <w:color w:val="auto"/>
              </w:rPr>
              <w:t>。</w:t>
            </w:r>
          </w:p>
          <w:p>
            <w:pPr>
              <w:ind w:firstLine="480"/>
              <w:rPr>
                <w:rFonts w:hint="default"/>
                <w:lang w:val="en-US"/>
              </w:rPr>
            </w:pPr>
            <w:r>
              <w:rPr>
                <w:rFonts w:hint="default" w:ascii="Times New Roman" w:hAnsi="Times New Roman" w:eastAsia="宋体" w:cs="Times New Roman"/>
                <w:color w:val="auto"/>
                <w:lang w:val="en-US" w:eastAsia="zh-CN"/>
              </w:rPr>
              <w:t>综上所述，从环境保护角度，项目的平面布置是合理的。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09" w:type="dxa"/>
            <w:vAlign w:val="center"/>
          </w:tcPr>
          <w:p>
            <w:pPr>
              <w:ind w:firstLine="0" w:firstLineChars="0"/>
              <w:jc w:val="center"/>
              <w:rPr>
                <w:sz w:val="21"/>
                <w:szCs w:val="21"/>
              </w:rPr>
            </w:pPr>
            <w:r>
              <w:rPr>
                <w:rFonts w:hint="eastAsia"/>
                <w:sz w:val="21"/>
                <w:szCs w:val="21"/>
              </w:rPr>
              <w:t>施工方案</w:t>
            </w:r>
          </w:p>
        </w:tc>
        <w:tc>
          <w:tcPr>
            <w:tcW w:w="7831" w:type="dxa"/>
            <w:vAlign w:val="center"/>
          </w:tcPr>
          <w:p>
            <w:pPr>
              <w:bidi w:val="0"/>
              <w:ind w:left="0" w:leftChars="0" w:firstLine="0" w:firstLineChars="0"/>
              <w:rPr>
                <w:rFonts w:hint="default"/>
                <w:b/>
                <w:bCs/>
                <w:lang w:val="en-US" w:eastAsia="zh-CN"/>
              </w:rPr>
            </w:pPr>
            <w:r>
              <w:rPr>
                <w:rFonts w:hint="eastAsia"/>
                <w:b/>
                <w:bCs/>
                <w:lang w:val="en-US" w:eastAsia="zh-CN"/>
              </w:rPr>
              <w:t>1、施工工艺</w:t>
            </w:r>
          </w:p>
          <w:p>
            <w:pPr>
              <w:bidi w:val="0"/>
              <w:ind w:left="0" w:leftChars="0" w:firstLine="0" w:firstLineChars="0"/>
              <w:rPr>
                <w:b/>
                <w:bCs/>
                <w:color w:val="auto"/>
              </w:rPr>
            </w:pPr>
            <w:r>
              <w:rPr>
                <w:rFonts w:hint="default"/>
                <w:b/>
                <w:bCs/>
                <w:lang w:val="en-US" w:eastAsia="zh-CN"/>
              </w:rPr>
              <w:t>1</w:t>
            </w:r>
            <w:r>
              <w:rPr>
                <w:rFonts w:hint="default"/>
                <w:b/>
                <w:bCs/>
                <w:color w:val="auto"/>
                <w:lang w:val="en-US" w:eastAsia="zh-CN"/>
              </w:rPr>
              <w:t>.</w:t>
            </w:r>
            <w:r>
              <w:rPr>
                <w:rFonts w:hint="eastAsia"/>
                <w:b/>
                <w:bCs/>
                <w:color w:val="auto"/>
                <w:lang w:val="en-US" w:eastAsia="zh-CN"/>
              </w:rPr>
              <w:t>1</w:t>
            </w:r>
            <w:r>
              <w:rPr>
                <w:b/>
                <w:bCs/>
                <w:color w:val="auto"/>
                <w:lang w:val="en-US" w:eastAsia="zh-CN"/>
              </w:rPr>
              <w:t>开采方式</w:t>
            </w:r>
          </w:p>
          <w:p>
            <w:pPr>
              <w:adjustRightInd w:val="0"/>
              <w:snapToGrid w:val="0"/>
              <w:ind w:firstLine="480"/>
              <w:rPr>
                <w:rFonts w:hint="default"/>
                <w:lang w:val="en-US" w:eastAsia="zh-CN"/>
              </w:rPr>
            </w:pPr>
            <w:r>
              <w:rPr>
                <w:rFonts w:hint="default"/>
                <w:color w:val="auto"/>
                <w:lang w:val="en-US" w:eastAsia="zh-CN"/>
              </w:rPr>
              <w:t>根据矿山地</w:t>
            </w:r>
            <w:r>
              <w:rPr>
                <w:rFonts w:hint="default"/>
                <w:lang w:val="en-US" w:eastAsia="zh-CN"/>
              </w:rPr>
              <w:t>形地质条件、矿山建设规模及机械化程度，为确保安全生产，提高资源利用率，设计采用自上而下水平分层台阶式</w:t>
            </w:r>
            <w:r>
              <w:rPr>
                <w:rFonts w:hint="eastAsia"/>
                <w:lang w:val="en-US" w:eastAsia="zh-CN"/>
              </w:rPr>
              <w:t>同时湿法进行</w:t>
            </w:r>
            <w:r>
              <w:rPr>
                <w:rFonts w:hint="default"/>
                <w:lang w:val="en-US" w:eastAsia="zh-CN"/>
              </w:rPr>
              <w:t>开采</w:t>
            </w:r>
            <w:r>
              <w:rPr>
                <w:rFonts w:hint="eastAsia"/>
                <w:lang w:val="en-US" w:eastAsia="zh-CN"/>
              </w:rPr>
              <w:t>的</w:t>
            </w:r>
            <w:r>
              <w:rPr>
                <w:rFonts w:hint="default"/>
                <w:lang w:val="en-US" w:eastAsia="zh-CN"/>
              </w:rPr>
              <w:t>方法。根据《金属非金属露天矿山</w:t>
            </w:r>
            <w:r>
              <w:rPr>
                <w:rFonts w:hint="default" w:ascii="Times New Roman" w:hAnsi="Times New Roman" w:cs="Times New Roman"/>
                <w:lang w:val="en-US" w:eastAsia="zh-CN"/>
              </w:rPr>
              <w:t>安全规程》（GB16423-2020）5.2.1：松软的岩土采掘作业方式采用机械铲装，不爆破，阶段高度不大于机械的最大挖掘高度，</w:t>
            </w:r>
            <w:r>
              <w:rPr>
                <w:rFonts w:hint="default" w:ascii="Times New Roman" w:hAnsi="Times New Roman" w:cs="Times New Roman"/>
                <w:color w:val="auto"/>
              </w:rPr>
              <w:t>矿山规</w:t>
            </w:r>
            <w:r>
              <w:rPr>
                <w:rFonts w:hint="default" w:ascii="Times New Roman" w:hAnsi="Times New Roman" w:eastAsia="宋体" w:cs="Times New Roman"/>
                <w:color w:val="auto"/>
              </w:rPr>
              <w:t>划共有1处</w:t>
            </w:r>
            <w:r>
              <w:rPr>
                <w:rFonts w:hint="default" w:ascii="Times New Roman" w:hAnsi="Times New Roman" w:eastAsia="宋体" w:cs="Times New Roman"/>
                <w:color w:val="auto"/>
                <w:lang w:eastAsia="zh-CN"/>
              </w:rPr>
              <w:t>露天采场</w:t>
            </w:r>
            <w:r>
              <w:rPr>
                <w:rFonts w:hint="default" w:ascii="Times New Roman" w:hAnsi="Times New Roman" w:eastAsia="宋体" w:cs="Times New Roman"/>
                <w:color w:val="auto"/>
              </w:rPr>
              <w:t>，总占地面积182000平方米，规划设施均位于规划露天采场范围内，呈正地形的规则状，形成1个台段，最大台阶高度4.5米，台阶坡面角30°，最终帮坡角30°</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矿体出露于</w:t>
            </w:r>
            <w:r>
              <w:rPr>
                <w:rFonts w:hint="default" w:ascii="Times New Roman" w:hAnsi="Times New Roman" w:eastAsia="宋体" w:cs="Times New Roman"/>
                <w:color w:val="auto"/>
                <w:szCs w:val="28"/>
              </w:rPr>
              <w:t>地表</w:t>
            </w:r>
            <w:r>
              <w:rPr>
                <w:rFonts w:hint="default" w:ascii="Times New Roman" w:hAnsi="Times New Roman" w:eastAsia="宋体" w:cs="Times New Roman"/>
                <w:color w:val="auto"/>
              </w:rPr>
              <w:t>，</w:t>
            </w:r>
            <w:r>
              <w:rPr>
                <w:rFonts w:hint="default" w:ascii="Times New Roman" w:hAnsi="Times New Roman" w:eastAsia="宋体" w:cs="Times New Roman"/>
                <w:color w:val="auto"/>
                <w:lang w:eastAsia="zh-CN"/>
              </w:rPr>
              <w:t>植被不发育</w:t>
            </w:r>
            <w:r>
              <w:rPr>
                <w:rFonts w:hint="default" w:ascii="Times New Roman" w:hAnsi="Times New Roman" w:eastAsia="宋体" w:cs="Times New Roman"/>
                <w:color w:val="auto"/>
                <w:lang w:val="en-US" w:eastAsia="zh-CN"/>
              </w:rPr>
              <w:t>。</w:t>
            </w:r>
            <w:r>
              <w:rPr>
                <w:rFonts w:hint="default" w:ascii="Times New Roman" w:hAnsi="Times New Roman" w:cs="Times New Roman"/>
                <w:lang w:val="en-US" w:eastAsia="zh-CN"/>
              </w:rPr>
              <w:t>开采完成后，利用废石逐步回填采坑，覆盖剥离的表土进行生态恢复。</w:t>
            </w:r>
          </w:p>
          <w:p>
            <w:pPr>
              <w:bidi w:val="0"/>
              <w:rPr>
                <w:rFonts w:hint="default"/>
                <w:lang w:val="en-US" w:eastAsia="zh-CN"/>
              </w:rPr>
            </w:pPr>
            <w:r>
              <w:rPr>
                <w:rFonts w:hint="eastAsia"/>
                <w:lang w:val="en-US" w:eastAsia="zh-CN"/>
              </w:rPr>
              <w:t>本次环评提出要求建设单位在开采时进行“边开采，边复垦”的开采方式，减少对生态的破坏。</w:t>
            </w:r>
          </w:p>
          <w:p>
            <w:pPr>
              <w:bidi w:val="0"/>
              <w:ind w:left="0" w:leftChars="0" w:firstLine="0" w:firstLineChars="0"/>
              <w:rPr>
                <w:b/>
                <w:bCs/>
              </w:rPr>
            </w:pPr>
            <w:r>
              <w:rPr>
                <w:rFonts w:hint="eastAsia"/>
                <w:b/>
                <w:bCs/>
                <w:lang w:val="en-US" w:eastAsia="zh-CN"/>
              </w:rPr>
              <w:t>1.2</w:t>
            </w:r>
            <w:r>
              <w:rPr>
                <w:b/>
                <w:bCs/>
                <w:lang w:val="en-US" w:eastAsia="zh-CN"/>
              </w:rPr>
              <w:t>开拓运输方案</w:t>
            </w:r>
          </w:p>
          <w:p>
            <w:pPr>
              <w:ind w:firstLine="480"/>
              <w:rPr>
                <w:rFonts w:hint="eastAsia" w:ascii="宋体" w:hAnsi="宋体"/>
                <w:color w:val="auto"/>
              </w:rPr>
            </w:pPr>
            <w:r>
              <w:rPr>
                <w:rFonts w:hint="eastAsia" w:ascii="宋体" w:hAnsi="宋体"/>
                <w:color w:val="auto"/>
              </w:rPr>
              <w:t>根据矿体赋存情况及地形条件，设计采用公路开拓汽车运输方案。</w:t>
            </w:r>
          </w:p>
          <w:p>
            <w:pPr>
              <w:ind w:firstLine="480"/>
              <w:rPr>
                <w:rFonts w:hint="eastAsia" w:ascii="宋体" w:hAnsi="宋体"/>
                <w:color w:val="auto"/>
              </w:rPr>
            </w:pPr>
            <w:r>
              <w:rPr>
                <w:rFonts w:hint="eastAsia" w:ascii="宋体" w:hAnsi="宋体"/>
                <w:color w:val="auto"/>
              </w:rPr>
              <w:t>矿区排水条件较好，水文地质及工程地质条件简单，矿体直接出露地表，矿体形态简单，规模不大等特点，设计选用投资少，基建工程量小，管理简单，技术可靠，作业机动灵活，适应性强的公路开拓汽车运输方案。</w:t>
            </w:r>
          </w:p>
          <w:p>
            <w:pPr>
              <w:bidi w:val="0"/>
              <w:ind w:left="0" w:leftChars="0" w:firstLine="0" w:firstLineChars="0"/>
              <w:rPr>
                <w:b/>
                <w:bCs/>
              </w:rPr>
            </w:pPr>
            <w:r>
              <w:rPr>
                <w:rFonts w:hint="eastAsia"/>
                <w:b/>
                <w:bCs/>
                <w:lang w:val="en-US" w:eastAsia="zh-CN"/>
              </w:rPr>
              <w:t>1.3</w:t>
            </w:r>
            <w:r>
              <w:rPr>
                <w:b/>
                <w:bCs/>
                <w:lang w:val="en-US" w:eastAsia="zh-CN"/>
              </w:rPr>
              <w:t>采矿方法</w:t>
            </w:r>
          </w:p>
          <w:p>
            <w:pPr>
              <w:numPr>
                <w:ilvl w:val="0"/>
                <w:numId w:val="0"/>
              </w:numPr>
              <w:bidi w:val="0"/>
              <w:ind w:left="0" w:leftChars="0" w:firstLine="480" w:firstLineChars="200"/>
              <w:rPr>
                <w:rFonts w:hint="eastAsia"/>
                <w:lang w:val="en-US" w:eastAsia="zh-CN"/>
              </w:rPr>
            </w:pPr>
            <w:r>
              <w:rPr>
                <w:lang w:val="en-US" w:eastAsia="zh-CN"/>
              </w:rPr>
              <w:t>根据矿山地形地质条件、矿山建设规模及机械化程度，为确保安全生产，提高资源利用率，</w:t>
            </w:r>
            <w:r>
              <w:rPr>
                <w:rFonts w:hint="eastAsia"/>
                <w:lang w:val="en-US" w:eastAsia="zh-CN"/>
              </w:rPr>
              <w:t>矿区内矿体出露地表，最低开采标高处于最低侵蚀基准面之上，露天开采条件好。根据矿体赋存特征及地形条件，设计采用凹陷式露天开采方式，自上而下多个小台阶进行开采，最终并段形成一个最终台阶采矿方法。</w:t>
            </w:r>
          </w:p>
          <w:p>
            <w:pPr>
              <w:numPr>
                <w:ilvl w:val="0"/>
                <w:numId w:val="0"/>
              </w:numPr>
              <w:bidi w:val="0"/>
              <w:ind w:left="0" w:leftChars="0" w:firstLine="0" w:firstLineChars="0"/>
              <w:rPr>
                <w:rFonts w:hint="eastAsia" w:ascii="Times New Roman" w:hAnsi="Times New Roman" w:eastAsia="宋体"/>
                <w:b/>
                <w:bCs/>
                <w:color w:val="000000" w:themeColor="text1"/>
                <w:lang w:val="en-US" w:eastAsia="zh-CN"/>
                <w14:textFill>
                  <w14:solidFill>
                    <w14:schemeClr w14:val="tx1"/>
                  </w14:solidFill>
                </w14:textFill>
              </w:rPr>
            </w:pPr>
            <w:r>
              <w:rPr>
                <w:rFonts w:hint="eastAsia" w:cstheme="minorBidi"/>
                <w:b/>
                <w:bCs/>
                <w:color w:val="000000" w:themeColor="text1"/>
                <w:kern w:val="2"/>
                <w:sz w:val="24"/>
                <w:szCs w:val="24"/>
                <w:lang w:val="en-US" w:eastAsia="zh-CN" w:bidi="ar-SA"/>
                <w14:textFill>
                  <w14:solidFill>
                    <w14:schemeClr w14:val="tx1"/>
                  </w14:solidFill>
                </w14:textFill>
              </w:rPr>
              <w:t>1.4</w:t>
            </w:r>
            <w:r>
              <w:rPr>
                <w:rFonts w:hint="eastAsia" w:ascii="Times New Roman" w:hAnsi="Times New Roman" w:eastAsia="宋体"/>
                <w:b/>
                <w:bCs/>
                <w:color w:val="000000" w:themeColor="text1"/>
                <w:lang w:val="en-US" w:eastAsia="zh-CN"/>
                <w14:textFill>
                  <w14:solidFill>
                    <w14:schemeClr w14:val="tx1"/>
                  </w14:solidFill>
                </w14:textFill>
              </w:rPr>
              <w:t>运营期工艺流程</w:t>
            </w:r>
          </w:p>
          <w:p>
            <w:pPr>
              <w:ind w:firstLine="480"/>
              <w:rPr>
                <w:rFonts w:hint="default" w:ascii="Times New Roman" w:hAnsi="Times New Roman" w:eastAsia="宋体" w:cs="Times New Roman"/>
                <w:color w:val="auto"/>
              </w:rPr>
            </w:pPr>
            <w:r>
              <w:rPr>
                <w:rFonts w:hint="eastAsia" w:ascii="宋体" w:hAnsi="宋体" w:eastAsia="宋体"/>
                <w:color w:val="auto"/>
                <w:lang w:eastAsia="zh-CN"/>
              </w:rPr>
              <w:t>开采的砂</w:t>
            </w:r>
            <w:r>
              <w:rPr>
                <w:rFonts w:hint="default" w:ascii="Times New Roman" w:hAnsi="Times New Roman" w:eastAsia="宋体" w:cs="Times New Roman"/>
                <w:color w:val="auto"/>
                <w:lang w:eastAsia="zh-CN"/>
              </w:rPr>
              <w:t>石</w:t>
            </w:r>
            <w:r>
              <w:rPr>
                <w:rFonts w:hint="eastAsia" w:ascii="Times New Roman" w:hAnsi="Times New Roman" w:eastAsia="宋体" w:cs="Times New Roman"/>
                <w:color w:val="auto"/>
                <w:lang w:eastAsia="zh-CN"/>
              </w:rPr>
              <w:t>进</w:t>
            </w:r>
            <w:r>
              <w:rPr>
                <w:rFonts w:hint="default" w:ascii="Times New Roman" w:hAnsi="Times New Roman" w:eastAsia="宋体" w:cs="Times New Roman"/>
                <w:color w:val="auto"/>
              </w:rPr>
              <w:t>入给料机，</w:t>
            </w:r>
            <w:r>
              <w:rPr>
                <w:rFonts w:hint="default" w:ascii="Times New Roman" w:hAnsi="Times New Roman" w:eastAsia="宋体" w:cs="Times New Roman"/>
                <w:color w:val="auto"/>
                <w:lang w:eastAsia="zh-CN"/>
              </w:rPr>
              <w:t>经输送带进行</w:t>
            </w:r>
            <w:r>
              <w:rPr>
                <w:rFonts w:hint="default" w:ascii="Times New Roman" w:hAnsi="Times New Roman" w:eastAsia="宋体" w:cs="Times New Roman"/>
                <w:color w:val="auto"/>
              </w:rPr>
              <w:t>筛分机进行</w:t>
            </w:r>
            <w:r>
              <w:rPr>
                <w:rFonts w:hint="default" w:ascii="Times New Roman" w:hAnsi="Times New Roman" w:eastAsia="宋体" w:cs="Times New Roman"/>
                <w:color w:val="auto"/>
                <w:lang w:eastAsia="zh-CN"/>
              </w:rPr>
              <w:t>三级</w:t>
            </w:r>
            <w:r>
              <w:rPr>
                <w:rFonts w:hint="default" w:ascii="Times New Roman" w:hAnsi="Times New Roman" w:eastAsia="宋体" w:cs="Times New Roman"/>
                <w:color w:val="auto"/>
              </w:rPr>
              <w:t>筛分，筛分后的</w:t>
            </w:r>
            <w:r>
              <w:rPr>
                <w:rFonts w:hint="default" w:ascii="Times New Roman" w:hAnsi="Times New Roman" w:eastAsia="宋体" w:cs="Times New Roman"/>
                <w:color w:val="auto"/>
                <w:lang w:eastAsia="zh-CN"/>
              </w:rPr>
              <w:t>砂石</w:t>
            </w:r>
            <w:r>
              <w:rPr>
                <w:rFonts w:hint="default" w:ascii="Times New Roman" w:hAnsi="Times New Roman" w:eastAsia="宋体" w:cs="Times New Roman"/>
                <w:color w:val="auto"/>
              </w:rPr>
              <w:t>进行清洗，经水洗后送往成</w:t>
            </w:r>
            <w:r>
              <w:rPr>
                <w:rFonts w:hint="default" w:ascii="Times New Roman" w:hAnsi="Times New Roman" w:eastAsia="宋体" w:cs="Times New Roman"/>
                <w:color w:val="auto"/>
                <w:lang w:val="en-US" w:eastAsia="zh-CN"/>
              </w:rPr>
              <w:t>堆料场</w:t>
            </w:r>
            <w:r>
              <w:rPr>
                <w:rFonts w:hint="default" w:ascii="Times New Roman" w:hAnsi="Times New Roman" w:eastAsia="宋体" w:cs="Times New Roman"/>
                <w:color w:val="auto"/>
              </w:rPr>
              <w:t>，</w:t>
            </w:r>
            <w:r>
              <w:rPr>
                <w:rFonts w:hint="default" w:ascii="Times New Roman" w:hAnsi="Times New Roman" w:eastAsia="宋体" w:cs="Times New Roman"/>
                <w:color w:val="auto"/>
                <w:lang w:eastAsia="zh-CN"/>
              </w:rPr>
              <w:t>符合规格的碎石在筛分后送往成品</w:t>
            </w:r>
            <w:r>
              <w:rPr>
                <w:rFonts w:hint="eastAsia" w:ascii="Times New Roman" w:hAnsi="Times New Roman" w:eastAsia="宋体" w:cs="Times New Roman"/>
                <w:color w:val="auto"/>
                <w:lang w:eastAsia="zh-CN"/>
              </w:rPr>
              <w:t>堆场</w:t>
            </w:r>
            <w:r>
              <w:rPr>
                <w:rFonts w:hint="default" w:ascii="Times New Roman" w:hAnsi="Times New Roman" w:eastAsia="宋体" w:cs="Times New Roman"/>
                <w:color w:val="auto"/>
                <w:lang w:eastAsia="zh-CN"/>
              </w:rPr>
              <w:t>，最终产品进行外售</w:t>
            </w:r>
            <w:r>
              <w:rPr>
                <w:rFonts w:hint="default" w:ascii="Times New Roman" w:hAnsi="Times New Roman" w:eastAsia="宋体" w:cs="Times New Roman"/>
                <w:color w:val="auto"/>
              </w:rPr>
              <w:t>。运营</w:t>
            </w:r>
            <w:r>
              <w:rPr>
                <w:rFonts w:hint="default" w:ascii="Times New Roman" w:hAnsi="Times New Roman" w:eastAsia="宋体" w:cs="Times New Roman"/>
                <w:color w:val="auto"/>
                <w:lang w:eastAsia="zh-CN"/>
              </w:rPr>
              <w:t>期</w:t>
            </w:r>
            <w:r>
              <w:rPr>
                <w:rFonts w:hint="default" w:ascii="Times New Roman" w:hAnsi="Times New Roman" w:eastAsia="宋体" w:cs="Times New Roman"/>
                <w:color w:val="auto"/>
              </w:rPr>
              <w:t>工艺流程图见</w:t>
            </w:r>
            <w:r>
              <w:rPr>
                <w:rFonts w:hint="default" w:ascii="Times New Roman" w:hAnsi="Times New Roman" w:eastAsia="宋体" w:cs="Times New Roman"/>
                <w:color w:val="auto"/>
                <w:lang w:eastAsia="zh-CN"/>
              </w:rPr>
              <w:t>下图</w:t>
            </w:r>
            <w:r>
              <w:rPr>
                <w:rFonts w:hint="default" w:ascii="Times New Roman" w:hAnsi="Times New Roman" w:eastAsia="宋体" w:cs="Times New Roman"/>
                <w:color w:val="auto"/>
              </w:rPr>
              <w:t>。</w:t>
            </w:r>
          </w:p>
          <w:p>
            <w:pPr>
              <w:widowControl/>
              <w:ind w:firstLine="480"/>
              <w:jc w:val="left"/>
              <w:rPr>
                <w:rFonts w:hint="default"/>
                <w:lang w:val="en-US" w:eastAsia="zh-CN"/>
              </w:rPr>
            </w:pPr>
            <w:r>
              <w:rPr>
                <w:sz w:val="24"/>
              </w:rPr>
              <mc:AlternateContent>
                <mc:Choice Requires="wps">
                  <w:drawing>
                    <wp:anchor distT="0" distB="0" distL="114300" distR="114300" simplePos="0" relativeHeight="251665408" behindDoc="0" locked="0" layoutInCell="1" allowOverlap="1">
                      <wp:simplePos x="0" y="0"/>
                      <wp:positionH relativeFrom="column">
                        <wp:posOffset>1335405</wp:posOffset>
                      </wp:positionH>
                      <wp:positionV relativeFrom="paragraph">
                        <wp:posOffset>668655</wp:posOffset>
                      </wp:positionV>
                      <wp:extent cx="525780" cy="481965"/>
                      <wp:effectExtent l="0" t="0" r="7620" b="13335"/>
                      <wp:wrapNone/>
                      <wp:docPr id="41" name="矩形 41"/>
                      <wp:cNvGraphicFramePr/>
                      <a:graphic xmlns:a="http://schemas.openxmlformats.org/drawingml/2006/main">
                        <a:graphicData uri="http://schemas.microsoft.com/office/word/2010/wordprocessingShape">
                          <wps:wsp>
                            <wps:cNvSpPr/>
                            <wps:spPr>
                              <a:xfrm>
                                <a:off x="0" y="0"/>
                                <a:ext cx="525780" cy="481965"/>
                              </a:xfrm>
                              <a:prstGeom prst="rect">
                                <a:avLst/>
                              </a:prstGeom>
                              <a:solidFill>
                                <a:schemeClr val="bg1"/>
                              </a:solidFill>
                              <a:ln>
                                <a:noFill/>
                              </a:ln>
                            </wps:spPr>
                            <wps:style>
                              <a:lnRef idx="2">
                                <a:schemeClr val="accent1">
                                  <a:lumMod val="75000"/>
                                </a:schemeClr>
                              </a:lnRef>
                              <a:fillRef idx="1">
                                <a:schemeClr val="accent1"/>
                              </a:fillRef>
                              <a:effectRef idx="0">
                                <a:srgbClr val="FFFFFF"/>
                              </a:effectRef>
                              <a:fontRef idx="minor">
                                <a:schemeClr val="lt1"/>
                              </a:fontRef>
                            </wps:style>
                            <wps:txbx>
                              <w:txbxContent>
                                <w:p>
                                  <w:pPr>
                                    <w:spacing w:line="240" w:lineRule="auto"/>
                                    <w:ind w:left="0" w:leftChars="0" w:firstLine="0" w:firstLineChars="0"/>
                                    <w:jc w:val="both"/>
                                    <w:rPr>
                                      <w:rFonts w:hint="eastAsia" w:eastAsia="宋体"/>
                                      <w:color w:val="000000" w:themeColor="text1"/>
                                      <w:sz w:val="13"/>
                                      <w:szCs w:val="13"/>
                                      <w:lang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15pt;margin-top:52.65pt;height:37.95pt;width:41.4pt;z-index:251665408;v-text-anchor:middle;mso-width-relative:page;mso-height-relative:page;" fillcolor="#FFFFFF [3212]" filled="t" stroked="f" coordsize="21600,21600" o:gfxdata="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8Q2Wn2QAAAAsBAAAPAAAAAAAAAAEAIAAAACIAAABkcnMvZG93&#10;bnJldi54bWxQSwECFAAUAAAACACHTuJA5w2IxHECAADXBAAADgAAAAAAAAABACAAAAAoAQAAZHJz&#10;L2Uyb0RvYy54bWxQSwUGAAAAAAYABgBZAQAACwYAAAAA&#10;">
                      <v:fill on="t" focussize="0,0"/>
                      <v:stroke on="f" weight="1pt" miterlimit="8" joinstyle="miter"/>
                      <v:imagedata o:title=""/>
                      <o:lock v:ext="edit" aspectratio="f"/>
                      <v:textbox>
                        <w:txbxContent>
                          <w:p>
                            <w:pPr>
                              <w:spacing w:line="240" w:lineRule="auto"/>
                              <w:ind w:left="0" w:leftChars="0" w:firstLine="0" w:firstLineChars="0"/>
                              <w:jc w:val="both"/>
                              <w:rPr>
                                <w:rFonts w:hint="eastAsia" w:eastAsia="宋体"/>
                                <w:color w:val="000000" w:themeColor="text1"/>
                                <w:sz w:val="13"/>
                                <w:szCs w:val="13"/>
                                <w:lang w:eastAsia="zh-CN"/>
                                <w14:textFill>
                                  <w14:solidFill>
                                    <w14:schemeClr w14:val="tx1"/>
                                  </w14:solidFill>
                                </w14:textFill>
                              </w:rPr>
                            </w:pPr>
                          </w:p>
                        </w:txbxContent>
                      </v:textbox>
                    </v:rect>
                  </w:pict>
                </mc:Fallback>
              </mc:AlternateContent>
            </w:r>
            <w:r>
              <w:rPr>
                <w:rFonts w:hint="eastAsia" w:eastAsia="宋体"/>
                <w:color w:val="404040" w:themeColor="text1" w:themeTint="BF"/>
                <w:lang w:eastAsia="zh-CN"/>
                <w14:textFill>
                  <w14:solidFill>
                    <w14:schemeClr w14:val="tx1">
                      <w14:lumMod w14:val="75000"/>
                      <w14:lumOff w14:val="25000"/>
                    </w14:schemeClr>
                  </w14:solidFill>
                </w14:textFill>
              </w:rPr>
              <w:drawing>
                <wp:inline distT="0" distB="0" distL="114300" distR="114300">
                  <wp:extent cx="4297680" cy="3157855"/>
                  <wp:effectExtent l="0" t="0" r="0" b="0"/>
                  <wp:docPr id="84"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ECB019B1-382A-4266-B25C-5B523AA43C14-1" descr="wps"/>
                          <pic:cNvPicPr>
                            <a:picLocks noChangeAspect="1"/>
                          </pic:cNvPicPr>
                        </pic:nvPicPr>
                        <pic:blipFill>
                          <a:blip r:embed="rId9"/>
                          <a:stretch>
                            <a:fillRect/>
                          </a:stretch>
                        </pic:blipFill>
                        <pic:spPr>
                          <a:xfrm>
                            <a:off x="0" y="0"/>
                            <a:ext cx="4297680" cy="3157855"/>
                          </a:xfrm>
                          <a:prstGeom prst="rect">
                            <a:avLst/>
                          </a:prstGeom>
                        </pic:spPr>
                      </pic:pic>
                    </a:graphicData>
                  </a:graphic>
                </wp:inline>
              </w:drawing>
            </w:r>
            <w:r>
              <w:rPr>
                <w:sz w:val="24"/>
              </w:rPr>
              <mc:AlternateContent>
                <mc:Choice Requires="wps">
                  <w:drawing>
                    <wp:anchor distT="0" distB="0" distL="114300" distR="114300" simplePos="0" relativeHeight="251664384" behindDoc="0" locked="0" layoutInCell="1" allowOverlap="1">
                      <wp:simplePos x="0" y="0"/>
                      <wp:positionH relativeFrom="column">
                        <wp:posOffset>584835</wp:posOffset>
                      </wp:positionH>
                      <wp:positionV relativeFrom="paragraph">
                        <wp:posOffset>751205</wp:posOffset>
                      </wp:positionV>
                      <wp:extent cx="632460" cy="319405"/>
                      <wp:effectExtent l="0" t="0" r="15240" b="4445"/>
                      <wp:wrapNone/>
                      <wp:docPr id="38" name="矩形 38"/>
                      <wp:cNvGraphicFramePr/>
                      <a:graphic xmlns:a="http://schemas.openxmlformats.org/drawingml/2006/main">
                        <a:graphicData uri="http://schemas.microsoft.com/office/word/2010/wordprocessingShape">
                          <wps:wsp>
                            <wps:cNvSpPr/>
                            <wps:spPr>
                              <a:xfrm>
                                <a:off x="3763010" y="4091940"/>
                                <a:ext cx="632460" cy="319405"/>
                              </a:xfrm>
                              <a:prstGeom prst="rect">
                                <a:avLst/>
                              </a:prstGeom>
                              <a:solidFill>
                                <a:schemeClr val="bg1"/>
                              </a:solidFill>
                              <a:ln>
                                <a:noFill/>
                              </a:ln>
                            </wps:spPr>
                            <wps:style>
                              <a:lnRef idx="2">
                                <a:schemeClr val="accent1">
                                  <a:lumMod val="75000"/>
                                </a:schemeClr>
                              </a:lnRef>
                              <a:fillRef idx="1">
                                <a:schemeClr val="accent1"/>
                              </a:fillRef>
                              <a:effectRef idx="0">
                                <a:srgbClr val="FFFFFF"/>
                              </a:effectRef>
                              <a:fontRef idx="minor">
                                <a:schemeClr val="lt1"/>
                              </a:fontRef>
                            </wps:style>
                            <wps:txbx>
                              <w:txbxContent>
                                <w:p>
                                  <w:pPr>
                                    <w:spacing w:line="240" w:lineRule="auto"/>
                                    <w:ind w:left="0" w:leftChars="0" w:firstLine="0" w:firstLineChars="0"/>
                                    <w:jc w:val="both"/>
                                    <w:rPr>
                                      <w:rFonts w:hint="eastAsia" w:eastAsia="宋体"/>
                                      <w:color w:val="000000" w:themeColor="text1"/>
                                      <w:sz w:val="16"/>
                                      <w:szCs w:val="16"/>
                                      <w:lang w:eastAsia="zh-CN"/>
                                      <w14:textFill>
                                        <w14:solidFill>
                                          <w14:schemeClr w14:val="tx1"/>
                                        </w14:solidFill>
                                      </w14:textFill>
                                    </w:rPr>
                                  </w:pPr>
                                  <w:r>
                                    <w:rPr>
                                      <w:rFonts w:hint="eastAsia"/>
                                      <w:color w:val="000000" w:themeColor="text1"/>
                                      <w:sz w:val="16"/>
                                      <w:szCs w:val="16"/>
                                      <w:lang w:eastAsia="zh-CN"/>
                                      <w14:textFill>
                                        <w14:solidFill>
                                          <w14:schemeClr w14:val="tx1"/>
                                        </w14:solidFill>
                                      </w14:textFill>
                                    </w:rPr>
                                    <w:t>砂石开采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6.05pt;margin-top:59.15pt;height:25.15pt;width:49.8pt;z-index:251664384;v-text-anchor:middle;mso-width-relative:page;mso-height-relative:page;" fillcolor="#FFFFFF [3212]" filled="t" stroked="f" coordsize="21600,21600" o:gfxdata="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IV2bs9kAAAAKAQAADwAAAAAAAAABACAAAAAi&#10;AAAAZHJzL2Rvd25yZXYueG1sUEsBAhQAFAAAAAgAh07iQHZgDbF7AgAA4wQAAA4AAAAAAAAAAQAg&#10;AAAAKAEAAGRycy9lMm9Eb2MueG1sUEsFBgAAAAAGAAYAWQEAABUGAAAAAA==&#10;">
                      <v:fill on="t" focussize="0,0"/>
                      <v:stroke on="f" weight="1pt" miterlimit="8" joinstyle="miter"/>
                      <v:imagedata o:title=""/>
                      <o:lock v:ext="edit" aspectratio="f"/>
                      <v:textbox>
                        <w:txbxContent>
                          <w:p>
                            <w:pPr>
                              <w:spacing w:line="240" w:lineRule="auto"/>
                              <w:ind w:left="0" w:leftChars="0" w:firstLine="0" w:firstLineChars="0"/>
                              <w:jc w:val="both"/>
                              <w:rPr>
                                <w:rFonts w:hint="eastAsia" w:eastAsia="宋体"/>
                                <w:color w:val="000000" w:themeColor="text1"/>
                                <w:sz w:val="16"/>
                                <w:szCs w:val="16"/>
                                <w:lang w:eastAsia="zh-CN"/>
                                <w14:textFill>
                                  <w14:solidFill>
                                    <w14:schemeClr w14:val="tx1"/>
                                  </w14:solidFill>
                                </w14:textFill>
                              </w:rPr>
                            </w:pPr>
                            <w:r>
                              <w:rPr>
                                <w:rFonts w:hint="eastAsia"/>
                                <w:color w:val="000000" w:themeColor="text1"/>
                                <w:sz w:val="16"/>
                                <w:szCs w:val="16"/>
                                <w:lang w:eastAsia="zh-CN"/>
                                <w14:textFill>
                                  <w14:solidFill>
                                    <w14:schemeClr w14:val="tx1"/>
                                  </w14:solidFill>
                                </w14:textFill>
                              </w:rPr>
                              <w:t>砂石开采</w:t>
                            </w:r>
                          </w:p>
                        </w:txbxContent>
                      </v:textbox>
                    </v:rect>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1295400</wp:posOffset>
                      </wp:positionH>
                      <wp:positionV relativeFrom="paragraph">
                        <wp:posOffset>913130</wp:posOffset>
                      </wp:positionV>
                      <wp:extent cx="600075" cy="0"/>
                      <wp:effectExtent l="0" t="48895" r="9525" b="65405"/>
                      <wp:wrapNone/>
                      <wp:docPr id="42" name="直接箭头连接符 42"/>
                      <wp:cNvGraphicFramePr/>
                      <a:graphic xmlns:a="http://schemas.openxmlformats.org/drawingml/2006/main">
                        <a:graphicData uri="http://schemas.microsoft.com/office/word/2010/wordprocessingShape">
                          <wps:wsp>
                            <wps:cNvCnPr/>
                            <wps:spPr>
                              <a:xfrm>
                                <a:off x="2473325" y="4932045"/>
                                <a:ext cx="600075" cy="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02pt;margin-top:71.9pt;height:0pt;width:47.25pt;z-index:251666432;mso-width-relative:page;mso-height-relative:page;" filled="f" stroked="t" coordsize="21600,21600" o:gfxdata="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R70ptgAAAALAQAADwAAAAAA&#10;AAABACAAAAAiAAAAZHJzL2Rvd25yZXYueG1sUEsBAhQAFAAAAAgAh07iQLeLXRATAgAA6wMAAA4A&#10;AAAAAAAAAQAgAAAAJwEAAGRycy9lMm9Eb2MueG1sUEsFBgAAAAAGAAYAWQEAAKwFAAAAAA==&#10;">
                      <v:fill on="f" focussize="0,0"/>
                      <v:stroke weight="0.5pt" color="#000000 [3213]" miterlimit="8" joinstyle="miter" endarrow="open"/>
                      <v:imagedata o:title=""/>
                      <o:lock v:ext="edit" aspectratio="f"/>
                    </v:shape>
                  </w:pict>
                </mc:Fallback>
              </mc:AlternateContent>
            </w:r>
          </w:p>
          <w:p>
            <w:pPr>
              <w:bidi w:val="0"/>
              <w:spacing w:line="240" w:lineRule="auto"/>
              <w:ind w:left="0" w:leftChars="0" w:firstLine="0" w:firstLineChars="0"/>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图2-1 运营期工艺流程</w:t>
            </w:r>
          </w:p>
          <w:p>
            <w:pPr>
              <w:pStyle w:val="5"/>
              <w:rPr>
                <w:rFonts w:hint="default" w:ascii="Times New Roman" w:hAnsi="Times New Roman" w:eastAsia="宋体" w:cs="Times New Roman"/>
                <w:b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2"/>
                <w:sz w:val="24"/>
                <w:szCs w:val="24"/>
                <w:lang w:val="en-US" w:eastAsia="zh-CN" w:bidi="ar-SA"/>
                <w14:textFill>
                  <w14:solidFill>
                    <w14:schemeClr w14:val="tx1"/>
                  </w14:solidFill>
                </w14:textFill>
              </w:rPr>
              <w:t>产污流程说明详见表2-</w:t>
            </w:r>
            <w:r>
              <w:rPr>
                <w:rFonts w:hint="eastAsia" w:ascii="Times New Roman" w:hAnsi="Times New Roman" w:eastAsia="宋体" w:cs="Times New Roman"/>
                <w:b w:val="0"/>
                <w:color w:val="000000" w:themeColor="text1"/>
                <w:kern w:val="2"/>
                <w:sz w:val="24"/>
                <w:szCs w:val="24"/>
                <w:lang w:val="en-US" w:eastAsia="zh-CN" w:bidi="ar-SA"/>
                <w14:textFill>
                  <w14:solidFill>
                    <w14:schemeClr w14:val="tx1"/>
                  </w14:solidFill>
                </w14:textFill>
              </w:rPr>
              <w:t>6</w:t>
            </w:r>
            <w:r>
              <w:rPr>
                <w:rFonts w:hint="default" w:ascii="Times New Roman" w:hAnsi="Times New Roman" w:eastAsia="宋体" w:cs="Times New Roman"/>
                <w:b w:val="0"/>
                <w:color w:val="000000" w:themeColor="text1"/>
                <w:kern w:val="2"/>
                <w:sz w:val="24"/>
                <w:szCs w:val="24"/>
                <w:lang w:val="en-US" w:eastAsia="zh-CN" w:bidi="ar-SA"/>
                <w14:textFill>
                  <w14:solidFill>
                    <w14:schemeClr w14:val="tx1"/>
                  </w14:solidFill>
                </w14:textFill>
              </w:rPr>
              <w:t>：</w:t>
            </w:r>
          </w:p>
          <w:p>
            <w:pPr>
              <w:pStyle w:val="9"/>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b/>
                <w:sz w:val="21"/>
                <w:szCs w:val="16"/>
              </w:rPr>
            </w:pPr>
            <w:r>
              <w:rPr>
                <w:rFonts w:hint="eastAsia"/>
                <w:b/>
                <w:sz w:val="21"/>
                <w:szCs w:val="16"/>
              </w:rPr>
              <w:t>表2-</w:t>
            </w:r>
            <w:r>
              <w:rPr>
                <w:rFonts w:hint="eastAsia"/>
                <w:b/>
                <w:sz w:val="21"/>
                <w:szCs w:val="16"/>
                <w:lang w:val="en-US" w:eastAsia="zh-CN"/>
              </w:rPr>
              <w:t xml:space="preserve">6  </w:t>
            </w:r>
            <w:r>
              <w:rPr>
                <w:rFonts w:hint="eastAsia"/>
                <w:b/>
                <w:sz w:val="21"/>
                <w:szCs w:val="16"/>
              </w:rPr>
              <w:t>主要产污环节和排污特征</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3551"/>
              <w:gridCol w:w="3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675" w:type="pct"/>
                  <w:vAlign w:val="center"/>
                </w:tcPr>
                <w:p>
                  <w:pPr>
                    <w:keepNext w:val="0"/>
                    <w:keepLines w:val="0"/>
                    <w:pageBreakBefore w:val="0"/>
                    <w:kinsoku/>
                    <w:wordWrap/>
                    <w:overflowPunct/>
                    <w:topLinePunct w:val="0"/>
                    <w:autoSpaceDE/>
                    <w:autoSpaceDN/>
                    <w:bidi w:val="0"/>
                    <w:adjustRightInd/>
                    <w:spacing w:line="240" w:lineRule="auto"/>
                    <w:ind w:right="0" w:firstLine="0" w:firstLineChars="0"/>
                    <w:jc w:val="center"/>
                    <w:textAlignment w:val="auto"/>
                    <w:rPr>
                      <w:b/>
                      <w:bCs/>
                      <w:sz w:val="21"/>
                      <w:szCs w:val="21"/>
                    </w:rPr>
                  </w:pPr>
                  <w:r>
                    <w:rPr>
                      <w:b/>
                      <w:bCs/>
                      <w:sz w:val="21"/>
                      <w:szCs w:val="21"/>
                    </w:rPr>
                    <w:t>类别</w:t>
                  </w:r>
                </w:p>
              </w:tc>
              <w:tc>
                <w:tcPr>
                  <w:tcW w:w="2335" w:type="pct"/>
                  <w:vAlign w:val="center"/>
                </w:tcPr>
                <w:p>
                  <w:pPr>
                    <w:keepNext w:val="0"/>
                    <w:keepLines w:val="0"/>
                    <w:pageBreakBefore w:val="0"/>
                    <w:kinsoku/>
                    <w:wordWrap/>
                    <w:overflowPunct/>
                    <w:topLinePunct w:val="0"/>
                    <w:autoSpaceDE/>
                    <w:autoSpaceDN/>
                    <w:bidi w:val="0"/>
                    <w:adjustRightInd/>
                    <w:spacing w:line="240" w:lineRule="auto"/>
                    <w:ind w:right="0" w:firstLine="0" w:firstLineChars="0"/>
                    <w:jc w:val="center"/>
                    <w:textAlignment w:val="auto"/>
                    <w:rPr>
                      <w:b/>
                      <w:bCs/>
                      <w:sz w:val="21"/>
                      <w:szCs w:val="21"/>
                    </w:rPr>
                  </w:pPr>
                  <w:r>
                    <w:rPr>
                      <w:b/>
                      <w:bCs/>
                      <w:sz w:val="21"/>
                      <w:szCs w:val="21"/>
                    </w:rPr>
                    <w:t>种类</w:t>
                  </w:r>
                </w:p>
              </w:tc>
              <w:tc>
                <w:tcPr>
                  <w:tcW w:w="1989" w:type="pct"/>
                  <w:vAlign w:val="center"/>
                </w:tcPr>
                <w:p>
                  <w:pPr>
                    <w:keepNext w:val="0"/>
                    <w:keepLines w:val="0"/>
                    <w:pageBreakBefore w:val="0"/>
                    <w:kinsoku/>
                    <w:wordWrap/>
                    <w:overflowPunct/>
                    <w:topLinePunct w:val="0"/>
                    <w:autoSpaceDE/>
                    <w:autoSpaceDN/>
                    <w:bidi w:val="0"/>
                    <w:adjustRightInd/>
                    <w:spacing w:line="240" w:lineRule="auto"/>
                    <w:ind w:right="0" w:firstLine="0" w:firstLineChars="0"/>
                    <w:jc w:val="center"/>
                    <w:textAlignment w:val="auto"/>
                    <w:rPr>
                      <w:b/>
                      <w:bCs/>
                      <w:sz w:val="21"/>
                      <w:szCs w:val="21"/>
                    </w:rPr>
                  </w:pPr>
                  <w:r>
                    <w:rPr>
                      <w:b/>
                      <w:bCs/>
                      <w:sz w:val="21"/>
                      <w:szCs w:val="21"/>
                    </w:rPr>
                    <w:t>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675" w:type="pct"/>
                  <w:vMerge w:val="restart"/>
                  <w:vAlign w:val="center"/>
                </w:tcPr>
                <w:p>
                  <w:pPr>
                    <w:pStyle w:val="9"/>
                    <w:keepNext w:val="0"/>
                    <w:keepLines w:val="0"/>
                    <w:pageBreakBefore w:val="0"/>
                    <w:kinsoku/>
                    <w:wordWrap/>
                    <w:overflowPunct/>
                    <w:topLinePunct w:val="0"/>
                    <w:autoSpaceDE/>
                    <w:autoSpaceDN/>
                    <w:bidi w:val="0"/>
                    <w:adjustRightInd/>
                    <w:spacing w:before="0" w:after="0" w:line="240" w:lineRule="auto"/>
                    <w:ind w:left="0" w:leftChars="0" w:right="0" w:firstLine="210" w:firstLineChars="100"/>
                    <w:jc w:val="both"/>
                    <w:textAlignment w:val="auto"/>
                    <w:rPr>
                      <w:rFonts w:hint="eastAsia" w:eastAsia="宋体"/>
                      <w:sz w:val="21"/>
                      <w:szCs w:val="21"/>
                      <w:lang w:val="en-US" w:eastAsia="zh-CN"/>
                    </w:rPr>
                  </w:pPr>
                  <w:r>
                    <w:rPr>
                      <w:rFonts w:hint="eastAsia"/>
                      <w:sz w:val="21"/>
                      <w:szCs w:val="21"/>
                      <w:lang w:val="en-US" w:eastAsia="zh-CN"/>
                    </w:rPr>
                    <w:t>废气</w:t>
                  </w:r>
                </w:p>
              </w:tc>
              <w:tc>
                <w:tcPr>
                  <w:tcW w:w="2335" w:type="pct"/>
                  <w:vAlign w:val="center"/>
                </w:tcPr>
                <w:p>
                  <w:pPr>
                    <w:pStyle w:val="19"/>
                    <w:keepNext w:val="0"/>
                    <w:keepLines w:val="0"/>
                    <w:pageBreakBefore w:val="0"/>
                    <w:kinsoku/>
                    <w:wordWrap/>
                    <w:overflowPunct/>
                    <w:topLinePunct w:val="0"/>
                    <w:autoSpaceDE/>
                    <w:autoSpaceDN/>
                    <w:bidi w:val="0"/>
                    <w:adjustRightInd/>
                    <w:spacing w:after="0" w:line="240" w:lineRule="auto"/>
                    <w:ind w:right="0" w:firstLine="0" w:firstLineChars="0"/>
                    <w:jc w:val="center"/>
                    <w:textAlignment w:val="auto"/>
                    <w:rPr>
                      <w:rFonts w:hint="eastAsia" w:eastAsia="宋体"/>
                      <w:sz w:val="21"/>
                      <w:szCs w:val="21"/>
                      <w:lang w:val="en-US" w:eastAsia="zh-CN"/>
                    </w:rPr>
                  </w:pPr>
                  <w:r>
                    <w:rPr>
                      <w:rFonts w:hint="eastAsia"/>
                      <w:sz w:val="21"/>
                      <w:szCs w:val="21"/>
                      <w:lang w:val="en-US" w:eastAsia="zh-CN"/>
                    </w:rPr>
                    <w:t>开采粉尘</w:t>
                  </w:r>
                </w:p>
              </w:tc>
              <w:tc>
                <w:tcPr>
                  <w:tcW w:w="1989" w:type="pct"/>
                  <w:vMerge w:val="restart"/>
                  <w:vAlign w:val="center"/>
                </w:tcPr>
                <w:p>
                  <w:pPr>
                    <w:pStyle w:val="48"/>
                    <w:keepNext w:val="0"/>
                    <w:keepLines w:val="0"/>
                    <w:pageBreakBefore w:val="0"/>
                    <w:kinsoku/>
                    <w:wordWrap/>
                    <w:overflowPunct/>
                    <w:topLinePunct w:val="0"/>
                    <w:autoSpaceDE/>
                    <w:autoSpaceDN/>
                    <w:bidi w:val="0"/>
                    <w:adjustRightInd/>
                    <w:spacing w:line="240" w:lineRule="auto"/>
                    <w:ind w:right="0" w:firstLine="0" w:firstLineChars="0"/>
                    <w:jc w:val="center"/>
                    <w:textAlignment w:val="auto"/>
                    <w:rPr>
                      <w:rFonts w:hint="eastAsia" w:eastAsia="宋体"/>
                      <w:sz w:val="21"/>
                      <w:szCs w:val="21"/>
                      <w:lang w:val="en-US" w:eastAsia="zh-CN"/>
                    </w:rPr>
                  </w:pPr>
                  <w:r>
                    <w:rPr>
                      <w:rFonts w:hint="eastAsia"/>
                      <w:sz w:val="21"/>
                      <w:szCs w:val="21"/>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675" w:type="pct"/>
                  <w:vMerge w:val="continue"/>
                  <w:vAlign w:val="center"/>
                </w:tcPr>
                <w:p>
                  <w:pPr>
                    <w:pStyle w:val="9"/>
                    <w:keepNext w:val="0"/>
                    <w:keepLines w:val="0"/>
                    <w:pageBreakBefore w:val="0"/>
                    <w:kinsoku/>
                    <w:wordWrap/>
                    <w:overflowPunct/>
                    <w:topLinePunct w:val="0"/>
                    <w:autoSpaceDE/>
                    <w:autoSpaceDN/>
                    <w:bidi w:val="0"/>
                    <w:adjustRightInd/>
                    <w:spacing w:before="0" w:after="0" w:line="240" w:lineRule="auto"/>
                    <w:ind w:right="0" w:firstLine="420"/>
                    <w:jc w:val="center"/>
                    <w:textAlignment w:val="auto"/>
                    <w:rPr>
                      <w:sz w:val="21"/>
                      <w:szCs w:val="21"/>
                    </w:rPr>
                  </w:pPr>
                </w:p>
              </w:tc>
              <w:tc>
                <w:tcPr>
                  <w:tcW w:w="2335" w:type="pct"/>
                  <w:vAlign w:val="center"/>
                </w:tcPr>
                <w:p>
                  <w:pPr>
                    <w:pStyle w:val="19"/>
                    <w:keepNext w:val="0"/>
                    <w:keepLines w:val="0"/>
                    <w:pageBreakBefore w:val="0"/>
                    <w:kinsoku/>
                    <w:wordWrap/>
                    <w:overflowPunct/>
                    <w:topLinePunct w:val="0"/>
                    <w:autoSpaceDE/>
                    <w:autoSpaceDN/>
                    <w:bidi w:val="0"/>
                    <w:adjustRightInd/>
                    <w:spacing w:after="0" w:line="240" w:lineRule="auto"/>
                    <w:ind w:right="0" w:firstLine="0" w:firstLineChars="0"/>
                    <w:jc w:val="center"/>
                    <w:textAlignment w:val="auto"/>
                    <w:rPr>
                      <w:sz w:val="21"/>
                      <w:szCs w:val="21"/>
                    </w:rPr>
                  </w:pPr>
                  <w:r>
                    <w:rPr>
                      <w:rFonts w:hint="eastAsia"/>
                      <w:color w:val="000000"/>
                      <w:sz w:val="21"/>
                      <w:szCs w:val="21"/>
                      <w:highlight w:val="none"/>
                    </w:rPr>
                    <w:t>筛分粉尘</w:t>
                  </w:r>
                </w:p>
              </w:tc>
              <w:tc>
                <w:tcPr>
                  <w:tcW w:w="1989" w:type="pct"/>
                  <w:vMerge w:val="continue"/>
                  <w:vAlign w:val="center"/>
                </w:tcPr>
                <w:p>
                  <w:pPr>
                    <w:pStyle w:val="48"/>
                    <w:keepNext w:val="0"/>
                    <w:keepLines w:val="0"/>
                    <w:pageBreakBefore w:val="0"/>
                    <w:kinsoku/>
                    <w:wordWrap/>
                    <w:overflowPunct/>
                    <w:topLinePunct w:val="0"/>
                    <w:autoSpaceDE/>
                    <w:autoSpaceDN/>
                    <w:bidi w:val="0"/>
                    <w:adjustRightInd/>
                    <w:spacing w:line="240" w:lineRule="auto"/>
                    <w:ind w:right="0" w:firstLine="0" w:firstLineChars="0"/>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675" w:type="pct"/>
                  <w:vMerge w:val="continue"/>
                  <w:vAlign w:val="center"/>
                </w:tcPr>
                <w:p>
                  <w:pPr>
                    <w:pStyle w:val="9"/>
                    <w:keepNext w:val="0"/>
                    <w:keepLines w:val="0"/>
                    <w:pageBreakBefore w:val="0"/>
                    <w:kinsoku/>
                    <w:wordWrap/>
                    <w:overflowPunct/>
                    <w:topLinePunct w:val="0"/>
                    <w:autoSpaceDE/>
                    <w:autoSpaceDN/>
                    <w:bidi w:val="0"/>
                    <w:adjustRightInd/>
                    <w:spacing w:before="0" w:after="0" w:line="240" w:lineRule="auto"/>
                    <w:ind w:right="0" w:firstLine="420"/>
                    <w:jc w:val="center"/>
                    <w:textAlignment w:val="auto"/>
                    <w:rPr>
                      <w:sz w:val="21"/>
                      <w:szCs w:val="21"/>
                    </w:rPr>
                  </w:pPr>
                </w:p>
              </w:tc>
              <w:tc>
                <w:tcPr>
                  <w:tcW w:w="2335" w:type="pct"/>
                  <w:vAlign w:val="center"/>
                </w:tcPr>
                <w:p>
                  <w:pPr>
                    <w:pStyle w:val="19"/>
                    <w:keepNext w:val="0"/>
                    <w:keepLines w:val="0"/>
                    <w:pageBreakBefore w:val="0"/>
                    <w:kinsoku/>
                    <w:wordWrap/>
                    <w:overflowPunct/>
                    <w:topLinePunct w:val="0"/>
                    <w:autoSpaceDE/>
                    <w:autoSpaceDN/>
                    <w:bidi w:val="0"/>
                    <w:adjustRightInd/>
                    <w:spacing w:after="0" w:line="240" w:lineRule="auto"/>
                    <w:ind w:right="0" w:firstLine="0" w:firstLineChars="0"/>
                    <w:jc w:val="center"/>
                    <w:textAlignment w:val="auto"/>
                    <w:rPr>
                      <w:sz w:val="21"/>
                      <w:szCs w:val="21"/>
                    </w:rPr>
                  </w:pPr>
                  <w:r>
                    <w:rPr>
                      <w:rFonts w:hint="eastAsia"/>
                      <w:color w:val="000000"/>
                      <w:sz w:val="21"/>
                      <w:szCs w:val="21"/>
                    </w:rPr>
                    <w:t>物料转运及装卸扬尘</w:t>
                  </w:r>
                </w:p>
              </w:tc>
              <w:tc>
                <w:tcPr>
                  <w:tcW w:w="1989" w:type="pct"/>
                  <w:vMerge w:val="continue"/>
                  <w:vAlign w:val="center"/>
                </w:tcPr>
                <w:p>
                  <w:pPr>
                    <w:pStyle w:val="48"/>
                    <w:keepNext w:val="0"/>
                    <w:keepLines w:val="0"/>
                    <w:pageBreakBefore w:val="0"/>
                    <w:kinsoku/>
                    <w:wordWrap/>
                    <w:overflowPunct/>
                    <w:topLinePunct w:val="0"/>
                    <w:autoSpaceDE/>
                    <w:autoSpaceDN/>
                    <w:bidi w:val="0"/>
                    <w:adjustRightInd/>
                    <w:spacing w:line="240" w:lineRule="auto"/>
                    <w:ind w:right="0" w:firstLine="0" w:firstLineChars="0"/>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675" w:type="pct"/>
                  <w:vMerge w:val="continue"/>
                  <w:vAlign w:val="center"/>
                </w:tcPr>
                <w:p>
                  <w:pPr>
                    <w:pStyle w:val="9"/>
                    <w:keepNext w:val="0"/>
                    <w:keepLines w:val="0"/>
                    <w:pageBreakBefore w:val="0"/>
                    <w:kinsoku/>
                    <w:wordWrap/>
                    <w:overflowPunct/>
                    <w:topLinePunct w:val="0"/>
                    <w:autoSpaceDE/>
                    <w:autoSpaceDN/>
                    <w:bidi w:val="0"/>
                    <w:adjustRightInd/>
                    <w:spacing w:before="0" w:after="0" w:line="240" w:lineRule="auto"/>
                    <w:ind w:right="0" w:firstLine="420"/>
                    <w:jc w:val="center"/>
                    <w:textAlignment w:val="auto"/>
                    <w:rPr>
                      <w:sz w:val="21"/>
                      <w:szCs w:val="21"/>
                    </w:rPr>
                  </w:pPr>
                </w:p>
              </w:tc>
              <w:tc>
                <w:tcPr>
                  <w:tcW w:w="2335" w:type="pct"/>
                  <w:vAlign w:val="center"/>
                </w:tcPr>
                <w:p>
                  <w:pPr>
                    <w:pStyle w:val="19"/>
                    <w:keepNext w:val="0"/>
                    <w:keepLines w:val="0"/>
                    <w:pageBreakBefore w:val="0"/>
                    <w:kinsoku/>
                    <w:wordWrap/>
                    <w:overflowPunct/>
                    <w:topLinePunct w:val="0"/>
                    <w:autoSpaceDE/>
                    <w:autoSpaceDN/>
                    <w:bidi w:val="0"/>
                    <w:adjustRightInd/>
                    <w:spacing w:after="0" w:line="240" w:lineRule="auto"/>
                    <w:ind w:right="0" w:firstLine="0" w:firstLineChars="0"/>
                    <w:jc w:val="center"/>
                    <w:textAlignment w:val="auto"/>
                    <w:rPr>
                      <w:color w:val="FF0000"/>
                      <w:sz w:val="21"/>
                      <w:szCs w:val="21"/>
                      <w:lang w:val="en-US"/>
                    </w:rPr>
                  </w:pPr>
                  <w:r>
                    <w:rPr>
                      <w:rFonts w:hint="eastAsia"/>
                      <w:color w:val="000000" w:themeColor="text1"/>
                      <w:sz w:val="21"/>
                      <w:szCs w:val="21"/>
                      <w14:textFill>
                        <w14:solidFill>
                          <w14:schemeClr w14:val="tx1"/>
                        </w14:solidFill>
                      </w14:textFill>
                    </w:rPr>
                    <w:t>皮带输送粉尘</w:t>
                  </w:r>
                </w:p>
              </w:tc>
              <w:tc>
                <w:tcPr>
                  <w:tcW w:w="1989" w:type="pct"/>
                  <w:vMerge w:val="continue"/>
                  <w:vAlign w:val="center"/>
                </w:tcPr>
                <w:p>
                  <w:pPr>
                    <w:pStyle w:val="48"/>
                    <w:keepNext w:val="0"/>
                    <w:keepLines w:val="0"/>
                    <w:pageBreakBefore w:val="0"/>
                    <w:kinsoku/>
                    <w:wordWrap/>
                    <w:overflowPunct/>
                    <w:topLinePunct w:val="0"/>
                    <w:autoSpaceDE/>
                    <w:autoSpaceDN/>
                    <w:bidi w:val="0"/>
                    <w:adjustRightInd/>
                    <w:spacing w:line="240" w:lineRule="auto"/>
                    <w:ind w:right="0" w:firstLine="0" w:firstLineChars="0"/>
                    <w:jc w:val="center"/>
                    <w:textAlignment w:val="auto"/>
                    <w:rPr>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675" w:type="pct"/>
                  <w:vMerge w:val="continue"/>
                  <w:vAlign w:val="center"/>
                </w:tcPr>
                <w:p>
                  <w:pPr>
                    <w:pStyle w:val="9"/>
                    <w:keepNext w:val="0"/>
                    <w:keepLines w:val="0"/>
                    <w:pageBreakBefore w:val="0"/>
                    <w:kinsoku/>
                    <w:wordWrap/>
                    <w:overflowPunct/>
                    <w:topLinePunct w:val="0"/>
                    <w:autoSpaceDE/>
                    <w:autoSpaceDN/>
                    <w:bidi w:val="0"/>
                    <w:adjustRightInd/>
                    <w:spacing w:before="0" w:after="0" w:line="240" w:lineRule="auto"/>
                    <w:ind w:right="0" w:firstLine="420"/>
                    <w:jc w:val="center"/>
                    <w:textAlignment w:val="auto"/>
                    <w:rPr>
                      <w:sz w:val="21"/>
                      <w:szCs w:val="21"/>
                    </w:rPr>
                  </w:pPr>
                </w:p>
              </w:tc>
              <w:tc>
                <w:tcPr>
                  <w:tcW w:w="2335" w:type="pct"/>
                  <w:vAlign w:val="center"/>
                </w:tcPr>
                <w:p>
                  <w:pPr>
                    <w:pStyle w:val="19"/>
                    <w:keepNext w:val="0"/>
                    <w:keepLines w:val="0"/>
                    <w:pageBreakBefore w:val="0"/>
                    <w:kinsoku/>
                    <w:wordWrap/>
                    <w:overflowPunct/>
                    <w:topLinePunct w:val="0"/>
                    <w:autoSpaceDE/>
                    <w:autoSpaceDN/>
                    <w:bidi w:val="0"/>
                    <w:adjustRightInd/>
                    <w:spacing w:after="0" w:line="240" w:lineRule="auto"/>
                    <w:ind w:right="0" w:firstLine="0" w:firstLineChars="0"/>
                    <w:jc w:val="center"/>
                    <w:textAlignment w:val="auto"/>
                    <w:rPr>
                      <w:sz w:val="21"/>
                      <w:szCs w:val="21"/>
                    </w:rPr>
                  </w:pPr>
                  <w:r>
                    <w:rPr>
                      <w:color w:val="000000"/>
                      <w:sz w:val="21"/>
                      <w:szCs w:val="21"/>
                    </w:rPr>
                    <w:t>车辆运输扬尘</w:t>
                  </w:r>
                </w:p>
              </w:tc>
              <w:tc>
                <w:tcPr>
                  <w:tcW w:w="1989" w:type="pct"/>
                  <w:vMerge w:val="continue"/>
                  <w:vAlign w:val="center"/>
                </w:tcPr>
                <w:p>
                  <w:pPr>
                    <w:pStyle w:val="48"/>
                    <w:keepNext w:val="0"/>
                    <w:keepLines w:val="0"/>
                    <w:pageBreakBefore w:val="0"/>
                    <w:kinsoku/>
                    <w:wordWrap/>
                    <w:overflowPunct/>
                    <w:topLinePunct w:val="0"/>
                    <w:autoSpaceDE/>
                    <w:autoSpaceDN/>
                    <w:bidi w:val="0"/>
                    <w:adjustRightInd/>
                    <w:spacing w:line="240" w:lineRule="auto"/>
                    <w:ind w:right="0" w:firstLine="0" w:firstLineChars="0"/>
                    <w:jc w:val="center"/>
                    <w:textAlignment w:val="auto"/>
                    <w:rPr>
                      <w:rFonts w:hint="eastAsia"/>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675" w:type="pct"/>
                  <w:vMerge w:val="continue"/>
                  <w:vAlign w:val="center"/>
                </w:tcPr>
                <w:p>
                  <w:pPr>
                    <w:pStyle w:val="9"/>
                    <w:keepNext w:val="0"/>
                    <w:keepLines w:val="0"/>
                    <w:pageBreakBefore w:val="0"/>
                    <w:kinsoku/>
                    <w:wordWrap/>
                    <w:overflowPunct/>
                    <w:topLinePunct w:val="0"/>
                    <w:autoSpaceDE/>
                    <w:autoSpaceDN/>
                    <w:bidi w:val="0"/>
                    <w:adjustRightInd/>
                    <w:spacing w:before="0" w:after="0" w:line="240" w:lineRule="auto"/>
                    <w:ind w:right="0" w:firstLine="420"/>
                    <w:jc w:val="center"/>
                    <w:textAlignment w:val="auto"/>
                    <w:rPr>
                      <w:sz w:val="21"/>
                      <w:szCs w:val="21"/>
                    </w:rPr>
                  </w:pPr>
                </w:p>
              </w:tc>
              <w:tc>
                <w:tcPr>
                  <w:tcW w:w="2335" w:type="pct"/>
                  <w:vAlign w:val="center"/>
                </w:tcPr>
                <w:p>
                  <w:pPr>
                    <w:pStyle w:val="19"/>
                    <w:keepNext w:val="0"/>
                    <w:keepLines w:val="0"/>
                    <w:pageBreakBefore w:val="0"/>
                    <w:kinsoku/>
                    <w:wordWrap/>
                    <w:overflowPunct/>
                    <w:topLinePunct w:val="0"/>
                    <w:autoSpaceDE/>
                    <w:autoSpaceDN/>
                    <w:bidi w:val="0"/>
                    <w:adjustRightInd/>
                    <w:spacing w:after="0" w:line="240" w:lineRule="auto"/>
                    <w:ind w:right="0" w:firstLine="0" w:firstLineChars="0"/>
                    <w:jc w:val="center"/>
                    <w:textAlignment w:val="auto"/>
                    <w:rPr>
                      <w:rFonts w:hint="eastAsia" w:eastAsia="宋体"/>
                      <w:sz w:val="21"/>
                      <w:szCs w:val="21"/>
                      <w:lang w:eastAsia="zh-CN"/>
                    </w:rPr>
                  </w:pPr>
                  <w:r>
                    <w:rPr>
                      <w:rFonts w:hint="eastAsia"/>
                      <w:sz w:val="21"/>
                      <w:szCs w:val="21"/>
                      <w:lang w:eastAsia="zh-CN"/>
                    </w:rPr>
                    <w:t>车辆尾气</w:t>
                  </w:r>
                </w:p>
              </w:tc>
              <w:tc>
                <w:tcPr>
                  <w:tcW w:w="1989" w:type="pct"/>
                  <w:vAlign w:val="center"/>
                </w:tcPr>
                <w:p>
                  <w:pPr>
                    <w:pStyle w:val="48"/>
                    <w:keepNext w:val="0"/>
                    <w:keepLines w:val="0"/>
                    <w:pageBreakBefore w:val="0"/>
                    <w:kinsoku/>
                    <w:wordWrap/>
                    <w:overflowPunct/>
                    <w:topLinePunct w:val="0"/>
                    <w:autoSpaceDE/>
                    <w:autoSpaceDN/>
                    <w:bidi w:val="0"/>
                    <w:adjustRightInd/>
                    <w:spacing w:line="240" w:lineRule="auto"/>
                    <w:ind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4"/>
                      <w:lang w:eastAsia="zh-CN"/>
                    </w:rPr>
                    <w:t>CO、NO</w:t>
                  </w:r>
                  <w:r>
                    <w:rPr>
                      <w:rFonts w:hint="default" w:ascii="Times New Roman" w:hAnsi="Times New Roman" w:cs="Times New Roman"/>
                      <w:sz w:val="21"/>
                      <w:szCs w:val="24"/>
                      <w:vertAlign w:val="subscript"/>
                      <w:lang w:eastAsia="zh-CN"/>
                    </w:rPr>
                    <w:t>X</w:t>
                  </w:r>
                  <w:r>
                    <w:rPr>
                      <w:rFonts w:hint="default" w:ascii="Times New Roman" w:hAnsi="Times New Roman" w:cs="Times New Roman"/>
                      <w:sz w:val="21"/>
                      <w:szCs w:val="24"/>
                      <w:lang w:eastAsia="zh-CN"/>
                    </w:rPr>
                    <w:t>和THC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675" w:type="pct"/>
                  <w:vMerge w:val="restart"/>
                  <w:vAlign w:val="center"/>
                </w:tcPr>
                <w:p>
                  <w:pPr>
                    <w:pStyle w:val="9"/>
                    <w:keepNext w:val="0"/>
                    <w:keepLines w:val="0"/>
                    <w:pageBreakBefore w:val="0"/>
                    <w:kinsoku/>
                    <w:wordWrap/>
                    <w:overflowPunct/>
                    <w:topLinePunct w:val="0"/>
                    <w:autoSpaceDE/>
                    <w:autoSpaceDN/>
                    <w:bidi w:val="0"/>
                    <w:adjustRightInd/>
                    <w:spacing w:before="0" w:after="0" w:line="240" w:lineRule="auto"/>
                    <w:ind w:left="0" w:leftChars="0" w:right="0" w:firstLine="0" w:firstLineChars="0"/>
                    <w:jc w:val="center"/>
                    <w:textAlignment w:val="auto"/>
                    <w:rPr>
                      <w:rFonts w:hint="eastAsia" w:eastAsia="宋体"/>
                      <w:sz w:val="21"/>
                      <w:szCs w:val="21"/>
                      <w:lang w:val="en-US" w:eastAsia="zh-CN"/>
                    </w:rPr>
                  </w:pPr>
                  <w:r>
                    <w:rPr>
                      <w:rFonts w:hint="eastAsia"/>
                      <w:sz w:val="21"/>
                      <w:szCs w:val="21"/>
                      <w:lang w:val="en-US" w:eastAsia="zh-CN"/>
                    </w:rPr>
                    <w:t>废水</w:t>
                  </w:r>
                </w:p>
              </w:tc>
              <w:tc>
                <w:tcPr>
                  <w:tcW w:w="2335" w:type="pct"/>
                  <w:vAlign w:val="center"/>
                </w:tcPr>
                <w:p>
                  <w:pPr>
                    <w:pStyle w:val="48"/>
                    <w:keepNext w:val="0"/>
                    <w:keepLines w:val="0"/>
                    <w:pageBreakBefore w:val="0"/>
                    <w:kinsoku/>
                    <w:wordWrap/>
                    <w:overflowPunct/>
                    <w:topLinePunct w:val="0"/>
                    <w:autoSpaceDE/>
                    <w:autoSpaceDN/>
                    <w:bidi w:val="0"/>
                    <w:adjustRightInd/>
                    <w:spacing w:line="240" w:lineRule="auto"/>
                    <w:ind w:right="0" w:firstLine="0" w:firstLineChars="0"/>
                    <w:textAlignment w:val="auto"/>
                    <w:rPr>
                      <w:rFonts w:hint="default" w:eastAsia="宋体"/>
                      <w:sz w:val="21"/>
                      <w:szCs w:val="21"/>
                      <w:lang w:val="en-US" w:eastAsia="zh-CN"/>
                    </w:rPr>
                  </w:pPr>
                  <w:r>
                    <w:rPr>
                      <w:rFonts w:hint="eastAsia"/>
                      <w:sz w:val="21"/>
                      <w:szCs w:val="21"/>
                      <w:lang w:val="en-US" w:eastAsia="zh-CN"/>
                    </w:rPr>
                    <w:t>洗砂废水</w:t>
                  </w:r>
                </w:p>
              </w:tc>
              <w:tc>
                <w:tcPr>
                  <w:tcW w:w="1989" w:type="pct"/>
                  <w:vMerge w:val="restart"/>
                  <w:vAlign w:val="center"/>
                </w:tcPr>
                <w:p>
                  <w:pPr>
                    <w:pStyle w:val="48"/>
                    <w:keepNext w:val="0"/>
                    <w:keepLines w:val="0"/>
                    <w:pageBreakBefore w:val="0"/>
                    <w:kinsoku/>
                    <w:wordWrap/>
                    <w:overflowPunct/>
                    <w:topLinePunct w:val="0"/>
                    <w:autoSpaceDE/>
                    <w:autoSpaceDN/>
                    <w:bidi w:val="0"/>
                    <w:adjustRightInd/>
                    <w:spacing w:line="240" w:lineRule="auto"/>
                    <w:ind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悬浮物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675" w:type="pct"/>
                  <w:vMerge w:val="continue"/>
                  <w:vAlign w:val="center"/>
                </w:tcPr>
                <w:p>
                  <w:pPr>
                    <w:pStyle w:val="9"/>
                    <w:keepNext w:val="0"/>
                    <w:keepLines w:val="0"/>
                    <w:pageBreakBefore w:val="0"/>
                    <w:kinsoku/>
                    <w:wordWrap/>
                    <w:overflowPunct/>
                    <w:topLinePunct w:val="0"/>
                    <w:autoSpaceDE/>
                    <w:autoSpaceDN/>
                    <w:bidi w:val="0"/>
                    <w:adjustRightInd/>
                    <w:spacing w:before="0" w:after="0" w:line="240" w:lineRule="auto"/>
                    <w:ind w:right="0" w:firstLine="420"/>
                    <w:jc w:val="center"/>
                    <w:textAlignment w:val="auto"/>
                    <w:rPr>
                      <w:sz w:val="21"/>
                      <w:szCs w:val="21"/>
                    </w:rPr>
                  </w:pPr>
                </w:p>
              </w:tc>
              <w:tc>
                <w:tcPr>
                  <w:tcW w:w="2335" w:type="pct"/>
                  <w:vAlign w:val="center"/>
                </w:tcPr>
                <w:p>
                  <w:pPr>
                    <w:pStyle w:val="48"/>
                    <w:keepNext w:val="0"/>
                    <w:keepLines w:val="0"/>
                    <w:pageBreakBefore w:val="0"/>
                    <w:kinsoku/>
                    <w:wordWrap/>
                    <w:overflowPunct/>
                    <w:topLinePunct w:val="0"/>
                    <w:autoSpaceDE/>
                    <w:autoSpaceDN/>
                    <w:bidi w:val="0"/>
                    <w:adjustRightInd/>
                    <w:spacing w:line="240" w:lineRule="auto"/>
                    <w:ind w:right="0" w:firstLine="0" w:firstLineChars="0"/>
                    <w:textAlignment w:val="auto"/>
                    <w:rPr>
                      <w:rFonts w:hint="default" w:eastAsia="宋体"/>
                      <w:sz w:val="21"/>
                      <w:szCs w:val="21"/>
                      <w:lang w:val="en-US" w:eastAsia="zh-CN"/>
                    </w:rPr>
                  </w:pPr>
                  <w:r>
                    <w:rPr>
                      <w:rFonts w:hint="eastAsia"/>
                      <w:sz w:val="21"/>
                      <w:szCs w:val="21"/>
                      <w:lang w:val="en-US" w:eastAsia="zh-CN"/>
                    </w:rPr>
                    <w:t>车辆冲洗废水</w:t>
                  </w:r>
                </w:p>
              </w:tc>
              <w:tc>
                <w:tcPr>
                  <w:tcW w:w="1989" w:type="pct"/>
                  <w:vMerge w:val="continue"/>
                  <w:vAlign w:val="center"/>
                </w:tcPr>
                <w:p>
                  <w:pPr>
                    <w:pStyle w:val="48"/>
                    <w:keepNext w:val="0"/>
                    <w:keepLines w:val="0"/>
                    <w:pageBreakBefore w:val="0"/>
                    <w:kinsoku/>
                    <w:wordWrap/>
                    <w:overflowPunct/>
                    <w:topLinePunct w:val="0"/>
                    <w:autoSpaceDE/>
                    <w:autoSpaceDN/>
                    <w:bidi w:val="0"/>
                    <w:adjustRightInd/>
                    <w:spacing w:line="240" w:lineRule="auto"/>
                    <w:ind w:right="0" w:firstLine="0" w:firstLineChars="0"/>
                    <w:jc w:val="center"/>
                    <w:textAlignment w:val="auto"/>
                    <w:rPr>
                      <w:rFonts w:hint="eastAsia"/>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675" w:type="pct"/>
                  <w:vAlign w:val="center"/>
                </w:tcPr>
                <w:p>
                  <w:pPr>
                    <w:pStyle w:val="48"/>
                    <w:keepNext w:val="0"/>
                    <w:keepLines w:val="0"/>
                    <w:pageBreakBefore w:val="0"/>
                    <w:kinsoku/>
                    <w:wordWrap/>
                    <w:overflowPunct/>
                    <w:topLinePunct w:val="0"/>
                    <w:autoSpaceDE/>
                    <w:autoSpaceDN/>
                    <w:bidi w:val="0"/>
                    <w:adjustRightInd/>
                    <w:spacing w:line="240" w:lineRule="auto"/>
                    <w:ind w:right="0" w:firstLine="0" w:firstLineChars="0"/>
                    <w:textAlignment w:val="auto"/>
                    <w:rPr>
                      <w:sz w:val="21"/>
                      <w:szCs w:val="21"/>
                      <w:lang w:val="en-US"/>
                    </w:rPr>
                  </w:pPr>
                  <w:r>
                    <w:rPr>
                      <w:sz w:val="21"/>
                      <w:szCs w:val="21"/>
                    </w:rPr>
                    <w:t>噪声</w:t>
                  </w:r>
                </w:p>
              </w:tc>
              <w:tc>
                <w:tcPr>
                  <w:tcW w:w="2335" w:type="pct"/>
                  <w:vAlign w:val="center"/>
                </w:tcPr>
                <w:p>
                  <w:pPr>
                    <w:keepNext w:val="0"/>
                    <w:keepLines w:val="0"/>
                    <w:pageBreakBefore w:val="0"/>
                    <w:kinsoku/>
                    <w:wordWrap/>
                    <w:overflowPunct/>
                    <w:topLinePunct w:val="0"/>
                    <w:autoSpaceDE/>
                    <w:autoSpaceDN/>
                    <w:bidi w:val="0"/>
                    <w:adjustRightInd/>
                    <w:spacing w:line="240" w:lineRule="auto"/>
                    <w:ind w:right="0" w:firstLine="0" w:firstLineChars="0"/>
                    <w:jc w:val="center"/>
                    <w:textAlignment w:val="auto"/>
                    <w:rPr>
                      <w:rFonts w:hint="eastAsia" w:eastAsia="宋体"/>
                      <w:sz w:val="21"/>
                      <w:szCs w:val="21"/>
                      <w:lang w:val="en-US" w:eastAsia="zh-CN"/>
                    </w:rPr>
                  </w:pPr>
                  <w:r>
                    <w:rPr>
                      <w:rFonts w:hint="eastAsia"/>
                      <w:sz w:val="21"/>
                      <w:szCs w:val="21"/>
                      <w:lang w:val="en-US" w:eastAsia="zh-CN"/>
                    </w:rPr>
                    <w:t>生产设备</w:t>
                  </w:r>
                </w:p>
              </w:tc>
              <w:tc>
                <w:tcPr>
                  <w:tcW w:w="1989" w:type="pct"/>
                  <w:vAlign w:val="center"/>
                </w:tcPr>
                <w:p>
                  <w:pPr>
                    <w:pStyle w:val="48"/>
                    <w:keepNext w:val="0"/>
                    <w:keepLines w:val="0"/>
                    <w:pageBreakBefore w:val="0"/>
                    <w:kinsoku/>
                    <w:wordWrap/>
                    <w:overflowPunct/>
                    <w:topLinePunct w:val="0"/>
                    <w:autoSpaceDE/>
                    <w:autoSpaceDN/>
                    <w:bidi w:val="0"/>
                    <w:adjustRightInd/>
                    <w:spacing w:line="240" w:lineRule="auto"/>
                    <w:ind w:right="0" w:firstLine="0" w:firstLineChars="0"/>
                    <w:jc w:val="center"/>
                    <w:textAlignment w:val="auto"/>
                    <w:rPr>
                      <w:sz w:val="21"/>
                      <w:szCs w:val="21"/>
                    </w:rPr>
                  </w:pPr>
                  <w:r>
                    <w:rPr>
                      <w:rFonts w:hint="eastAsia"/>
                      <w:sz w:val="21"/>
                      <w:szCs w:val="21"/>
                    </w:rPr>
                    <w:t>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675" w:type="pct"/>
                  <w:vMerge w:val="restart"/>
                  <w:vAlign w:val="center"/>
                </w:tcPr>
                <w:p>
                  <w:pPr>
                    <w:pStyle w:val="48"/>
                    <w:keepNext w:val="0"/>
                    <w:keepLines w:val="0"/>
                    <w:pageBreakBefore w:val="0"/>
                    <w:kinsoku/>
                    <w:wordWrap/>
                    <w:overflowPunct/>
                    <w:topLinePunct w:val="0"/>
                    <w:autoSpaceDE/>
                    <w:autoSpaceDN/>
                    <w:bidi w:val="0"/>
                    <w:adjustRightInd/>
                    <w:spacing w:line="240" w:lineRule="auto"/>
                    <w:ind w:right="0" w:firstLine="0" w:firstLineChars="0"/>
                    <w:textAlignment w:val="auto"/>
                    <w:rPr>
                      <w:sz w:val="21"/>
                      <w:szCs w:val="21"/>
                      <w:lang w:val="en-US"/>
                    </w:rPr>
                  </w:pPr>
                  <w:r>
                    <w:rPr>
                      <w:sz w:val="21"/>
                      <w:szCs w:val="21"/>
                    </w:rPr>
                    <w:t>固废</w:t>
                  </w:r>
                </w:p>
              </w:tc>
              <w:tc>
                <w:tcPr>
                  <w:tcW w:w="2335" w:type="pct"/>
                  <w:vAlign w:val="center"/>
                </w:tcPr>
                <w:p>
                  <w:pPr>
                    <w:pStyle w:val="48"/>
                    <w:keepNext w:val="0"/>
                    <w:keepLines w:val="0"/>
                    <w:pageBreakBefore w:val="0"/>
                    <w:kinsoku/>
                    <w:wordWrap/>
                    <w:overflowPunct/>
                    <w:topLinePunct w:val="0"/>
                    <w:autoSpaceDE/>
                    <w:autoSpaceDN/>
                    <w:bidi w:val="0"/>
                    <w:adjustRightInd/>
                    <w:spacing w:line="240" w:lineRule="auto"/>
                    <w:ind w:right="0" w:firstLine="0" w:firstLineChars="0"/>
                    <w:textAlignment w:val="auto"/>
                    <w:rPr>
                      <w:sz w:val="21"/>
                      <w:szCs w:val="21"/>
                      <w:lang w:val="en-US"/>
                    </w:rPr>
                  </w:pPr>
                  <w:r>
                    <w:rPr>
                      <w:sz w:val="21"/>
                      <w:szCs w:val="21"/>
                    </w:rPr>
                    <w:t>生活垃圾</w:t>
                  </w:r>
                </w:p>
              </w:tc>
              <w:tc>
                <w:tcPr>
                  <w:tcW w:w="1989" w:type="pct"/>
                  <w:vAlign w:val="center"/>
                </w:tcPr>
                <w:p>
                  <w:pPr>
                    <w:pStyle w:val="48"/>
                    <w:keepNext w:val="0"/>
                    <w:keepLines w:val="0"/>
                    <w:pageBreakBefore w:val="0"/>
                    <w:kinsoku/>
                    <w:wordWrap/>
                    <w:overflowPunct/>
                    <w:topLinePunct w:val="0"/>
                    <w:autoSpaceDE/>
                    <w:autoSpaceDN/>
                    <w:bidi w:val="0"/>
                    <w:adjustRightInd/>
                    <w:spacing w:line="240" w:lineRule="auto"/>
                    <w:ind w:right="0" w:firstLine="0" w:firstLineChars="0"/>
                    <w:jc w:val="center"/>
                    <w:textAlignment w:val="auto"/>
                    <w:rPr>
                      <w:sz w:val="21"/>
                      <w:szCs w:val="21"/>
                      <w:lang w:val="en-US"/>
                    </w:rPr>
                  </w:pPr>
                  <w:r>
                    <w:rPr>
                      <w:sz w:val="21"/>
                      <w:szCs w:val="21"/>
                    </w:rPr>
                    <w:t>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675" w:type="pct"/>
                  <w:vMerge w:val="continue"/>
                  <w:vAlign w:val="center"/>
                </w:tcPr>
                <w:p>
                  <w:pPr>
                    <w:pStyle w:val="9"/>
                    <w:keepNext w:val="0"/>
                    <w:keepLines w:val="0"/>
                    <w:pageBreakBefore w:val="0"/>
                    <w:kinsoku/>
                    <w:wordWrap/>
                    <w:overflowPunct/>
                    <w:topLinePunct w:val="0"/>
                    <w:autoSpaceDE/>
                    <w:autoSpaceDN/>
                    <w:bidi w:val="0"/>
                    <w:adjustRightInd/>
                    <w:spacing w:before="0" w:after="0" w:line="240" w:lineRule="auto"/>
                    <w:ind w:right="0" w:firstLine="420"/>
                    <w:jc w:val="center"/>
                    <w:textAlignment w:val="auto"/>
                  </w:pPr>
                </w:p>
              </w:tc>
              <w:tc>
                <w:tcPr>
                  <w:tcW w:w="2335" w:type="pct"/>
                  <w:vAlign w:val="center"/>
                </w:tcPr>
                <w:p>
                  <w:pPr>
                    <w:pStyle w:val="48"/>
                    <w:keepNext w:val="0"/>
                    <w:keepLines w:val="0"/>
                    <w:pageBreakBefore w:val="0"/>
                    <w:kinsoku/>
                    <w:wordWrap/>
                    <w:overflowPunct/>
                    <w:topLinePunct w:val="0"/>
                    <w:autoSpaceDE/>
                    <w:autoSpaceDN/>
                    <w:bidi w:val="0"/>
                    <w:adjustRightInd/>
                    <w:spacing w:line="240" w:lineRule="auto"/>
                    <w:ind w:right="0" w:firstLine="0" w:firstLineChars="0"/>
                    <w:textAlignment w:val="auto"/>
                    <w:rPr>
                      <w:sz w:val="21"/>
                      <w:szCs w:val="21"/>
                      <w:lang w:val="en-US"/>
                    </w:rPr>
                  </w:pPr>
                  <w:r>
                    <w:rPr>
                      <w:sz w:val="21"/>
                      <w:szCs w:val="21"/>
                    </w:rPr>
                    <w:t>沉淀池泥沙</w:t>
                  </w:r>
                </w:p>
              </w:tc>
              <w:tc>
                <w:tcPr>
                  <w:tcW w:w="1989" w:type="pct"/>
                  <w:vAlign w:val="center"/>
                </w:tcPr>
                <w:p>
                  <w:pPr>
                    <w:pStyle w:val="48"/>
                    <w:keepNext w:val="0"/>
                    <w:keepLines w:val="0"/>
                    <w:pageBreakBefore w:val="0"/>
                    <w:kinsoku/>
                    <w:wordWrap/>
                    <w:overflowPunct/>
                    <w:topLinePunct w:val="0"/>
                    <w:autoSpaceDE/>
                    <w:autoSpaceDN/>
                    <w:bidi w:val="0"/>
                    <w:adjustRightInd/>
                    <w:spacing w:line="240" w:lineRule="auto"/>
                    <w:ind w:right="0" w:firstLine="0" w:firstLineChars="0"/>
                    <w:jc w:val="center"/>
                    <w:textAlignment w:val="auto"/>
                    <w:rPr>
                      <w:sz w:val="21"/>
                      <w:szCs w:val="21"/>
                      <w:lang w:val="en-US"/>
                    </w:rPr>
                  </w:pPr>
                  <w:r>
                    <w:rPr>
                      <w:sz w:val="21"/>
                      <w:szCs w:val="21"/>
                    </w:rPr>
                    <w:t>泥沙</w:t>
                  </w:r>
                </w:p>
              </w:tc>
            </w:tr>
          </w:tbl>
          <w:p>
            <w:pPr>
              <w:pStyle w:val="5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bCs/>
                <w:color w:val="auto"/>
                <w:kern w:val="0"/>
                <w:sz w:val="24"/>
                <w:szCs w:val="24"/>
                <w:highlight w:val="none"/>
                <w:lang w:val="en-US" w:eastAsia="zh-CN" w:bidi="ar-SA"/>
              </w:rPr>
              <w:t>2、施工时序及建设周期</w:t>
            </w:r>
          </w:p>
          <w:p>
            <w:pPr>
              <w:spacing w:line="360" w:lineRule="auto"/>
              <w:ind w:left="0" w:leftChars="0" w:firstLine="0" w:firstLineChars="0"/>
              <w:rPr>
                <w:rFonts w:hint="default" w:ascii="Times New Roman" w:hAnsi="Times New Roman" w:eastAsia="宋体" w:cs="Times New Roman"/>
                <w:b/>
                <w:bCs w:val="0"/>
                <w:color w:val="auto"/>
                <w:sz w:val="24"/>
                <w:lang w:val="en-US" w:eastAsia="zh-CN"/>
              </w:rPr>
            </w:pPr>
            <w:r>
              <w:rPr>
                <w:rFonts w:hint="default" w:ascii="Times New Roman" w:hAnsi="Times New Roman" w:eastAsia="宋体" w:cs="Times New Roman"/>
                <w:b/>
                <w:bCs w:val="0"/>
                <w:color w:val="auto"/>
                <w:sz w:val="24"/>
                <w:lang w:val="en-US" w:eastAsia="zh-CN"/>
              </w:rPr>
              <w:t>2.1施工时序</w:t>
            </w:r>
          </w:p>
          <w:p>
            <w:pPr>
              <w:spacing w:line="360" w:lineRule="auto"/>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根据工程特性及自然环境、社会环境特征，合理制定有效项目施工时序，各施工区主要工程时序为：基础施工---主体恢复建设---辅助设施建设。建设单位在施工期间须按照</w:t>
            </w:r>
            <w:r>
              <w:rPr>
                <w:rFonts w:hint="default" w:ascii="Times New Roman" w:hAnsi="Times New Roman" w:eastAsia="宋体" w:cs="Times New Roman"/>
                <w:bCs/>
                <w:color w:val="auto"/>
                <w:sz w:val="24"/>
                <w:lang w:eastAsia="zh-CN"/>
              </w:rPr>
              <w:t>“</w:t>
            </w:r>
            <w:r>
              <w:rPr>
                <w:rFonts w:hint="default" w:ascii="Times New Roman" w:hAnsi="Times New Roman" w:eastAsia="宋体" w:cs="Times New Roman"/>
                <w:bCs/>
                <w:color w:val="auto"/>
                <w:sz w:val="24"/>
              </w:rPr>
              <w:t>六必须</w:t>
            </w:r>
            <w:r>
              <w:rPr>
                <w:rFonts w:hint="default" w:ascii="Times New Roman" w:hAnsi="Times New Roman" w:eastAsia="宋体" w:cs="Times New Roman"/>
                <w:bCs/>
                <w:color w:val="auto"/>
                <w:sz w:val="24"/>
                <w:lang w:eastAsia="zh-CN"/>
              </w:rPr>
              <w:t>”</w:t>
            </w:r>
            <w:r>
              <w:rPr>
                <w:rFonts w:hint="default" w:ascii="Times New Roman" w:hAnsi="Times New Roman" w:eastAsia="宋体" w:cs="Times New Roman"/>
                <w:bCs/>
                <w:color w:val="auto"/>
                <w:sz w:val="24"/>
              </w:rPr>
              <w:t>、</w:t>
            </w:r>
            <w:r>
              <w:rPr>
                <w:rFonts w:hint="default" w:ascii="Times New Roman" w:hAnsi="Times New Roman" w:eastAsia="宋体" w:cs="Times New Roman"/>
                <w:bCs/>
                <w:color w:val="auto"/>
                <w:sz w:val="24"/>
                <w:lang w:eastAsia="zh-CN"/>
              </w:rPr>
              <w:t>“</w:t>
            </w:r>
            <w:r>
              <w:rPr>
                <w:rFonts w:hint="default" w:ascii="Times New Roman" w:hAnsi="Times New Roman" w:eastAsia="宋体" w:cs="Times New Roman"/>
                <w:bCs/>
                <w:color w:val="auto"/>
                <w:sz w:val="24"/>
              </w:rPr>
              <w:t>六不准</w:t>
            </w:r>
            <w:r>
              <w:rPr>
                <w:rFonts w:hint="default" w:ascii="Times New Roman" w:hAnsi="Times New Roman" w:eastAsia="宋体" w:cs="Times New Roman"/>
                <w:bCs/>
                <w:color w:val="auto"/>
                <w:sz w:val="24"/>
                <w:lang w:eastAsia="zh-CN"/>
              </w:rPr>
              <w:t>”</w:t>
            </w:r>
            <w:r>
              <w:rPr>
                <w:rFonts w:hint="default" w:ascii="Times New Roman" w:hAnsi="Times New Roman" w:eastAsia="宋体" w:cs="Times New Roman"/>
                <w:bCs/>
                <w:color w:val="auto"/>
                <w:sz w:val="24"/>
              </w:rPr>
              <w:t>要求进行施工，即：必须湿法作业、必须打围作业、必须硬化道路，必须设置冲洗设施、设备，必须配齐保洁人员，必须定时清扫施工现场；不准车辆带泥出门，不准运渣车辆超载，不准高空抛撒建渣，不准现场搅拌混凝土，不准场地积水，不准现场焚烧废弃物。</w:t>
            </w:r>
          </w:p>
          <w:p>
            <w:pPr>
              <w:pStyle w:val="58"/>
              <w:spacing w:line="360" w:lineRule="auto"/>
              <w:ind w:left="0" w:leftChars="0" w:firstLine="0" w:firstLineChars="0"/>
              <w:rPr>
                <w:rFonts w:hint="default" w:ascii="Times New Roman" w:hAnsi="Times New Roman" w:eastAsia="宋体" w:cs="Times New Roman"/>
                <w:b/>
                <w:bCs w:val="0"/>
                <w:color w:val="auto"/>
                <w:sz w:val="24"/>
                <w:lang w:val="en-US" w:eastAsia="zh-CN"/>
              </w:rPr>
            </w:pPr>
            <w:r>
              <w:rPr>
                <w:rFonts w:hint="default" w:ascii="Times New Roman" w:hAnsi="Times New Roman" w:eastAsia="宋体" w:cs="Times New Roman"/>
                <w:b/>
                <w:bCs w:val="0"/>
                <w:color w:val="auto"/>
                <w:sz w:val="24"/>
                <w:lang w:val="en-US" w:eastAsia="zh-CN"/>
              </w:rPr>
              <w:t>2.2建设周期</w:t>
            </w:r>
          </w:p>
          <w:p>
            <w:pPr>
              <w:bidi w:val="0"/>
              <w:rPr>
                <w:rFonts w:hint="default"/>
                <w:lang w:val="en-US" w:eastAsia="zh-CN"/>
              </w:rPr>
            </w:pPr>
            <w:r>
              <w:rPr>
                <w:rFonts w:hint="default" w:ascii="Times New Roman" w:hAnsi="Times New Roman" w:eastAsia="宋体" w:cs="Times New Roman"/>
                <w:b w:val="0"/>
                <w:bCs w:val="0"/>
                <w:color w:val="auto"/>
                <w:kern w:val="0"/>
                <w:sz w:val="24"/>
                <w:szCs w:val="24"/>
                <w:lang w:val="en-US" w:eastAsia="zh-CN" w:bidi="ar-SA"/>
              </w:rPr>
              <w:t>根据计划及结合工程实际情况，本工程初拟施工总工期3个月（2024年9-12月）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jc w:val="center"/>
        </w:trPr>
        <w:tc>
          <w:tcPr>
            <w:tcW w:w="709" w:type="dxa"/>
            <w:vAlign w:val="center"/>
          </w:tcPr>
          <w:p>
            <w:pPr>
              <w:ind w:firstLine="0" w:firstLineChars="0"/>
              <w:jc w:val="center"/>
            </w:pPr>
            <w:r>
              <w:rPr>
                <w:rFonts w:hint="eastAsia"/>
                <w:sz w:val="21"/>
                <w:szCs w:val="21"/>
              </w:rPr>
              <w:t>其他</w:t>
            </w:r>
          </w:p>
        </w:tc>
        <w:tc>
          <w:tcPr>
            <w:tcW w:w="7831" w:type="dxa"/>
            <w:vAlign w:val="center"/>
          </w:tcPr>
          <w:p>
            <w:pPr>
              <w:ind w:firstLine="480"/>
              <w:jc w:val="center"/>
            </w:pPr>
            <w:r>
              <w:rPr>
                <w:rFonts w:hint="eastAsia"/>
              </w:rPr>
              <w:t>无</w:t>
            </w:r>
          </w:p>
        </w:tc>
      </w:tr>
    </w:tbl>
    <w:p>
      <w:pPr>
        <w:ind w:firstLine="480"/>
      </w:pPr>
      <w:r>
        <w:rPr>
          <w:rFonts w:hint="eastAsia"/>
        </w:rPr>
        <w:br w:type="page"/>
      </w:r>
    </w:p>
    <w:p>
      <w:pPr>
        <w:pStyle w:val="2"/>
        <w:numPr>
          <w:ilvl w:val="0"/>
          <w:numId w:val="0"/>
        </w:numPr>
        <w:jc w:val="center"/>
      </w:pPr>
      <w:r>
        <w:rPr>
          <w:rFonts w:hint="eastAsia" w:ascii="Times New Roman" w:hAnsi="Times New Roman" w:eastAsia="宋体" w:cstheme="minorBidi"/>
          <w:b/>
          <w:kern w:val="44"/>
          <w:sz w:val="30"/>
          <w:szCs w:val="24"/>
          <w:lang w:val="en-US" w:eastAsia="zh-CN" w:bidi="ar-SA"/>
        </w:rPr>
        <w:t>三、</w:t>
      </w:r>
      <w:r>
        <w:rPr>
          <w:rFonts w:hint="eastAsia"/>
        </w:rPr>
        <w:t>生态环境现状、保护目标及评价标准</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pPr>
              <w:pStyle w:val="31"/>
              <w:rPr>
                <w:rFonts w:hint="default"/>
              </w:rPr>
            </w:pPr>
            <w:r>
              <w:rPr>
                <w:sz w:val="21"/>
                <w:szCs w:val="21"/>
              </w:rPr>
              <w:t>生态环境现状</w:t>
            </w:r>
          </w:p>
        </w:tc>
        <w:tc>
          <w:tcPr>
            <w:tcW w:w="7813" w:type="dxa"/>
          </w:tcPr>
          <w:p>
            <w:pPr>
              <w:pStyle w:val="3"/>
              <w:numPr>
                <w:ilvl w:val="0"/>
                <w:numId w:val="0"/>
              </w:numPr>
              <w:spacing w:before="156" w:after="156"/>
              <w:outlineLvl w:val="1"/>
              <w:rPr>
                <w:rFonts w:hint="eastAsia" w:ascii="宋体" w:hAnsi="宋体" w:cs="宋体"/>
                <w:b/>
                <w:kern w:val="2"/>
                <w:sz w:val="24"/>
                <w:szCs w:val="24"/>
                <w:lang w:val="en-US" w:eastAsia="zh-CN" w:bidi="ar-SA"/>
              </w:rPr>
            </w:pPr>
            <w:r>
              <w:rPr>
                <w:rFonts w:hint="eastAsia" w:ascii="宋体" w:hAnsi="宋体" w:eastAsia="宋体" w:cs="宋体"/>
                <w:b/>
                <w:kern w:val="2"/>
                <w:sz w:val="24"/>
                <w:szCs w:val="24"/>
                <w:lang w:val="en-US" w:eastAsia="zh-CN" w:bidi="ar-SA"/>
              </w:rPr>
              <w:t>1.</w:t>
            </w:r>
            <w:r>
              <w:rPr>
                <w:rFonts w:hint="eastAsia" w:ascii="宋体" w:hAnsi="宋体" w:cs="宋体"/>
                <w:b/>
                <w:kern w:val="2"/>
                <w:sz w:val="24"/>
                <w:szCs w:val="24"/>
                <w:lang w:val="en-US" w:eastAsia="zh-CN" w:bidi="ar-SA"/>
              </w:rPr>
              <w:t>生态现状调查</w:t>
            </w:r>
          </w:p>
          <w:p>
            <w:pPr>
              <w:ind w:firstLine="420"/>
              <w:rPr>
                <w:rFonts w:hint="default" w:ascii="Times New Roman" w:hAnsi="Times New Roman" w:eastAsia="宋体" w:cs="Times New Roman"/>
                <w:b/>
                <w:bCs w:val="0"/>
                <w:color w:val="auto"/>
                <w:sz w:val="24"/>
                <w:szCs w:val="24"/>
              </w:rPr>
            </w:pPr>
            <w:r>
              <w:rPr>
                <w:rFonts w:hint="eastAsia" w:ascii="Times New Roman" w:hAnsi="Times New Roman" w:eastAsia="宋体" w:cs="Times New Roman"/>
                <w:b/>
                <w:bCs w:val="0"/>
                <w:color w:val="auto"/>
                <w:sz w:val="24"/>
                <w:szCs w:val="24"/>
                <w:lang w:val="en-US" w:eastAsia="zh-CN"/>
              </w:rPr>
              <w:t>1.1</w:t>
            </w:r>
            <w:r>
              <w:rPr>
                <w:rFonts w:hint="default" w:ascii="Times New Roman" w:hAnsi="Times New Roman" w:eastAsia="宋体" w:cs="Times New Roman"/>
                <w:b/>
                <w:bCs w:val="0"/>
                <w:color w:val="auto"/>
                <w:sz w:val="24"/>
                <w:szCs w:val="24"/>
              </w:rPr>
              <w:t>主体功能区规划</w:t>
            </w:r>
          </w:p>
          <w:p>
            <w:pPr>
              <w:ind w:firstLine="42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color w:val="auto"/>
                <w:sz w:val="24"/>
                <w:szCs w:val="24"/>
              </w:rPr>
              <w:t>《新疆维吾尔自治区主体功能区规划》中指出，“一些能源和矿产资源富集区域往往同时是生态脆弱或生态重要区域，被划分为限制进行大规模高强度工业化城镇化开发的重点生态功能区或农产品主产区，并不是限制能源和矿产资源的开发，这类区域中能源和矿产资源仍可依法开发，资源开采地点仍可定义为能源或矿产资源的重点开发基地，但应按该区域主体功能定位实行“点上开发、面上保护”，形成资源点状开发、生态面上保护的空间结构。对阿尔泰山、塔里木盆地、准噶尔盆地等矿产资源富集区域的开发要在科学规划的基础上以点状开发方式有序进行，开发强度控制在规划目标内，尽量减少对生态扰动和破坏，同时加强对矿产开发区迹地的生态修复”。</w:t>
            </w:r>
          </w:p>
          <w:p>
            <w:pPr>
              <w:ind w:firstLine="420"/>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本项目位于托克逊县45°方位直线距离14千米处，</w:t>
            </w:r>
            <w:r>
              <w:rPr>
                <w:rFonts w:hint="eastAsia" w:ascii="Times New Roman" w:hAnsi="Times New Roman" w:eastAsia="宋体" w:cs="Times New Roman"/>
                <w:bCs/>
                <w:color w:val="auto"/>
                <w:sz w:val="24"/>
                <w:szCs w:val="24"/>
                <w:lang w:eastAsia="zh-CN"/>
              </w:rPr>
              <w:t>该</w:t>
            </w:r>
            <w:r>
              <w:rPr>
                <w:rFonts w:hint="default" w:ascii="Times New Roman" w:hAnsi="Times New Roman" w:eastAsia="宋体" w:cs="Times New Roman"/>
                <w:bCs/>
                <w:color w:val="auto"/>
                <w:sz w:val="24"/>
                <w:szCs w:val="24"/>
              </w:rPr>
              <w:t>区域不属于限制开发区和禁止开发区，属于允许开发区。</w:t>
            </w:r>
          </w:p>
          <w:p>
            <w:pPr>
              <w:ind w:firstLine="420"/>
              <w:rPr>
                <w:rFonts w:hint="default" w:ascii="Times New Roman" w:hAnsi="Times New Roman" w:eastAsia="宋体" w:cs="Times New Roman"/>
                <w:b/>
                <w:bCs w:val="0"/>
                <w:color w:val="auto"/>
                <w:sz w:val="24"/>
                <w:szCs w:val="24"/>
              </w:rPr>
            </w:pPr>
            <w:r>
              <w:rPr>
                <w:rFonts w:hint="eastAsia" w:ascii="Times New Roman" w:hAnsi="Times New Roman" w:eastAsia="宋体" w:cs="Times New Roman"/>
                <w:b/>
                <w:bCs w:val="0"/>
                <w:color w:val="auto"/>
                <w:sz w:val="24"/>
                <w:szCs w:val="24"/>
                <w:lang w:val="en-US" w:eastAsia="zh-CN"/>
              </w:rPr>
              <w:t>1.2</w:t>
            </w:r>
            <w:r>
              <w:rPr>
                <w:rFonts w:hint="default" w:ascii="Times New Roman" w:hAnsi="Times New Roman" w:eastAsia="宋体" w:cs="Times New Roman"/>
                <w:b/>
                <w:bCs w:val="0"/>
                <w:color w:val="auto"/>
                <w:sz w:val="24"/>
                <w:szCs w:val="24"/>
              </w:rPr>
              <w:t>生态功能区划</w:t>
            </w:r>
          </w:p>
          <w:p>
            <w:pPr>
              <w:adjustRightInd w:val="0"/>
              <w:snapToGrid w:val="0"/>
              <w:ind w:firstLine="42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根据《新疆生态功能区划》，</w:t>
            </w:r>
            <w:r>
              <w:rPr>
                <w:rFonts w:hint="eastAsia" w:ascii="Times New Roman" w:hAnsi="Times New Roman" w:eastAsia="宋体" w:cs="Times New Roman"/>
                <w:color w:val="auto"/>
                <w:sz w:val="24"/>
                <w:szCs w:val="24"/>
                <w:lang w:val="en-US" w:eastAsia="zh-CN"/>
              </w:rPr>
              <w:t>本</w:t>
            </w:r>
            <w:r>
              <w:rPr>
                <w:rFonts w:hint="default" w:ascii="Times New Roman" w:hAnsi="Times New Roman" w:eastAsia="宋体" w:cs="Times New Roman"/>
                <w:color w:val="auto"/>
                <w:sz w:val="24"/>
                <w:szCs w:val="24"/>
                <w:lang w:val="en-US" w:eastAsia="zh-CN"/>
              </w:rPr>
              <w:t>项目区属于天山南坡吐鲁番—哈密盆地戈壁荒漠、绿洲农业生态亚区，主要生态服务功能为特色农产品生产、人居环境、旅游。项目区的生态功能区划见表3-1，项目区生态功能区划图详见</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附图</w:t>
            </w:r>
            <w:r>
              <w:rPr>
                <w:rFonts w:hint="eastAsia" w:cs="Times New Roman"/>
                <w:color w:val="000000" w:themeColor="text1"/>
                <w:sz w:val="24"/>
                <w:szCs w:val="24"/>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p>
          <w:p>
            <w:pPr>
              <w:autoSpaceDE w:val="0"/>
              <w:autoSpaceDN w:val="0"/>
              <w:adjustRightInd w:val="0"/>
              <w:snapToGrid w:val="0"/>
              <w:spacing w:line="240" w:lineRule="auto"/>
              <w:ind w:firstLine="0" w:firstLineChars="0"/>
              <w:jc w:val="center"/>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b/>
                <w:color w:val="auto"/>
                <w:kern w:val="0"/>
                <w:sz w:val="21"/>
                <w:szCs w:val="21"/>
              </w:rPr>
              <w:t>表3-1</w:t>
            </w:r>
            <w:r>
              <w:rPr>
                <w:rFonts w:hint="eastAsia" w:cs="Times New Roman"/>
                <w:b/>
                <w:color w:val="auto"/>
                <w:kern w:val="0"/>
                <w:sz w:val="21"/>
                <w:szCs w:val="21"/>
                <w:lang w:val="en-US" w:eastAsia="zh-CN"/>
              </w:rPr>
              <w:t xml:space="preserve">   </w:t>
            </w:r>
            <w:r>
              <w:rPr>
                <w:rFonts w:hint="default" w:ascii="Times New Roman" w:hAnsi="Times New Roman" w:eastAsia="宋体" w:cs="Times New Roman"/>
                <w:b/>
                <w:color w:val="auto"/>
                <w:kern w:val="0"/>
                <w:sz w:val="21"/>
                <w:szCs w:val="21"/>
              </w:rPr>
              <w:t>项目所在区域生态功能区划</w:t>
            </w:r>
          </w:p>
          <w:tbl>
            <w:tblPr>
              <w:tblStyle w:val="47"/>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6"/>
              <w:gridCol w:w="1142"/>
              <w:gridCol w:w="53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742" w:type="pct"/>
                  <w:vMerge w:val="restart"/>
                  <w:tcBorders>
                    <w:bottom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生态功能分区单元</w:t>
                  </w:r>
                </w:p>
              </w:tc>
              <w:tc>
                <w:tcPr>
                  <w:tcW w:w="751" w:type="pct"/>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生态区</w:t>
                  </w:r>
                </w:p>
              </w:tc>
              <w:tc>
                <w:tcPr>
                  <w:tcW w:w="3505" w:type="pct"/>
                  <w:tcBorders>
                    <w:right w:val="single" w:color="000000" w:sz="4" w:space="0"/>
                  </w:tcBorders>
                  <w:vAlign w:val="top"/>
                </w:tcPr>
                <w:p>
                  <w:pPr>
                    <w:adjustRightInd w:val="0"/>
                    <w:snapToGrid w:val="0"/>
                    <w:spacing w:line="240" w:lineRule="auto"/>
                    <w:ind w:firstLine="42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Ⅲ天山山地温性草原、森林生态区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742" w:type="pct"/>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p>
              </w:tc>
              <w:tc>
                <w:tcPr>
                  <w:tcW w:w="751" w:type="pct"/>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生态亚区</w:t>
                  </w:r>
                </w:p>
              </w:tc>
              <w:tc>
                <w:tcPr>
                  <w:tcW w:w="3505" w:type="pct"/>
                  <w:tcBorders>
                    <w:right w:val="single" w:color="000000" w:sz="4" w:space="0"/>
                  </w:tcBorders>
                  <w:vAlign w:val="top"/>
                </w:tcPr>
                <w:p>
                  <w:pPr>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Ⅲ4天山南坡吐鲁番—哈密盆地戈壁荒漠、绿洲农业生态亚区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742" w:type="pct"/>
                  <w:vMerge w:val="continue"/>
                  <w:tcBorders>
                    <w:top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p>
              </w:tc>
              <w:tc>
                <w:tcPr>
                  <w:tcW w:w="751" w:type="pct"/>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生态功能区</w:t>
                  </w:r>
                </w:p>
              </w:tc>
              <w:tc>
                <w:tcPr>
                  <w:tcW w:w="3505" w:type="pct"/>
                  <w:tcBorders>
                    <w:right w:val="single" w:color="000000" w:sz="4" w:space="0"/>
                  </w:tcBorders>
                  <w:vAlign w:val="top"/>
                </w:tcPr>
                <w:p>
                  <w:pPr>
                    <w:adjustRightInd w:val="0"/>
                    <w:snapToGrid w:val="0"/>
                    <w:spacing w:line="240" w:lineRule="auto"/>
                    <w:ind w:firstLine="42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50．吐鲁番盆地绿洲特色农业与旅游生态功能区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494" w:type="pct"/>
                  <w:gridSpan w:val="2"/>
                  <w:vAlign w:val="top"/>
                </w:tcPr>
                <w:p>
                  <w:pPr>
                    <w:pStyle w:val="46"/>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主要生态服务功能</w:t>
                  </w:r>
                </w:p>
              </w:tc>
              <w:tc>
                <w:tcPr>
                  <w:tcW w:w="3505" w:type="pct"/>
                  <w:tcBorders>
                    <w:right w:val="single" w:color="000000" w:sz="4" w:space="0"/>
                  </w:tcBorders>
                  <w:vAlign w:val="top"/>
                </w:tcPr>
                <w:p>
                  <w:pPr>
                    <w:pStyle w:val="46"/>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特色农产品生产、旅游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494" w:type="pct"/>
                  <w:gridSpan w:val="2"/>
                  <w:vAlign w:val="top"/>
                </w:tcPr>
                <w:p>
                  <w:pPr>
                    <w:pStyle w:val="46"/>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主要生态环境问题</w:t>
                  </w:r>
                </w:p>
              </w:tc>
              <w:tc>
                <w:tcPr>
                  <w:tcW w:w="3505" w:type="pct"/>
                  <w:tcBorders>
                    <w:right w:val="single" w:color="000000" w:sz="4" w:space="0"/>
                  </w:tcBorders>
                  <w:vAlign w:val="top"/>
                </w:tcPr>
                <w:p>
                  <w:pPr>
                    <w:pStyle w:val="46"/>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水资源短缺、地下水超采、风沙灾害严重、干热风多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494" w:type="pct"/>
                  <w:gridSpan w:val="2"/>
                  <w:vAlign w:val="top"/>
                </w:tcPr>
                <w:p>
                  <w:pPr>
                    <w:pStyle w:val="46"/>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主要生态敏感因子、敏感</w:t>
                  </w:r>
                </w:p>
                <w:p>
                  <w:pPr>
                    <w:pStyle w:val="46"/>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程度</w:t>
                  </w:r>
                </w:p>
              </w:tc>
              <w:tc>
                <w:tcPr>
                  <w:tcW w:w="3505" w:type="pct"/>
                  <w:tcBorders>
                    <w:right w:val="single" w:color="000000" w:sz="4" w:space="0"/>
                  </w:tcBorders>
                  <w:vAlign w:val="top"/>
                </w:tcPr>
                <w:p>
                  <w:pPr>
                    <w:pStyle w:val="46"/>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土壤侵蚀极度敏感，土地沙漠化轻度敏感，土壤盐渍化局部地段高度敏感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494" w:type="pct"/>
                  <w:gridSpan w:val="2"/>
                  <w:vAlign w:val="top"/>
                </w:tcPr>
                <w:p>
                  <w:pPr>
                    <w:pStyle w:val="46"/>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主要保护目标</w:t>
                  </w:r>
                </w:p>
              </w:tc>
              <w:tc>
                <w:tcPr>
                  <w:tcW w:w="3505" w:type="pct"/>
                  <w:tcBorders>
                    <w:right w:val="single" w:color="000000" w:sz="4" w:space="0"/>
                  </w:tcBorders>
                  <w:vAlign w:val="top"/>
                </w:tcPr>
                <w:p>
                  <w:pPr>
                    <w:pStyle w:val="46"/>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保护文物古迹、保护坎儿井、保护农田、保护荒漠植被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494" w:type="pct"/>
                  <w:gridSpan w:val="2"/>
                  <w:vAlign w:val="top"/>
                </w:tcPr>
                <w:p>
                  <w:pPr>
                    <w:adjustRightInd w:val="0"/>
                    <w:snapToGrid w:val="0"/>
                    <w:spacing w:line="240" w:lineRule="auto"/>
                    <w:ind w:firstLine="420"/>
                    <w:jc w:val="center"/>
                    <w:rPr>
                      <w:rFonts w:hint="default" w:ascii="Times New Roman" w:hAnsi="Times New Roman" w:eastAsia="宋体" w:cs="Times New Roman"/>
                      <w:b/>
                      <w:bCs/>
                      <w:color w:val="auto"/>
                      <w:kern w:val="2"/>
                      <w:sz w:val="21"/>
                      <w:szCs w:val="21"/>
                      <w:highlight w:val="none"/>
                      <w:lang w:val="en-US" w:eastAsia="zh-CN" w:bidi="ar-SA"/>
                    </w:rPr>
                  </w:pPr>
                </w:p>
                <w:p>
                  <w:pPr>
                    <w:adjustRightInd w:val="0"/>
                    <w:snapToGrid w:val="0"/>
                    <w:spacing w:line="240" w:lineRule="auto"/>
                    <w:ind w:firstLine="42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主要保护措施</w:t>
                  </w:r>
                </w:p>
              </w:tc>
              <w:tc>
                <w:tcPr>
                  <w:tcW w:w="3505" w:type="pct"/>
                  <w:tcBorders>
                    <w:right w:val="single" w:color="000000" w:sz="4" w:space="0"/>
                  </w:tcBorders>
                  <w:vAlign w:val="top"/>
                </w:tcPr>
                <w:p>
                  <w:pPr>
                    <w:adjustRightInd w:val="0"/>
                    <w:snapToGrid w:val="0"/>
                    <w:spacing w:line="240" w:lineRule="auto"/>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地表水和地下水调控开发、节水灌溉、建设防护林、加强文物保护</w:t>
                  </w:r>
                </w:p>
              </w:tc>
            </w:tr>
          </w:tbl>
          <w:p>
            <w:pPr>
              <w:adjustRightInd w:val="0"/>
              <w:snapToGrid w:val="0"/>
              <w:ind w:left="0" w:leftChars="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经调查项目所在区域植物群落单一，植被稀疏发育。经现场调查项目区内无珍稀动植物，无国家和地方各级人民政府批准设立的“自然保护区、森林公园、风景名胜区文物古迹、地质遗址”等特殊的环境保护目标，无重点保护野生动植物分布。根据《新疆维吾尔自治区主体功能区规划》，将新疆国土空间划分为重点开发、限制开发和禁止开发三类主体功能区。本项目不属于上述三类功能区，为允许开发区域。</w:t>
            </w:r>
          </w:p>
          <w:p>
            <w:pPr>
              <w:adjustRightInd w:val="0"/>
              <w:snapToGrid w:val="0"/>
              <w:ind w:firstLine="420"/>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1.3</w:t>
            </w:r>
            <w:r>
              <w:rPr>
                <w:rFonts w:hint="default" w:ascii="Times New Roman" w:hAnsi="Times New Roman" w:eastAsia="宋体" w:cs="Times New Roman"/>
                <w:b/>
                <w:bCs/>
                <w:color w:val="auto"/>
                <w:sz w:val="24"/>
                <w:szCs w:val="24"/>
                <w:highlight w:val="none"/>
                <w:lang w:val="en-US" w:eastAsia="zh-CN"/>
              </w:rPr>
              <w:t>土地利用现状调查</w:t>
            </w:r>
          </w:p>
          <w:p>
            <w:pPr>
              <w:adjustRightInd w:val="0"/>
              <w:snapToGrid w:val="0"/>
              <w:ind w:firstLine="42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sz w:val="24"/>
                <w:szCs w:val="24"/>
                <w:highlight w:val="none"/>
              </w:rPr>
              <w:t>依据</w:t>
            </w:r>
            <w:r>
              <w:rPr>
                <w:rFonts w:hint="default" w:ascii="Times New Roman" w:hAnsi="Times New Roman" w:eastAsia="宋体" w:cs="Times New Roman"/>
                <w:color w:val="auto"/>
                <w:sz w:val="24"/>
                <w:szCs w:val="24"/>
                <w:highlight w:val="none"/>
                <w:lang w:eastAsia="zh-CN"/>
              </w:rPr>
              <w:t>鄯善县自然资源局</w:t>
            </w:r>
            <w:r>
              <w:rPr>
                <w:rFonts w:hint="default" w:ascii="Times New Roman" w:hAnsi="Times New Roman" w:eastAsia="宋体" w:cs="Times New Roman"/>
                <w:color w:val="auto"/>
                <w:sz w:val="24"/>
                <w:szCs w:val="24"/>
                <w:highlight w:val="none"/>
              </w:rPr>
              <w:t>出具的《新疆托克逊县英阿瓦提建筑用砂矿土地利用现状权属证明》，结合《国土空间调查、规划、用途管制用地用海分类指南（试行）》（自然资源部2020年11月），矿区所在范围土地类型属建设用地中的采矿用地0.0005平方千米，属未利用地中的裸岩石砾地0.2019平方千米，土地权属均为托克逊县国有，土地无权</w:t>
            </w:r>
            <w:r>
              <w:rPr>
                <w:rFonts w:hint="eastAsia" w:ascii="Times New Roman" w:hAnsi="Times New Roman" w:eastAsia="宋体" w:cs="Times New Roman"/>
                <w:color w:val="auto"/>
                <w:sz w:val="24"/>
                <w:szCs w:val="24"/>
                <w:highlight w:val="none"/>
                <w:lang w:eastAsia="zh-CN"/>
              </w:rPr>
              <w:t>属争议</w:t>
            </w:r>
            <w:r>
              <w:rPr>
                <w:rFonts w:hint="default" w:ascii="Times New Roman" w:hAnsi="Times New Roman" w:eastAsia="宋体" w:cs="Times New Roman"/>
                <w:color w:val="auto"/>
                <w:sz w:val="24"/>
                <w:szCs w:val="24"/>
                <w:highlight w:val="none"/>
                <w:lang w:val="en-US" w:eastAsia="zh-CN"/>
              </w:rPr>
              <w:t>。</w:t>
            </w:r>
          </w:p>
          <w:p>
            <w:pPr>
              <w:adjustRightInd w:val="0"/>
              <w:snapToGrid w:val="0"/>
              <w:ind w:firstLine="420"/>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1.4</w:t>
            </w:r>
            <w:r>
              <w:rPr>
                <w:rFonts w:hint="default" w:ascii="Times New Roman" w:hAnsi="Times New Roman" w:eastAsia="宋体" w:cs="Times New Roman"/>
                <w:b/>
                <w:bCs/>
                <w:color w:val="auto"/>
                <w:sz w:val="24"/>
                <w:szCs w:val="24"/>
                <w:highlight w:val="none"/>
                <w:lang w:val="en-US" w:eastAsia="zh-CN"/>
              </w:rPr>
              <w:t>植被现状调查及评价</w:t>
            </w:r>
          </w:p>
          <w:p>
            <w:pPr>
              <w:adjustRightInd w:val="0"/>
              <w:snapToGrid w:val="0"/>
              <w:ind w:firstLine="42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根据现场踏勘，矿区地表绝大部分为基岩裸露，植被不发育，偶见骆驼刺等耐寒植物生长，植被覆盖度小于5%。</w:t>
            </w:r>
          </w:p>
          <w:p>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1.5</w:t>
            </w:r>
            <w:r>
              <w:rPr>
                <w:rFonts w:hint="default" w:ascii="Times New Roman" w:hAnsi="Times New Roman" w:eastAsia="宋体" w:cs="Times New Roman"/>
                <w:b/>
                <w:bCs/>
                <w:color w:val="auto"/>
                <w:sz w:val="24"/>
                <w:szCs w:val="24"/>
                <w:highlight w:val="none"/>
                <w:lang w:val="en-US" w:eastAsia="zh-CN"/>
              </w:rPr>
              <w:t>野生动物现状调查及评价</w:t>
            </w:r>
          </w:p>
          <w:p>
            <w:pPr>
              <w:pStyle w:val="3"/>
              <w:pageBreakBefore w:val="0"/>
              <w:widowControl w:val="0"/>
              <w:numPr>
                <w:ilvl w:val="0"/>
                <w:numId w:val="0"/>
              </w:numPr>
              <w:kinsoku/>
              <w:wordWrap/>
              <w:overflowPunct/>
              <w:topLinePunct w:val="0"/>
              <w:autoSpaceDE/>
              <w:autoSpaceDN/>
              <w:bidi w:val="0"/>
              <w:adjustRightInd/>
              <w:snapToGrid/>
              <w:spacing w:beforeLines="0" w:afterLines="0" w:line="360" w:lineRule="auto"/>
              <w:ind w:firstLine="480" w:firstLineChars="200"/>
              <w:textAlignment w:val="auto"/>
              <w:outlineLvl w:val="1"/>
              <w:rPr>
                <w:rFonts w:hint="default" w:ascii="Times New Roman" w:hAnsi="Times New Roman" w:eastAsia="宋体" w:cs="Times New Roman"/>
                <w:b w:val="0"/>
                <w:color w:val="auto"/>
                <w:kern w:val="2"/>
                <w:sz w:val="24"/>
                <w:szCs w:val="24"/>
                <w:highlight w:val="none"/>
                <w:lang w:val="en-US" w:eastAsia="zh-CN" w:bidi="ar-SA"/>
              </w:rPr>
            </w:pPr>
            <w:r>
              <w:rPr>
                <w:rFonts w:hint="default" w:ascii="Times New Roman" w:hAnsi="Times New Roman" w:eastAsia="宋体" w:cs="Times New Roman"/>
                <w:b w:val="0"/>
                <w:color w:val="auto"/>
                <w:kern w:val="2"/>
                <w:sz w:val="24"/>
                <w:szCs w:val="24"/>
                <w:highlight w:val="none"/>
                <w:lang w:val="en-US" w:eastAsia="zh-CN" w:bidi="ar-SA"/>
              </w:rPr>
              <w:t>根据现场踏勘，由于内陆干旱气候控制下自然环境条件和人为活动的干扰致使评价区所属动物区系的野生动物种类组成贫乏，组成简单，有麻雀、老鼠等动物活动。项目区域内没有国家及自治区级野生保护动物分布。</w:t>
            </w:r>
          </w:p>
          <w:p>
            <w:pPr>
              <w:keepNext/>
              <w:keepLines/>
              <w:numPr>
                <w:ilvl w:val="0"/>
                <w:numId w:val="0"/>
              </w:numPr>
              <w:suppressLineNumbers w:val="0"/>
              <w:spacing w:before="0" w:beforeAutospacing="0" w:after="0" w:afterAutospacing="0"/>
              <w:ind w:right="0" w:rightChars="0"/>
              <w:outlineLvl w:val="2"/>
              <w:rPr>
                <w:rFonts w:hint="eastAsia"/>
                <w:b/>
                <w:bCs/>
                <w:color w:val="000000" w:themeColor="text1"/>
                <w:sz w:val="24"/>
                <w:szCs w:val="24"/>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2.</w:t>
            </w:r>
            <w:r>
              <w:rPr>
                <w:rFonts w:hint="eastAsia"/>
                <w:b/>
                <w:bCs/>
                <w:color w:val="000000" w:themeColor="text1"/>
                <w:sz w:val="24"/>
                <w:szCs w:val="24"/>
                <w14:textFill>
                  <w14:solidFill>
                    <w14:schemeClr w14:val="tx1"/>
                  </w14:solidFill>
                </w14:textFill>
              </w:rPr>
              <w:t>环境空气质量现状</w:t>
            </w:r>
          </w:p>
          <w:p>
            <w:pPr>
              <w:adjustRightInd w:val="0"/>
              <w:spacing w:line="360" w:lineRule="auto"/>
              <w:ind w:left="0" w:leftChars="0" w:firstLine="482" w:firstLineChars="200"/>
              <w:rPr>
                <w:b/>
                <w:bCs/>
                <w:sz w:val="24"/>
              </w:rPr>
            </w:pPr>
            <w:r>
              <w:rPr>
                <w:rFonts w:hint="eastAsia"/>
                <w:b/>
                <w:bCs/>
                <w:sz w:val="24"/>
              </w:rPr>
              <w:t>2.1基本污染物环境质量现状评价</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（1）数据来源</w:t>
            </w:r>
          </w:p>
          <w:p>
            <w:pPr>
              <w:pStyle w:val="2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2" w:firstLineChars="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根据《建设项目环境影响报告表编制技术指南（污染影响类）（试行）》常规污染物引用与建设项目距离近的有效数据，包括近</w:t>
            </w:r>
            <w:r>
              <w:rPr>
                <w:rFonts w:hint="default" w:ascii="Times New Roman" w:hAnsi="Times New Roman" w:eastAsia="宋体" w:cs="Times New Roman"/>
                <w:color w:val="auto"/>
                <w:kern w:val="2"/>
                <w:sz w:val="24"/>
                <w:szCs w:val="24"/>
                <w:highlight w:val="none"/>
                <w:lang w:val="en-US" w:eastAsia="zh-CN" w:bidi="ar-SA"/>
              </w:rPr>
              <w:t>3</w:t>
            </w:r>
            <w:r>
              <w:rPr>
                <w:rFonts w:hint="eastAsia" w:ascii="Times New Roman" w:hAnsi="Times New Roman" w:eastAsia="宋体" w:cs="Times New Roman"/>
                <w:color w:val="auto"/>
                <w:kern w:val="2"/>
                <w:sz w:val="24"/>
                <w:szCs w:val="24"/>
                <w:highlight w:val="none"/>
                <w:lang w:val="en-US" w:eastAsia="zh-CN" w:bidi="ar-SA"/>
              </w:rPr>
              <w:t>年的规划环境影响评价的监测数据，国家、地方环境空气质量监测网数据或生态环境主管部门公开发布的质量数据等。根据《环境影响评价技术导则 大气环境》</w:t>
            </w:r>
            <w:r>
              <w:rPr>
                <w:rFonts w:hint="default" w:ascii="Times New Roman" w:hAnsi="Times New Roman" w:eastAsia="宋体" w:cs="Times New Roman"/>
                <w:color w:val="auto"/>
                <w:kern w:val="2"/>
                <w:sz w:val="24"/>
                <w:szCs w:val="24"/>
                <w:highlight w:val="none"/>
                <w:lang w:val="en-US" w:eastAsia="zh-CN" w:bidi="ar-SA"/>
              </w:rPr>
              <w:t>（HJ2.2-2018）</w:t>
            </w:r>
            <w:r>
              <w:rPr>
                <w:rFonts w:hint="eastAsia" w:ascii="Times New Roman" w:hAnsi="Times New Roman" w:eastAsia="宋体" w:cs="Times New Roman"/>
                <w:color w:val="auto"/>
                <w:kern w:val="2"/>
                <w:sz w:val="24"/>
                <w:szCs w:val="24"/>
                <w:highlight w:val="none"/>
                <w:lang w:val="en-US" w:eastAsia="zh-CN" w:bidi="ar-SA"/>
              </w:rPr>
              <w:t>对环境质量现状数据的要求，本次基本污染物环境质量现状评价采用中国空气质量在线监测分析平台公布的202</w:t>
            </w:r>
            <w:r>
              <w:rPr>
                <w:rFonts w:hint="eastAsia" w:ascii="Times New Roman" w:hAnsi="Times New Roman" w:cs="Times New Roman"/>
                <w:color w:val="auto"/>
                <w:kern w:val="2"/>
                <w:sz w:val="24"/>
                <w:szCs w:val="24"/>
                <w:highlight w:val="none"/>
                <w:lang w:val="en-US" w:eastAsia="zh-CN" w:bidi="ar-SA"/>
              </w:rPr>
              <w:t>2</w:t>
            </w:r>
            <w:r>
              <w:rPr>
                <w:rFonts w:hint="eastAsia" w:ascii="Times New Roman" w:hAnsi="Times New Roman" w:eastAsia="宋体" w:cs="Times New Roman"/>
                <w:color w:val="auto"/>
                <w:kern w:val="2"/>
                <w:sz w:val="24"/>
                <w:szCs w:val="24"/>
                <w:highlight w:val="none"/>
                <w:lang w:val="en-US" w:eastAsia="zh-CN" w:bidi="ar-SA"/>
              </w:rPr>
              <w:t>年吐鲁番市城市空气质量数据，作为达标区判定中的数据和结论，作为本项目环境空气现状评价基本污染物</w:t>
            </w:r>
            <w:r>
              <w:rPr>
                <w:rFonts w:hint="default" w:ascii="Times New Roman" w:hAnsi="Times New Roman" w:eastAsia="宋体" w:cs="Times New Roman"/>
                <w:color w:val="auto"/>
                <w:kern w:val="2"/>
                <w:sz w:val="24"/>
                <w:szCs w:val="24"/>
                <w:highlight w:val="none"/>
                <w:lang w:val="en-US" w:eastAsia="zh-CN" w:bidi="ar-SA"/>
              </w:rPr>
              <w:t>SO</w:t>
            </w:r>
            <w:r>
              <w:rPr>
                <w:rFonts w:hint="default" w:ascii="Times New Roman" w:hAnsi="Times New Roman" w:eastAsia="宋体" w:cs="Times New Roman"/>
                <w:color w:val="auto"/>
                <w:kern w:val="2"/>
                <w:sz w:val="24"/>
                <w:szCs w:val="24"/>
                <w:highlight w:val="none"/>
                <w:vertAlign w:val="subscript"/>
                <w:lang w:val="en-US" w:eastAsia="zh-CN" w:bidi="ar-SA"/>
              </w:rPr>
              <w:t>2</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NO</w:t>
            </w:r>
            <w:r>
              <w:rPr>
                <w:rFonts w:hint="default" w:ascii="Times New Roman" w:hAnsi="Times New Roman" w:eastAsia="宋体" w:cs="Times New Roman"/>
                <w:color w:val="auto"/>
                <w:kern w:val="2"/>
                <w:sz w:val="24"/>
                <w:szCs w:val="24"/>
                <w:highlight w:val="none"/>
                <w:vertAlign w:val="subscript"/>
                <w:lang w:val="en-US" w:eastAsia="zh-CN" w:bidi="ar-SA"/>
              </w:rPr>
              <w:t>2</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PM</w:t>
            </w:r>
            <w:r>
              <w:rPr>
                <w:rFonts w:hint="default" w:ascii="Times New Roman" w:hAnsi="Times New Roman" w:eastAsia="宋体" w:cs="Times New Roman"/>
                <w:color w:val="auto"/>
                <w:kern w:val="2"/>
                <w:sz w:val="24"/>
                <w:szCs w:val="24"/>
                <w:highlight w:val="none"/>
                <w:vertAlign w:val="subscript"/>
                <w:lang w:val="en-US" w:eastAsia="zh-CN" w:bidi="ar-SA"/>
              </w:rPr>
              <w:t>10</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PM</w:t>
            </w:r>
            <w:r>
              <w:rPr>
                <w:rFonts w:hint="default" w:ascii="Times New Roman" w:hAnsi="Times New Roman" w:eastAsia="宋体" w:cs="Times New Roman"/>
                <w:color w:val="auto"/>
                <w:kern w:val="2"/>
                <w:sz w:val="24"/>
                <w:szCs w:val="24"/>
                <w:highlight w:val="none"/>
                <w:vertAlign w:val="subscript"/>
                <w:lang w:val="en-US" w:eastAsia="zh-CN" w:bidi="ar-SA"/>
              </w:rPr>
              <w:t>2.5</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CO</w:t>
            </w:r>
            <w:r>
              <w:rPr>
                <w:rFonts w:hint="eastAsia" w:ascii="Times New Roman" w:hAnsi="Times New Roman" w:eastAsia="宋体" w:cs="Times New Roman"/>
                <w:color w:val="auto"/>
                <w:kern w:val="2"/>
                <w:sz w:val="24"/>
                <w:szCs w:val="24"/>
                <w:highlight w:val="none"/>
                <w:lang w:val="en-US" w:eastAsia="zh-CN" w:bidi="ar-SA"/>
              </w:rPr>
              <w:t>和</w:t>
            </w:r>
            <w:r>
              <w:rPr>
                <w:rFonts w:hint="default" w:ascii="Times New Roman" w:hAnsi="Times New Roman" w:eastAsia="宋体" w:cs="Times New Roman"/>
                <w:color w:val="auto"/>
                <w:kern w:val="2"/>
                <w:sz w:val="24"/>
                <w:szCs w:val="24"/>
                <w:highlight w:val="none"/>
                <w:lang w:val="en-US" w:eastAsia="zh-CN" w:bidi="ar-SA"/>
              </w:rPr>
              <w:t>O</w:t>
            </w:r>
            <w:r>
              <w:rPr>
                <w:rFonts w:hint="default" w:ascii="Times New Roman" w:hAnsi="Times New Roman" w:eastAsia="宋体" w:cs="Times New Roman"/>
                <w:color w:val="auto"/>
                <w:kern w:val="2"/>
                <w:sz w:val="24"/>
                <w:szCs w:val="24"/>
                <w:highlight w:val="none"/>
                <w:vertAlign w:val="subscript"/>
                <w:lang w:val="en-US" w:eastAsia="zh-CN" w:bidi="ar-SA"/>
              </w:rPr>
              <w:t>3</w:t>
            </w:r>
            <w:r>
              <w:rPr>
                <w:rFonts w:hint="eastAsia" w:ascii="Times New Roman" w:hAnsi="Times New Roman" w:eastAsia="宋体" w:cs="Times New Roman"/>
                <w:color w:val="auto"/>
                <w:kern w:val="2"/>
                <w:sz w:val="24"/>
                <w:szCs w:val="24"/>
                <w:highlight w:val="none"/>
                <w:lang w:val="en-US" w:eastAsia="zh-CN" w:bidi="ar-SA"/>
              </w:rPr>
              <w:t>的数据来源。</w:t>
            </w:r>
          </w:p>
          <w:p>
            <w:pPr>
              <w:adjustRightInd w:val="0"/>
              <w:spacing w:line="360" w:lineRule="auto"/>
              <w:ind w:left="0" w:leftChars="0" w:firstLine="480" w:firstLineChars="200"/>
              <w:rPr>
                <w:b w:val="0"/>
                <w:bCs w:val="0"/>
                <w:sz w:val="24"/>
              </w:rPr>
            </w:pPr>
            <w:r>
              <w:rPr>
                <w:rFonts w:hint="eastAsia"/>
                <w:b w:val="0"/>
                <w:bCs w:val="0"/>
                <w:sz w:val="24"/>
                <w:lang w:val="en-US" w:eastAsia="zh-CN"/>
              </w:rPr>
              <w:t>（2）</w:t>
            </w:r>
            <w:r>
              <w:rPr>
                <w:b w:val="0"/>
                <w:bCs w:val="0"/>
                <w:sz w:val="24"/>
              </w:rPr>
              <w:t>评价标准</w:t>
            </w:r>
          </w:p>
          <w:p>
            <w:pPr>
              <w:adjustRightInd w:val="0"/>
              <w:spacing w:line="360" w:lineRule="auto"/>
              <w:ind w:firstLine="480" w:firstLineChars="200"/>
              <w:rPr>
                <w:sz w:val="24"/>
              </w:rPr>
            </w:pPr>
            <w:bookmarkStart w:id="23" w:name="_Toc11467"/>
            <w:r>
              <w:rPr>
                <w:sz w:val="24"/>
              </w:rPr>
              <w:t>基本污染物S</w:t>
            </w:r>
            <w:r>
              <w:rPr>
                <w:rFonts w:hint="default" w:ascii="Times New Roman" w:hAnsi="Times New Roman" w:cs="Times New Roman"/>
                <w:sz w:val="24"/>
              </w:rPr>
              <w:t>O</w:t>
            </w:r>
            <w:r>
              <w:rPr>
                <w:rFonts w:hint="default" w:ascii="Times New Roman" w:hAnsi="Times New Roman" w:cs="Times New Roman"/>
                <w:sz w:val="24"/>
                <w:vertAlign w:val="subscript"/>
              </w:rPr>
              <w:t>2</w:t>
            </w:r>
            <w:r>
              <w:rPr>
                <w:rFonts w:hint="default" w:ascii="Times New Roman" w:hAnsi="Times New Roman" w:cs="Times New Roman"/>
                <w:sz w:val="24"/>
              </w:rPr>
              <w:t>、NO</w:t>
            </w:r>
            <w:r>
              <w:rPr>
                <w:rFonts w:hint="default" w:ascii="Times New Roman" w:hAnsi="Times New Roman" w:cs="Times New Roman"/>
                <w:sz w:val="24"/>
                <w:vertAlign w:val="subscript"/>
              </w:rPr>
              <w:t>2</w:t>
            </w:r>
            <w:r>
              <w:rPr>
                <w:rFonts w:hint="default" w:ascii="Times New Roman" w:hAnsi="Times New Roman" w:cs="Times New Roman"/>
                <w:sz w:val="24"/>
              </w:rPr>
              <w:t>、PM</w:t>
            </w:r>
            <w:r>
              <w:rPr>
                <w:rFonts w:hint="default" w:ascii="Times New Roman" w:hAnsi="Times New Roman" w:cs="Times New Roman"/>
                <w:sz w:val="24"/>
                <w:vertAlign w:val="subscript"/>
              </w:rPr>
              <w:t>10</w:t>
            </w:r>
            <w:r>
              <w:rPr>
                <w:rFonts w:hint="default" w:ascii="Times New Roman" w:hAnsi="Times New Roman" w:cs="Times New Roman"/>
                <w:sz w:val="24"/>
              </w:rPr>
              <w:t>、PM</w:t>
            </w:r>
            <w:r>
              <w:rPr>
                <w:rFonts w:hint="default" w:ascii="Times New Roman" w:hAnsi="Times New Roman" w:cs="Times New Roman"/>
                <w:sz w:val="24"/>
                <w:vertAlign w:val="subscript"/>
              </w:rPr>
              <w:t>2.5</w:t>
            </w:r>
            <w:r>
              <w:rPr>
                <w:rFonts w:hint="default" w:ascii="Times New Roman" w:hAnsi="Times New Roman" w:cs="Times New Roman"/>
                <w:sz w:val="24"/>
              </w:rPr>
              <w:t>、CO和O</w:t>
            </w:r>
            <w:r>
              <w:rPr>
                <w:rFonts w:hint="default" w:ascii="Times New Roman" w:hAnsi="Times New Roman" w:cs="Times New Roman"/>
                <w:sz w:val="24"/>
                <w:vertAlign w:val="subscript"/>
              </w:rPr>
              <w:t>3</w:t>
            </w:r>
            <w:r>
              <w:rPr>
                <w:rFonts w:hint="default" w:ascii="Times New Roman" w:hAnsi="Times New Roman" w:cs="Times New Roman"/>
                <w:sz w:val="24"/>
              </w:rPr>
              <w:t>执行《环境空气质量标准》（GB3095-2012）中的二级标准。评价标准见表3-</w:t>
            </w:r>
            <w:r>
              <w:rPr>
                <w:rFonts w:hint="eastAsia" w:cs="Times New Roman"/>
                <w:sz w:val="24"/>
                <w:lang w:val="en-US" w:eastAsia="zh-CN"/>
              </w:rPr>
              <w:t>2</w:t>
            </w:r>
            <w:r>
              <w:rPr>
                <w:rFonts w:hint="default" w:ascii="Times New Roman" w:hAnsi="Times New Roman" w:cs="Times New Roman"/>
                <w:sz w:val="24"/>
              </w:rPr>
              <w:t>。</w:t>
            </w:r>
          </w:p>
          <w:p>
            <w:pPr>
              <w:adjustRightInd w:val="0"/>
              <w:spacing w:line="240" w:lineRule="auto"/>
              <w:ind w:firstLine="422" w:firstLineChars="200"/>
              <w:jc w:val="center"/>
              <w:rPr>
                <w:b/>
                <w:bCs/>
                <w:sz w:val="21"/>
                <w:szCs w:val="21"/>
              </w:rPr>
            </w:pPr>
            <w:r>
              <w:rPr>
                <w:b/>
                <w:bCs/>
                <w:sz w:val="21"/>
                <w:szCs w:val="21"/>
              </w:rPr>
              <w:t>表3-</w:t>
            </w:r>
            <w:r>
              <w:rPr>
                <w:rFonts w:hint="eastAsia"/>
                <w:b/>
                <w:bCs/>
                <w:sz w:val="21"/>
                <w:szCs w:val="21"/>
                <w:lang w:val="en-US" w:eastAsia="zh-CN"/>
              </w:rPr>
              <w:t>2</w:t>
            </w:r>
            <w:r>
              <w:rPr>
                <w:rFonts w:hint="eastAsia"/>
                <w:b/>
                <w:bCs/>
                <w:sz w:val="21"/>
                <w:szCs w:val="21"/>
              </w:rPr>
              <w:t xml:space="preserve">  </w:t>
            </w:r>
            <w:r>
              <w:rPr>
                <w:rFonts w:hint="eastAsia"/>
                <w:b/>
                <w:bCs/>
                <w:sz w:val="21"/>
                <w:szCs w:val="21"/>
                <w:lang w:val="en-US" w:eastAsia="zh-CN"/>
              </w:rPr>
              <w:t xml:space="preserve"> </w:t>
            </w:r>
            <w:r>
              <w:rPr>
                <w:b/>
                <w:bCs/>
                <w:sz w:val="21"/>
                <w:szCs w:val="21"/>
              </w:rPr>
              <w:t>大气环境质量标准  单位：μg/m</w:t>
            </w:r>
            <w:r>
              <w:rPr>
                <w:b/>
                <w:bCs/>
                <w:sz w:val="21"/>
                <w:szCs w:val="21"/>
                <w:vertAlign w:val="superscript"/>
              </w:rPr>
              <w:t>3</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2121"/>
              <w:gridCol w:w="1487"/>
              <w:gridCol w:w="1487"/>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62" w:type="pct"/>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b/>
                      <w:bCs/>
                      <w:sz w:val="21"/>
                      <w:szCs w:val="21"/>
                    </w:rPr>
                  </w:pPr>
                  <w:r>
                    <w:rPr>
                      <w:b/>
                      <w:bCs/>
                      <w:sz w:val="21"/>
                      <w:szCs w:val="21"/>
                    </w:rPr>
                    <w:t>序号</w:t>
                  </w:r>
                </w:p>
              </w:tc>
              <w:tc>
                <w:tcPr>
                  <w:tcW w:w="1398" w:type="pct"/>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b/>
                      <w:bCs/>
                      <w:sz w:val="21"/>
                      <w:szCs w:val="21"/>
                    </w:rPr>
                  </w:pPr>
                  <w:r>
                    <w:rPr>
                      <w:b/>
                      <w:bCs/>
                      <w:sz w:val="21"/>
                      <w:szCs w:val="21"/>
                    </w:rPr>
                    <w:t>污染物名称</w:t>
                  </w:r>
                </w:p>
              </w:tc>
              <w:tc>
                <w:tcPr>
                  <w:tcW w:w="3039" w:type="pct"/>
                  <w:gridSpan w:val="3"/>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b/>
                      <w:bCs/>
                      <w:sz w:val="21"/>
                      <w:szCs w:val="21"/>
                    </w:rPr>
                  </w:pPr>
                  <w:r>
                    <w:rPr>
                      <w:b/>
                      <w:bCs/>
                      <w:sz w:val="21"/>
                      <w:szCs w:val="21"/>
                    </w:rPr>
                    <w:t>取值时间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62"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b/>
                      <w:bCs/>
                      <w:sz w:val="21"/>
                      <w:szCs w:val="21"/>
                    </w:rPr>
                  </w:pPr>
                </w:p>
              </w:tc>
              <w:tc>
                <w:tcPr>
                  <w:tcW w:w="1398"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b/>
                      <w:bCs/>
                      <w:sz w:val="21"/>
                      <w:szCs w:val="21"/>
                    </w:rPr>
                  </w:pPr>
                </w:p>
              </w:tc>
              <w:tc>
                <w:tcPr>
                  <w:tcW w:w="980" w:type="pct"/>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b/>
                      <w:bCs/>
                      <w:sz w:val="21"/>
                      <w:szCs w:val="21"/>
                    </w:rPr>
                  </w:pPr>
                  <w:r>
                    <w:rPr>
                      <w:b/>
                      <w:bCs/>
                      <w:sz w:val="21"/>
                      <w:szCs w:val="21"/>
                    </w:rPr>
                    <w:t>年均值</w:t>
                  </w:r>
                </w:p>
              </w:tc>
              <w:tc>
                <w:tcPr>
                  <w:tcW w:w="980" w:type="pct"/>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b/>
                      <w:bCs/>
                      <w:sz w:val="21"/>
                      <w:szCs w:val="21"/>
                    </w:rPr>
                  </w:pPr>
                  <w:r>
                    <w:rPr>
                      <w:b/>
                      <w:bCs/>
                      <w:sz w:val="21"/>
                      <w:szCs w:val="21"/>
                    </w:rPr>
                    <w:t>日均值</w:t>
                  </w:r>
                </w:p>
              </w:tc>
              <w:tc>
                <w:tcPr>
                  <w:tcW w:w="1078" w:type="pct"/>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b/>
                      <w:bCs/>
                      <w:sz w:val="21"/>
                      <w:szCs w:val="21"/>
                    </w:rPr>
                  </w:pPr>
                  <w:r>
                    <w:rPr>
                      <w:b/>
                      <w:bCs/>
                      <w:sz w:val="21"/>
                      <w:szCs w:val="21"/>
                    </w:rPr>
                    <w:t>小时均值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62" w:type="pct"/>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sz w:val="21"/>
                      <w:szCs w:val="21"/>
                    </w:rPr>
                  </w:pPr>
                  <w:r>
                    <w:rPr>
                      <w:sz w:val="21"/>
                      <w:szCs w:val="21"/>
                    </w:rPr>
                    <w:t>1</w:t>
                  </w:r>
                </w:p>
              </w:tc>
              <w:tc>
                <w:tcPr>
                  <w:tcW w:w="1398" w:type="pct"/>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sz w:val="21"/>
                      <w:szCs w:val="21"/>
                    </w:rPr>
                  </w:pPr>
                  <w:r>
                    <w:rPr>
                      <w:sz w:val="21"/>
                      <w:szCs w:val="21"/>
                    </w:rPr>
                    <w:t>SO</w:t>
                  </w:r>
                  <w:r>
                    <w:rPr>
                      <w:sz w:val="21"/>
                      <w:szCs w:val="21"/>
                      <w:vertAlign w:val="subscript"/>
                    </w:rPr>
                    <w:t>2</w:t>
                  </w:r>
                </w:p>
              </w:tc>
              <w:tc>
                <w:tcPr>
                  <w:tcW w:w="980" w:type="pct"/>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sz w:val="21"/>
                      <w:szCs w:val="21"/>
                    </w:rPr>
                  </w:pPr>
                  <w:r>
                    <w:rPr>
                      <w:sz w:val="21"/>
                      <w:szCs w:val="21"/>
                    </w:rPr>
                    <w:t>60</w:t>
                  </w:r>
                </w:p>
              </w:tc>
              <w:tc>
                <w:tcPr>
                  <w:tcW w:w="980" w:type="pct"/>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sz w:val="21"/>
                      <w:szCs w:val="21"/>
                    </w:rPr>
                  </w:pPr>
                  <w:r>
                    <w:rPr>
                      <w:sz w:val="21"/>
                      <w:szCs w:val="21"/>
                    </w:rPr>
                    <w:t>150</w:t>
                  </w:r>
                </w:p>
              </w:tc>
              <w:tc>
                <w:tcPr>
                  <w:tcW w:w="1078" w:type="pct"/>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sz w:val="21"/>
                      <w:szCs w:val="21"/>
                    </w:rPr>
                  </w:pPr>
                  <w:r>
                    <w:rPr>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62" w:type="pct"/>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sz w:val="21"/>
                      <w:szCs w:val="21"/>
                    </w:rPr>
                  </w:pPr>
                  <w:r>
                    <w:rPr>
                      <w:sz w:val="21"/>
                      <w:szCs w:val="21"/>
                    </w:rPr>
                    <w:t>2</w:t>
                  </w:r>
                </w:p>
              </w:tc>
              <w:tc>
                <w:tcPr>
                  <w:tcW w:w="1398" w:type="pct"/>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sz w:val="21"/>
                      <w:szCs w:val="21"/>
                    </w:rPr>
                  </w:pPr>
                  <w:r>
                    <w:rPr>
                      <w:sz w:val="21"/>
                      <w:szCs w:val="21"/>
                    </w:rPr>
                    <w:t>NO</w:t>
                  </w:r>
                  <w:r>
                    <w:rPr>
                      <w:sz w:val="21"/>
                      <w:szCs w:val="21"/>
                      <w:vertAlign w:val="subscript"/>
                    </w:rPr>
                    <w:t>2</w:t>
                  </w:r>
                </w:p>
              </w:tc>
              <w:tc>
                <w:tcPr>
                  <w:tcW w:w="980" w:type="pct"/>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sz w:val="21"/>
                      <w:szCs w:val="21"/>
                    </w:rPr>
                  </w:pPr>
                  <w:r>
                    <w:rPr>
                      <w:sz w:val="21"/>
                      <w:szCs w:val="21"/>
                    </w:rPr>
                    <w:t>40</w:t>
                  </w:r>
                </w:p>
              </w:tc>
              <w:tc>
                <w:tcPr>
                  <w:tcW w:w="980" w:type="pct"/>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sz w:val="21"/>
                      <w:szCs w:val="21"/>
                    </w:rPr>
                  </w:pPr>
                  <w:r>
                    <w:rPr>
                      <w:sz w:val="21"/>
                      <w:szCs w:val="21"/>
                    </w:rPr>
                    <w:t>80</w:t>
                  </w:r>
                </w:p>
              </w:tc>
              <w:tc>
                <w:tcPr>
                  <w:tcW w:w="1078" w:type="pct"/>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sz w:val="21"/>
                      <w:szCs w:val="21"/>
                    </w:rPr>
                  </w:pPr>
                  <w:r>
                    <w:rPr>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62" w:type="pct"/>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sz w:val="21"/>
                      <w:szCs w:val="21"/>
                    </w:rPr>
                  </w:pPr>
                  <w:r>
                    <w:rPr>
                      <w:sz w:val="21"/>
                      <w:szCs w:val="21"/>
                    </w:rPr>
                    <w:t>3</w:t>
                  </w:r>
                </w:p>
              </w:tc>
              <w:tc>
                <w:tcPr>
                  <w:tcW w:w="1398" w:type="pct"/>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sz w:val="21"/>
                      <w:szCs w:val="21"/>
                    </w:rPr>
                  </w:pPr>
                  <w:r>
                    <w:rPr>
                      <w:sz w:val="21"/>
                      <w:szCs w:val="21"/>
                    </w:rPr>
                    <w:t>PM</w:t>
                  </w:r>
                  <w:r>
                    <w:rPr>
                      <w:sz w:val="21"/>
                      <w:szCs w:val="21"/>
                      <w:vertAlign w:val="subscript"/>
                    </w:rPr>
                    <w:t>10</w:t>
                  </w:r>
                </w:p>
              </w:tc>
              <w:tc>
                <w:tcPr>
                  <w:tcW w:w="980" w:type="pct"/>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sz w:val="21"/>
                      <w:szCs w:val="21"/>
                    </w:rPr>
                  </w:pPr>
                  <w:r>
                    <w:rPr>
                      <w:sz w:val="21"/>
                      <w:szCs w:val="21"/>
                    </w:rPr>
                    <w:t>70</w:t>
                  </w:r>
                </w:p>
              </w:tc>
              <w:tc>
                <w:tcPr>
                  <w:tcW w:w="980" w:type="pct"/>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sz w:val="21"/>
                      <w:szCs w:val="21"/>
                    </w:rPr>
                  </w:pPr>
                  <w:r>
                    <w:rPr>
                      <w:sz w:val="21"/>
                      <w:szCs w:val="21"/>
                    </w:rPr>
                    <w:t>150</w:t>
                  </w:r>
                </w:p>
              </w:tc>
              <w:tc>
                <w:tcPr>
                  <w:tcW w:w="1078" w:type="pct"/>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sz w:val="21"/>
                      <w:szCs w:val="21"/>
                    </w:rPr>
                  </w:pP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62" w:type="pct"/>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sz w:val="21"/>
                      <w:szCs w:val="21"/>
                    </w:rPr>
                  </w:pPr>
                  <w:r>
                    <w:rPr>
                      <w:sz w:val="21"/>
                      <w:szCs w:val="21"/>
                    </w:rPr>
                    <w:t>4</w:t>
                  </w:r>
                </w:p>
              </w:tc>
              <w:tc>
                <w:tcPr>
                  <w:tcW w:w="1398" w:type="pct"/>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sz w:val="21"/>
                      <w:szCs w:val="21"/>
                    </w:rPr>
                  </w:pPr>
                  <w:r>
                    <w:rPr>
                      <w:sz w:val="21"/>
                      <w:szCs w:val="21"/>
                    </w:rPr>
                    <w:t>PM</w:t>
                  </w:r>
                  <w:r>
                    <w:rPr>
                      <w:sz w:val="21"/>
                      <w:szCs w:val="21"/>
                      <w:vertAlign w:val="subscript"/>
                    </w:rPr>
                    <w:t>2.5</w:t>
                  </w:r>
                </w:p>
              </w:tc>
              <w:tc>
                <w:tcPr>
                  <w:tcW w:w="980" w:type="pct"/>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sz w:val="21"/>
                      <w:szCs w:val="21"/>
                    </w:rPr>
                  </w:pPr>
                  <w:r>
                    <w:rPr>
                      <w:sz w:val="21"/>
                      <w:szCs w:val="21"/>
                    </w:rPr>
                    <w:t>35</w:t>
                  </w:r>
                </w:p>
              </w:tc>
              <w:tc>
                <w:tcPr>
                  <w:tcW w:w="980" w:type="pct"/>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sz w:val="21"/>
                      <w:szCs w:val="21"/>
                    </w:rPr>
                  </w:pPr>
                  <w:r>
                    <w:rPr>
                      <w:sz w:val="21"/>
                      <w:szCs w:val="21"/>
                    </w:rPr>
                    <w:t>75</w:t>
                  </w:r>
                </w:p>
              </w:tc>
              <w:tc>
                <w:tcPr>
                  <w:tcW w:w="1078" w:type="pct"/>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sz w:val="21"/>
                      <w:szCs w:val="21"/>
                    </w:rPr>
                  </w:pP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62" w:type="pct"/>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sz w:val="21"/>
                      <w:szCs w:val="21"/>
                    </w:rPr>
                  </w:pPr>
                  <w:r>
                    <w:rPr>
                      <w:sz w:val="21"/>
                      <w:szCs w:val="21"/>
                    </w:rPr>
                    <w:t>5</w:t>
                  </w:r>
                </w:p>
              </w:tc>
              <w:tc>
                <w:tcPr>
                  <w:tcW w:w="1398" w:type="pct"/>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sz w:val="21"/>
                      <w:szCs w:val="21"/>
                    </w:rPr>
                  </w:pPr>
                  <w:r>
                    <w:rPr>
                      <w:sz w:val="21"/>
                      <w:szCs w:val="21"/>
                    </w:rPr>
                    <w:t>一氧化碳（CO）</w:t>
                  </w:r>
                </w:p>
              </w:tc>
              <w:tc>
                <w:tcPr>
                  <w:tcW w:w="980" w:type="pct"/>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sz w:val="21"/>
                      <w:szCs w:val="21"/>
                    </w:rPr>
                  </w:pPr>
                  <w:r>
                    <w:rPr>
                      <w:sz w:val="21"/>
                      <w:szCs w:val="21"/>
                    </w:rPr>
                    <w:t>/</w:t>
                  </w:r>
                </w:p>
              </w:tc>
              <w:tc>
                <w:tcPr>
                  <w:tcW w:w="980" w:type="pct"/>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sz w:val="21"/>
                      <w:szCs w:val="21"/>
                    </w:rPr>
                  </w:pPr>
                  <w:r>
                    <w:rPr>
                      <w:sz w:val="21"/>
                      <w:szCs w:val="21"/>
                    </w:rPr>
                    <w:t>4000</w:t>
                  </w:r>
                </w:p>
              </w:tc>
              <w:tc>
                <w:tcPr>
                  <w:tcW w:w="1078" w:type="pct"/>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sz w:val="21"/>
                      <w:szCs w:val="21"/>
                    </w:rPr>
                  </w:pPr>
                  <w:r>
                    <w:rPr>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62" w:type="pct"/>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sz w:val="21"/>
                      <w:szCs w:val="21"/>
                    </w:rPr>
                  </w:pPr>
                  <w:r>
                    <w:rPr>
                      <w:sz w:val="21"/>
                      <w:szCs w:val="21"/>
                    </w:rPr>
                    <w:t>6</w:t>
                  </w:r>
                </w:p>
              </w:tc>
              <w:tc>
                <w:tcPr>
                  <w:tcW w:w="1398" w:type="pct"/>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sz w:val="21"/>
                      <w:szCs w:val="21"/>
                    </w:rPr>
                  </w:pPr>
                  <w:r>
                    <w:rPr>
                      <w:sz w:val="21"/>
                      <w:szCs w:val="21"/>
                    </w:rPr>
                    <w:t>臭氧（O</w:t>
                  </w:r>
                  <w:r>
                    <w:rPr>
                      <w:sz w:val="21"/>
                      <w:szCs w:val="21"/>
                      <w:vertAlign w:val="subscript"/>
                    </w:rPr>
                    <w:t>3</w:t>
                  </w:r>
                  <w:r>
                    <w:rPr>
                      <w:sz w:val="21"/>
                      <w:szCs w:val="21"/>
                    </w:rPr>
                    <w:t>）</w:t>
                  </w:r>
                </w:p>
              </w:tc>
              <w:tc>
                <w:tcPr>
                  <w:tcW w:w="980" w:type="pct"/>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sz w:val="21"/>
                      <w:szCs w:val="21"/>
                    </w:rPr>
                  </w:pPr>
                  <w:r>
                    <w:rPr>
                      <w:sz w:val="21"/>
                      <w:szCs w:val="21"/>
                    </w:rPr>
                    <w:t>/</w:t>
                  </w:r>
                </w:p>
              </w:tc>
              <w:tc>
                <w:tcPr>
                  <w:tcW w:w="980" w:type="pct"/>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sz w:val="21"/>
                      <w:szCs w:val="21"/>
                    </w:rPr>
                  </w:pPr>
                  <w:r>
                    <w:rPr>
                      <w:sz w:val="21"/>
                      <w:szCs w:val="21"/>
                    </w:rPr>
                    <w:t>160</w:t>
                  </w:r>
                </w:p>
              </w:tc>
              <w:tc>
                <w:tcPr>
                  <w:tcW w:w="1078" w:type="pct"/>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sz w:val="21"/>
                      <w:szCs w:val="21"/>
                    </w:rPr>
                  </w:pPr>
                  <w:r>
                    <w:rPr>
                      <w:sz w:val="21"/>
                      <w:szCs w:val="21"/>
                    </w:rPr>
                    <w:t>200</w:t>
                  </w:r>
                </w:p>
              </w:tc>
            </w:tr>
            <w:bookmarkEnd w:id="23"/>
          </w:tbl>
          <w:p>
            <w:pPr>
              <w:adjustRightInd w:val="0"/>
              <w:spacing w:line="360" w:lineRule="auto"/>
              <w:ind w:left="0" w:leftChars="0" w:firstLine="480" w:firstLineChars="200"/>
              <w:rPr>
                <w:b w:val="0"/>
                <w:bCs w:val="0"/>
                <w:sz w:val="24"/>
              </w:rPr>
            </w:pPr>
            <w:r>
              <w:rPr>
                <w:rFonts w:hint="eastAsia"/>
                <w:b w:val="0"/>
                <w:bCs w:val="0"/>
                <w:sz w:val="24"/>
                <w:lang w:eastAsia="zh-CN"/>
              </w:rPr>
              <w:t>（</w:t>
            </w:r>
            <w:r>
              <w:rPr>
                <w:rFonts w:hint="eastAsia"/>
                <w:b w:val="0"/>
                <w:bCs w:val="0"/>
                <w:sz w:val="24"/>
                <w:lang w:val="en-US" w:eastAsia="zh-CN"/>
              </w:rPr>
              <w:t>3）</w:t>
            </w:r>
            <w:r>
              <w:rPr>
                <w:b w:val="0"/>
                <w:bCs w:val="0"/>
                <w:sz w:val="24"/>
              </w:rPr>
              <w:t>评价方法</w:t>
            </w:r>
          </w:p>
          <w:p>
            <w:pPr>
              <w:adjustRightInd w:val="0"/>
              <w:spacing w:line="360" w:lineRule="auto"/>
              <w:ind w:firstLine="480" w:firstLineChars="200"/>
              <w:rPr>
                <w:sz w:val="24"/>
              </w:rPr>
            </w:pPr>
            <w:r>
              <w:rPr>
                <w:sz w:val="24"/>
              </w:rPr>
              <w:t>评价方法采用最大质量浓度占相应标准质量浓度限值的百分比，及超标率对监测结果进行评价分析。计算公式如下：</w:t>
            </w:r>
          </w:p>
          <w:p>
            <w:pPr>
              <w:adjustRightInd w:val="0"/>
              <w:spacing w:line="360" w:lineRule="auto"/>
              <w:ind w:left="0" w:leftChars="0" w:firstLine="0" w:firstLineChars="0"/>
              <w:jc w:val="center"/>
              <w:rPr>
                <w:sz w:val="24"/>
              </w:rPr>
            </w:pPr>
            <w:r>
              <w:rPr>
                <w:sz w:val="24"/>
              </w:rPr>
              <w:t>Pi=Ci/Coi×100%</w:t>
            </w:r>
          </w:p>
          <w:p>
            <w:pPr>
              <w:adjustRightInd w:val="0"/>
              <w:spacing w:line="360" w:lineRule="auto"/>
              <w:ind w:firstLine="480" w:firstLineChars="200"/>
              <w:rPr>
                <w:rFonts w:hint="default" w:ascii="Times New Roman" w:hAnsi="Times New Roman" w:cs="Times New Roman"/>
                <w:color w:val="auto"/>
                <w:sz w:val="24"/>
              </w:rPr>
            </w:pPr>
            <w:r>
              <w:rPr>
                <w:sz w:val="24"/>
              </w:rPr>
              <w:t>式中：Pi—某种</w:t>
            </w:r>
            <w:r>
              <w:rPr>
                <w:rFonts w:hint="default" w:ascii="Times New Roman" w:hAnsi="Times New Roman" w:cs="Times New Roman"/>
                <w:color w:val="auto"/>
                <w:sz w:val="24"/>
              </w:rPr>
              <w:t>污染物的最大地面质量浓度占标率，%；</w:t>
            </w:r>
          </w:p>
          <w:p>
            <w:pPr>
              <w:adjustRightIn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Ci—某种污染物的实际监测浓度，mg/m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w:t>
            </w:r>
          </w:p>
          <w:p>
            <w:pPr>
              <w:adjustRightIn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Coi—某种污染物的环境空气标准浓度，mg/m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w:t>
            </w:r>
          </w:p>
          <w:p>
            <w:pPr>
              <w:adjustRightInd w:val="0"/>
              <w:spacing w:line="360" w:lineRule="auto"/>
              <w:ind w:left="0" w:leftChars="0" w:firstLine="480" w:firstLineChars="200"/>
              <w:rPr>
                <w:rFonts w:hint="default" w:ascii="Times New Roman" w:hAnsi="Times New Roman" w:cs="Times New Roman"/>
                <w:b w:val="0"/>
                <w:bCs w:val="0"/>
                <w:color w:val="auto"/>
                <w:sz w:val="24"/>
              </w:rPr>
            </w:pPr>
            <w:r>
              <w:rPr>
                <w:rFonts w:hint="eastAsia" w:cs="Times New Roman"/>
                <w:b w:val="0"/>
                <w:bCs w:val="0"/>
                <w:color w:val="auto"/>
                <w:sz w:val="24"/>
                <w:lang w:val="en-US" w:eastAsia="zh-CN"/>
              </w:rPr>
              <w:t>（4）</w:t>
            </w:r>
            <w:r>
              <w:rPr>
                <w:rFonts w:hint="default" w:ascii="Times New Roman" w:hAnsi="Times New Roman" w:cs="Times New Roman"/>
                <w:b w:val="0"/>
                <w:bCs w:val="0"/>
                <w:color w:val="auto"/>
                <w:sz w:val="24"/>
              </w:rPr>
              <w:t>空气质量达标区判定</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eastAsia="zh-CN"/>
              </w:rPr>
              <w:t>吐鲁番市</w:t>
            </w:r>
            <w:r>
              <w:rPr>
                <w:rFonts w:hint="default" w:ascii="Times New Roman" w:hAnsi="Times New Roman" w:eastAsia="宋体" w:cs="Times New Roman"/>
                <w:color w:val="auto"/>
                <w:sz w:val="24"/>
                <w:lang w:val="en-US" w:eastAsia="zh-CN"/>
              </w:rPr>
              <w:t>202</w:t>
            </w:r>
            <w:r>
              <w:rPr>
                <w:rFonts w:hint="default" w:ascii="Times New Roman" w:hAnsi="Times New Roman" w:cs="Times New Roman"/>
                <w:color w:val="auto"/>
                <w:sz w:val="24"/>
                <w:lang w:val="en-US" w:eastAsia="zh-CN"/>
              </w:rPr>
              <w:t>2</w:t>
            </w:r>
            <w:r>
              <w:rPr>
                <w:rFonts w:hint="default" w:ascii="Times New Roman" w:hAnsi="Times New Roman" w:eastAsia="宋体" w:cs="Times New Roman"/>
                <w:color w:val="auto"/>
                <w:sz w:val="24"/>
                <w:lang w:eastAsia="zh-CN"/>
              </w:rPr>
              <w:t>年空气质量达标区判定结果见</w:t>
            </w:r>
            <w:r>
              <w:rPr>
                <w:rFonts w:hint="default" w:ascii="Times New Roman" w:hAnsi="Times New Roman" w:eastAsia="宋体" w:cs="Times New Roman"/>
                <w:color w:val="auto"/>
                <w:sz w:val="24"/>
                <w:lang w:val="en-US" w:eastAsia="zh-CN"/>
              </w:rPr>
              <w:t>项目所在区域空气质量达标区判定结果为：</w:t>
            </w:r>
            <w:r>
              <w:rPr>
                <w:rFonts w:hint="default" w:ascii="Times New Roman" w:hAnsi="Times New Roman" w:eastAsia="宋体" w:cs="Times New Roman"/>
                <w:color w:val="auto"/>
                <w:sz w:val="24"/>
                <w:szCs w:val="24"/>
              </w:rPr>
              <w:t>由</w:t>
            </w:r>
            <w:r>
              <w:rPr>
                <w:rFonts w:hint="default" w:ascii="Times New Roman" w:hAnsi="Times New Roman" w:eastAsia="宋体" w:cs="Times New Roman"/>
                <w:color w:val="auto"/>
                <w:sz w:val="24"/>
                <w:szCs w:val="24"/>
                <w:lang w:val="en-US" w:eastAsia="zh-CN"/>
              </w:rPr>
              <w:t>下</w:t>
            </w:r>
            <w:r>
              <w:rPr>
                <w:rFonts w:hint="default" w:ascii="Times New Roman" w:hAnsi="Times New Roman" w:eastAsia="宋体" w:cs="Times New Roman"/>
                <w:color w:val="auto"/>
                <w:sz w:val="24"/>
                <w:szCs w:val="24"/>
              </w:rPr>
              <w:t>表分析结果可见，本项目所在区域SO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、NO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、CO第95百分位数24h平均、</w:t>
            </w:r>
            <w:r>
              <w:rPr>
                <w:rFonts w:hint="default" w:ascii="Times New Roman" w:hAnsi="Times New Roman" w:eastAsia="宋体" w:cs="Times New Roman"/>
                <w:color w:val="auto"/>
                <w:sz w:val="24"/>
                <w:szCs w:val="24"/>
                <w:lang w:val="en-US" w:eastAsia="zh-CN"/>
              </w:rPr>
              <w:t>O</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rPr>
              <w:t>第90百分位数日最大8小时平均浓度均符合《环境空气质量标准》（GB3095-2012）的二级标准要求，PM</w:t>
            </w:r>
            <w:r>
              <w:rPr>
                <w:rFonts w:hint="default" w:ascii="Times New Roman" w:hAnsi="Times New Roman" w:eastAsia="宋体" w:cs="Times New Roman"/>
                <w:color w:val="auto"/>
                <w:sz w:val="24"/>
                <w:szCs w:val="24"/>
                <w:vertAlign w:val="subscript"/>
              </w:rPr>
              <w:t>10</w:t>
            </w:r>
            <w:r>
              <w:rPr>
                <w:rFonts w:hint="default" w:ascii="Times New Roman" w:hAnsi="Times New Roman" w:eastAsia="宋体" w:cs="Times New Roman"/>
                <w:color w:val="auto"/>
                <w:sz w:val="24"/>
                <w:szCs w:val="24"/>
              </w:rPr>
              <w:t>、PM</w:t>
            </w:r>
            <w:r>
              <w:rPr>
                <w:rFonts w:hint="default" w:ascii="Times New Roman" w:hAnsi="Times New Roman" w:eastAsia="宋体" w:cs="Times New Roman"/>
                <w:color w:val="auto"/>
                <w:sz w:val="24"/>
                <w:szCs w:val="24"/>
                <w:vertAlign w:val="subscript"/>
              </w:rPr>
              <w:t>2.5</w:t>
            </w:r>
            <w:r>
              <w:rPr>
                <w:rFonts w:hint="default" w:ascii="Times New Roman" w:hAnsi="Times New Roman" w:eastAsia="宋体" w:cs="Times New Roman"/>
                <w:color w:val="auto"/>
                <w:sz w:val="24"/>
                <w:szCs w:val="24"/>
              </w:rPr>
              <w:t>年均浓度超标，项目所在区域为大气环境质量非达标区，主要受区域干旱少雨、多风等自然因素影响。</w:t>
            </w:r>
          </w:p>
          <w:p>
            <w:pPr>
              <w:adjustRightInd w:val="0"/>
              <w:spacing w:line="360" w:lineRule="auto"/>
              <w:ind w:firstLine="480" w:firstLineChars="200"/>
              <w:jc w:val="left"/>
              <w:rPr>
                <w:rFonts w:hint="default" w:ascii="Times New Roman" w:hAnsi="Times New Roman" w:cs="Times New Roman"/>
                <w:color w:val="auto"/>
                <w:sz w:val="24"/>
              </w:rPr>
            </w:pPr>
            <w:r>
              <w:rPr>
                <w:rFonts w:hint="default" w:ascii="Times New Roman" w:hAnsi="Times New Roman" w:eastAsia="宋体" w:cs="Times New Roman"/>
                <w:color w:val="auto"/>
                <w:sz w:val="24"/>
                <w:szCs w:val="24"/>
                <w:lang w:val="en-US" w:eastAsia="zh-CN"/>
              </w:rPr>
              <w:t>环境空气常规因子现状监测及评价结果见表</w:t>
            </w:r>
            <w:r>
              <w:rPr>
                <w:rFonts w:hint="default" w:ascii="Times New Roman" w:hAnsi="Times New Roman" w:cs="Times New Roman"/>
                <w:color w:val="auto"/>
                <w:sz w:val="24"/>
              </w:rPr>
              <w:t>3-</w:t>
            </w:r>
            <w:r>
              <w:rPr>
                <w:rFonts w:hint="eastAsia" w:cs="Times New Roman"/>
                <w:color w:val="auto"/>
                <w:sz w:val="24"/>
                <w:lang w:val="en-US" w:eastAsia="zh-CN"/>
              </w:rPr>
              <w:t>3</w:t>
            </w:r>
            <w:r>
              <w:rPr>
                <w:rFonts w:hint="default" w:ascii="Times New Roman" w:hAnsi="Times New Roman" w:cs="Times New Roman"/>
                <w:color w:val="auto"/>
                <w:sz w:val="24"/>
              </w:rPr>
              <w:t>。</w:t>
            </w:r>
          </w:p>
          <w:p>
            <w:pPr>
              <w:adjustRightInd w:val="0"/>
              <w:spacing w:line="240" w:lineRule="auto"/>
              <w:ind w:firstLine="422" w:firstLineChars="200"/>
              <w:jc w:val="center"/>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rPr>
              <w:t>表3-</w:t>
            </w:r>
            <w:r>
              <w:rPr>
                <w:rFonts w:hint="eastAsia" w:cs="Times New Roman"/>
                <w:b/>
                <w:bCs/>
                <w:color w:val="auto"/>
                <w:sz w:val="21"/>
                <w:szCs w:val="21"/>
                <w:lang w:val="en-US" w:eastAsia="zh-CN"/>
              </w:rPr>
              <w:t>3</w:t>
            </w:r>
            <w:r>
              <w:rPr>
                <w:rFonts w:hint="default" w:ascii="Times New Roman" w:hAnsi="Times New Roman" w:cs="Times New Roman"/>
                <w:b/>
                <w:bCs/>
                <w:color w:val="auto"/>
                <w:sz w:val="21"/>
                <w:szCs w:val="21"/>
              </w:rPr>
              <w:t xml:space="preserve">  </w:t>
            </w:r>
            <w:r>
              <w:rPr>
                <w:rFonts w:hint="eastAsia" w:cs="Times New Roman"/>
                <w:b/>
                <w:bCs/>
                <w:color w:val="auto"/>
                <w:sz w:val="21"/>
                <w:szCs w:val="21"/>
                <w:lang w:val="en-US" w:eastAsia="zh-CN"/>
              </w:rPr>
              <w:t xml:space="preserve"> </w:t>
            </w:r>
            <w:r>
              <w:rPr>
                <w:rFonts w:hint="default" w:ascii="Times New Roman" w:hAnsi="Times New Roman" w:cs="Times New Roman"/>
                <w:b/>
                <w:bCs/>
                <w:color w:val="auto"/>
                <w:sz w:val="21"/>
                <w:szCs w:val="21"/>
              </w:rPr>
              <w:t>环境空气常规因子现状监测及评价结果</w:t>
            </w: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2022年</w:t>
            </w:r>
            <w:r>
              <w:rPr>
                <w:rFonts w:hint="default" w:ascii="Times New Roman" w:hAnsi="Times New Roman" w:cs="Times New Roman"/>
                <w:b/>
                <w:bCs/>
                <w:color w:val="auto"/>
                <w:sz w:val="21"/>
                <w:szCs w:val="21"/>
                <w:lang w:eastAsia="zh-CN"/>
              </w:rPr>
              <w:t>）</w:t>
            </w:r>
          </w:p>
          <w:tbl>
            <w:tblPr>
              <w:tblStyle w:val="23"/>
              <w:tblW w:w="49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0"/>
              <w:gridCol w:w="2446"/>
              <w:gridCol w:w="1064"/>
              <w:gridCol w:w="1210"/>
              <w:gridCol w:w="1023"/>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532" w:type="pct"/>
                  <w:vAlign w:val="center"/>
                </w:tcPr>
                <w:p>
                  <w:pPr>
                    <w:spacing w:line="240" w:lineRule="auto"/>
                    <w:ind w:left="0" w:leftChars="0" w:firstLine="211" w:firstLineChars="10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污染物</w:t>
                  </w:r>
                </w:p>
              </w:tc>
              <w:tc>
                <w:tcPr>
                  <w:tcW w:w="1627" w:type="pct"/>
                  <w:vAlign w:val="center"/>
                </w:tcPr>
                <w:p>
                  <w:pPr>
                    <w:spacing w:line="240" w:lineRule="auto"/>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平均时段</w:t>
                  </w:r>
                </w:p>
              </w:tc>
              <w:tc>
                <w:tcPr>
                  <w:tcW w:w="707" w:type="pct"/>
                  <w:vAlign w:val="center"/>
                </w:tcPr>
                <w:p>
                  <w:pPr>
                    <w:spacing w:line="240" w:lineRule="auto"/>
                    <w:ind w:left="0" w:leftChars="0" w:firstLine="0" w:firstLineChars="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现状浓度µg/m</w:t>
                  </w:r>
                  <w:r>
                    <w:rPr>
                      <w:rFonts w:hint="default" w:ascii="Times New Roman" w:hAnsi="Times New Roman" w:cs="Times New Roman" w:eastAsiaTheme="minorEastAsia"/>
                      <w:b/>
                      <w:bCs/>
                      <w:color w:val="auto"/>
                      <w:sz w:val="21"/>
                      <w:szCs w:val="21"/>
                      <w:vertAlign w:val="superscript"/>
                    </w:rPr>
                    <w:t>3</w:t>
                  </w:r>
                </w:p>
              </w:tc>
              <w:tc>
                <w:tcPr>
                  <w:tcW w:w="804" w:type="pct"/>
                  <w:vAlign w:val="center"/>
                </w:tcPr>
                <w:p>
                  <w:pPr>
                    <w:spacing w:line="240" w:lineRule="auto"/>
                    <w:ind w:left="0" w:leftChars="0" w:firstLine="0" w:firstLineChars="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标准值µg/m</w:t>
                  </w:r>
                  <w:r>
                    <w:rPr>
                      <w:rFonts w:hint="default" w:ascii="Times New Roman" w:hAnsi="Times New Roman" w:cs="Times New Roman" w:eastAsiaTheme="minorEastAsia"/>
                      <w:b/>
                      <w:bCs/>
                      <w:color w:val="auto"/>
                      <w:sz w:val="21"/>
                      <w:szCs w:val="21"/>
                      <w:vertAlign w:val="superscript"/>
                    </w:rPr>
                    <w:t>3</w:t>
                  </w:r>
                </w:p>
              </w:tc>
              <w:tc>
                <w:tcPr>
                  <w:tcW w:w="680" w:type="pct"/>
                  <w:vAlign w:val="center"/>
                </w:tcPr>
                <w:p>
                  <w:pPr>
                    <w:spacing w:line="240" w:lineRule="auto"/>
                    <w:ind w:left="0" w:leftChars="0" w:firstLine="0" w:firstLineChars="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占标率%</w:t>
                  </w:r>
                </w:p>
              </w:tc>
              <w:tc>
                <w:tcPr>
                  <w:tcW w:w="647" w:type="pct"/>
                  <w:vAlign w:val="center"/>
                </w:tcPr>
                <w:p>
                  <w:pPr>
                    <w:spacing w:line="240" w:lineRule="auto"/>
                    <w:ind w:left="0" w:leftChars="0" w:firstLine="0" w:firstLineChars="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2"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SO</w:t>
                  </w:r>
                  <w:r>
                    <w:rPr>
                      <w:rFonts w:hint="default" w:ascii="Times New Roman" w:hAnsi="Times New Roman" w:cs="Times New Roman" w:eastAsiaTheme="minorEastAsia"/>
                      <w:color w:val="auto"/>
                      <w:sz w:val="21"/>
                      <w:szCs w:val="21"/>
                      <w:vertAlign w:val="subscript"/>
                    </w:rPr>
                    <w:t>2</w:t>
                  </w:r>
                </w:p>
              </w:tc>
              <w:tc>
                <w:tcPr>
                  <w:tcW w:w="1627"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年平均</w:t>
                  </w:r>
                  <w:r>
                    <w:rPr>
                      <w:rFonts w:hint="default" w:ascii="Times New Roman" w:hAnsi="Times New Roman" w:cs="Times New Roman" w:eastAsiaTheme="minorEastAsia"/>
                      <w:color w:val="auto"/>
                      <w:sz w:val="21"/>
                      <w:szCs w:val="21"/>
                      <w:lang w:eastAsia="zh-CN"/>
                    </w:rPr>
                    <w:t>质量</w:t>
                  </w:r>
                  <w:r>
                    <w:rPr>
                      <w:rFonts w:hint="default" w:ascii="Times New Roman" w:hAnsi="Times New Roman" w:cs="Times New Roman" w:eastAsiaTheme="minorEastAsia"/>
                      <w:color w:val="auto"/>
                      <w:sz w:val="21"/>
                      <w:szCs w:val="21"/>
                    </w:rPr>
                    <w:t>浓度</w:t>
                  </w:r>
                </w:p>
              </w:tc>
              <w:tc>
                <w:tcPr>
                  <w:tcW w:w="707"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7</w:t>
                  </w:r>
                </w:p>
              </w:tc>
              <w:tc>
                <w:tcPr>
                  <w:tcW w:w="804"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60</w:t>
                  </w:r>
                </w:p>
              </w:tc>
              <w:tc>
                <w:tcPr>
                  <w:tcW w:w="680"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11.67</w:t>
                  </w:r>
                </w:p>
              </w:tc>
              <w:tc>
                <w:tcPr>
                  <w:tcW w:w="647"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532"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NO</w:t>
                  </w:r>
                  <w:r>
                    <w:rPr>
                      <w:rFonts w:hint="default" w:ascii="Times New Roman" w:hAnsi="Times New Roman" w:cs="Times New Roman" w:eastAsiaTheme="minorEastAsia"/>
                      <w:color w:val="auto"/>
                      <w:sz w:val="21"/>
                      <w:szCs w:val="21"/>
                      <w:vertAlign w:val="subscript"/>
                    </w:rPr>
                    <w:t>2</w:t>
                  </w:r>
                </w:p>
              </w:tc>
              <w:tc>
                <w:tcPr>
                  <w:tcW w:w="1627"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年平均</w:t>
                  </w:r>
                  <w:r>
                    <w:rPr>
                      <w:rFonts w:hint="default" w:ascii="Times New Roman" w:hAnsi="Times New Roman" w:cs="Times New Roman" w:eastAsiaTheme="minorEastAsia"/>
                      <w:color w:val="auto"/>
                      <w:sz w:val="21"/>
                      <w:szCs w:val="21"/>
                      <w:lang w:eastAsia="zh-CN"/>
                    </w:rPr>
                    <w:t>质量</w:t>
                  </w:r>
                  <w:r>
                    <w:rPr>
                      <w:rFonts w:hint="default" w:ascii="Times New Roman" w:hAnsi="Times New Roman" w:cs="Times New Roman" w:eastAsiaTheme="minorEastAsia"/>
                      <w:color w:val="auto"/>
                      <w:sz w:val="21"/>
                      <w:szCs w:val="21"/>
                    </w:rPr>
                    <w:t>浓度</w:t>
                  </w:r>
                </w:p>
              </w:tc>
              <w:tc>
                <w:tcPr>
                  <w:tcW w:w="707"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29</w:t>
                  </w:r>
                </w:p>
              </w:tc>
              <w:tc>
                <w:tcPr>
                  <w:tcW w:w="804"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40</w:t>
                  </w:r>
                </w:p>
              </w:tc>
              <w:tc>
                <w:tcPr>
                  <w:tcW w:w="680"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72.5</w:t>
                  </w:r>
                </w:p>
              </w:tc>
              <w:tc>
                <w:tcPr>
                  <w:tcW w:w="647"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2"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PM</w:t>
                  </w:r>
                  <w:r>
                    <w:rPr>
                      <w:rFonts w:hint="default" w:ascii="Times New Roman" w:hAnsi="Times New Roman" w:cs="Times New Roman" w:eastAsiaTheme="minorEastAsia"/>
                      <w:color w:val="auto"/>
                      <w:sz w:val="21"/>
                      <w:szCs w:val="21"/>
                      <w:vertAlign w:val="subscript"/>
                    </w:rPr>
                    <w:t>10</w:t>
                  </w:r>
                </w:p>
              </w:tc>
              <w:tc>
                <w:tcPr>
                  <w:tcW w:w="1627"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年平均</w:t>
                  </w:r>
                  <w:r>
                    <w:rPr>
                      <w:rFonts w:hint="default" w:ascii="Times New Roman" w:hAnsi="Times New Roman" w:cs="Times New Roman" w:eastAsiaTheme="minorEastAsia"/>
                      <w:color w:val="auto"/>
                      <w:sz w:val="21"/>
                      <w:szCs w:val="21"/>
                      <w:lang w:eastAsia="zh-CN"/>
                    </w:rPr>
                    <w:t>质量</w:t>
                  </w:r>
                  <w:r>
                    <w:rPr>
                      <w:rFonts w:hint="default" w:ascii="Times New Roman" w:hAnsi="Times New Roman" w:cs="Times New Roman" w:eastAsiaTheme="minorEastAsia"/>
                      <w:color w:val="auto"/>
                      <w:sz w:val="21"/>
                      <w:szCs w:val="21"/>
                    </w:rPr>
                    <w:t>浓度</w:t>
                  </w:r>
                </w:p>
              </w:tc>
              <w:tc>
                <w:tcPr>
                  <w:tcW w:w="707"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101</w:t>
                  </w:r>
                </w:p>
              </w:tc>
              <w:tc>
                <w:tcPr>
                  <w:tcW w:w="804"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70</w:t>
                  </w:r>
                </w:p>
              </w:tc>
              <w:tc>
                <w:tcPr>
                  <w:tcW w:w="680"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144.29</w:t>
                  </w:r>
                </w:p>
              </w:tc>
              <w:tc>
                <w:tcPr>
                  <w:tcW w:w="647"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532"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PM</w:t>
                  </w:r>
                  <w:r>
                    <w:rPr>
                      <w:rFonts w:hint="default" w:ascii="Times New Roman" w:hAnsi="Times New Roman" w:cs="Times New Roman" w:eastAsiaTheme="minorEastAsia"/>
                      <w:color w:val="auto"/>
                      <w:sz w:val="21"/>
                      <w:szCs w:val="21"/>
                      <w:vertAlign w:val="subscript"/>
                    </w:rPr>
                    <w:t>2.5</w:t>
                  </w:r>
                </w:p>
              </w:tc>
              <w:tc>
                <w:tcPr>
                  <w:tcW w:w="1627"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年平均</w:t>
                  </w:r>
                  <w:r>
                    <w:rPr>
                      <w:rFonts w:hint="default" w:ascii="Times New Roman" w:hAnsi="Times New Roman" w:cs="Times New Roman" w:eastAsiaTheme="minorEastAsia"/>
                      <w:color w:val="auto"/>
                      <w:sz w:val="21"/>
                      <w:szCs w:val="21"/>
                      <w:lang w:eastAsia="zh-CN"/>
                    </w:rPr>
                    <w:t>质量</w:t>
                  </w:r>
                  <w:r>
                    <w:rPr>
                      <w:rFonts w:hint="default" w:ascii="Times New Roman" w:hAnsi="Times New Roman" w:cs="Times New Roman" w:eastAsiaTheme="minorEastAsia"/>
                      <w:color w:val="auto"/>
                      <w:sz w:val="21"/>
                      <w:szCs w:val="21"/>
                    </w:rPr>
                    <w:t>浓度</w:t>
                  </w:r>
                </w:p>
              </w:tc>
              <w:tc>
                <w:tcPr>
                  <w:tcW w:w="707"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41</w:t>
                  </w:r>
                </w:p>
              </w:tc>
              <w:tc>
                <w:tcPr>
                  <w:tcW w:w="804"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35</w:t>
                  </w:r>
                </w:p>
              </w:tc>
              <w:tc>
                <w:tcPr>
                  <w:tcW w:w="680"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117.14</w:t>
                  </w:r>
                </w:p>
              </w:tc>
              <w:tc>
                <w:tcPr>
                  <w:tcW w:w="647"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532"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CO</w:t>
                  </w:r>
                </w:p>
              </w:tc>
              <w:tc>
                <w:tcPr>
                  <w:tcW w:w="1627"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24小时平均第95百分位数</w:t>
                  </w:r>
                </w:p>
              </w:tc>
              <w:tc>
                <w:tcPr>
                  <w:tcW w:w="707"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2700</w:t>
                  </w:r>
                </w:p>
              </w:tc>
              <w:tc>
                <w:tcPr>
                  <w:tcW w:w="804"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4000</w:t>
                  </w:r>
                </w:p>
              </w:tc>
              <w:tc>
                <w:tcPr>
                  <w:tcW w:w="680"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67.5</w:t>
                  </w:r>
                </w:p>
              </w:tc>
              <w:tc>
                <w:tcPr>
                  <w:tcW w:w="647"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532"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O</w:t>
                  </w:r>
                  <w:r>
                    <w:rPr>
                      <w:rFonts w:hint="default" w:ascii="Times New Roman" w:hAnsi="Times New Roman" w:cs="Times New Roman" w:eastAsiaTheme="minorEastAsia"/>
                      <w:color w:val="auto"/>
                      <w:sz w:val="21"/>
                      <w:szCs w:val="21"/>
                      <w:vertAlign w:val="subscript"/>
                    </w:rPr>
                    <w:t>3</w:t>
                  </w:r>
                </w:p>
              </w:tc>
              <w:tc>
                <w:tcPr>
                  <w:tcW w:w="1627"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日最大8h平均第90百分位</w:t>
                  </w:r>
                </w:p>
              </w:tc>
              <w:tc>
                <w:tcPr>
                  <w:tcW w:w="707"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134</w:t>
                  </w:r>
                </w:p>
              </w:tc>
              <w:tc>
                <w:tcPr>
                  <w:tcW w:w="804"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160</w:t>
                  </w:r>
                </w:p>
              </w:tc>
              <w:tc>
                <w:tcPr>
                  <w:tcW w:w="680"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83.75</w:t>
                  </w:r>
                </w:p>
              </w:tc>
              <w:tc>
                <w:tcPr>
                  <w:tcW w:w="647"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达标</w:t>
                  </w:r>
                </w:p>
              </w:tc>
            </w:tr>
          </w:tbl>
          <w:p>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0" w:firstLineChars="0"/>
              <w:jc w:val="both"/>
              <w:textAlignment w:val="auto"/>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2.2</w:t>
            </w:r>
            <w:r>
              <w:rPr>
                <w:rFonts w:hint="default" w:ascii="Times New Roman" w:hAnsi="Times New Roman" w:cs="Times New Roman"/>
                <w:b/>
                <w:bCs/>
                <w:color w:val="auto"/>
                <w:sz w:val="24"/>
                <w:szCs w:val="24"/>
                <w:lang w:val="en-US" w:eastAsia="zh-CN"/>
              </w:rPr>
              <w:t>特征污染物环境质量现状监测</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jc w:val="both"/>
              <w:textAlignment w:val="auto"/>
              <w:rPr>
                <w:rFonts w:ascii="宋体" w:hAnsi="宋体" w:cs="宋体"/>
                <w:b w:val="0"/>
                <w:bCs w:val="0"/>
                <w:color w:val="000000" w:themeColor="text1"/>
                <w:kern w:val="0"/>
                <w:sz w:val="24"/>
                <w:lang w:bidi="ar"/>
                <w14:textFill>
                  <w14:solidFill>
                    <w14:schemeClr w14:val="tx1"/>
                  </w14:solidFill>
                </w14:textFill>
              </w:rPr>
            </w:pPr>
            <w:r>
              <w:rPr>
                <w:rFonts w:hint="eastAsia" w:cs="Times New Roman"/>
                <w:b w:val="0"/>
                <w:bCs w:val="0"/>
                <w:color w:val="auto"/>
                <w:sz w:val="24"/>
                <w:szCs w:val="24"/>
                <w:lang w:val="en-US" w:eastAsia="zh-CN"/>
              </w:rPr>
              <w:t>（</w:t>
            </w:r>
            <w:r>
              <w:rPr>
                <w:rFonts w:hint="eastAsia" w:cs="Times New Roman"/>
                <w:b w:val="0"/>
                <w:bCs w:val="0"/>
                <w:color w:val="000000" w:themeColor="text1"/>
                <w:sz w:val="24"/>
                <w:szCs w:val="24"/>
                <w:lang w:val="en-US" w:eastAsia="zh-CN"/>
                <w14:textFill>
                  <w14:solidFill>
                    <w14:schemeClr w14:val="tx1"/>
                  </w14:solidFill>
                </w14:textFill>
              </w:rPr>
              <w:t>1）监测</w:t>
            </w:r>
            <w:r>
              <w:rPr>
                <w:rFonts w:hint="eastAsia" w:ascii="宋体" w:hAnsi="宋体" w:cs="宋体"/>
                <w:b w:val="0"/>
                <w:bCs w:val="0"/>
                <w:color w:val="000000" w:themeColor="text1"/>
                <w:kern w:val="0"/>
                <w:sz w:val="24"/>
                <w:lang w:bidi="ar"/>
                <w14:textFill>
                  <w14:solidFill>
                    <w14:schemeClr w14:val="tx1"/>
                  </w14:solidFill>
                </w14:textFill>
              </w:rPr>
              <w:t>项目和频率</w:t>
            </w:r>
          </w:p>
          <w:p>
            <w:pPr>
              <w:keepNext w:val="0"/>
              <w:keepLines w:val="0"/>
              <w:pageBreakBefore w:val="0"/>
              <w:widowControl w:val="0"/>
              <w:kinsoku/>
              <w:wordWrap w:val="0"/>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color w:val="000000" w:themeColor="text1"/>
                <w:kern w:val="0"/>
                <w:sz w:val="24"/>
                <w:lang w:bidi="ar"/>
                <w14:textFill>
                  <w14:solidFill>
                    <w14:schemeClr w14:val="tx1"/>
                  </w14:solidFill>
                </w14:textFill>
              </w:rPr>
            </w:pPr>
            <w:r>
              <w:rPr>
                <w:rFonts w:hint="eastAsia" w:cs="Times New Roman"/>
                <w:color w:val="000000" w:themeColor="text1"/>
                <w:kern w:val="0"/>
                <w:sz w:val="24"/>
                <w:lang w:eastAsia="zh-CN" w:bidi="ar"/>
                <w14:textFill>
                  <w14:solidFill>
                    <w14:schemeClr w14:val="tx1"/>
                  </w14:solidFill>
                </w14:textFill>
              </w:rPr>
              <w:t>本项目</w:t>
            </w:r>
            <w:r>
              <w:rPr>
                <w:rFonts w:hint="default" w:ascii="Times New Roman" w:hAnsi="Times New Roman" w:cs="Times New Roman"/>
                <w:color w:val="000000" w:themeColor="text1"/>
                <w:kern w:val="0"/>
                <w:sz w:val="24"/>
                <w:lang w:bidi="ar"/>
                <w14:textFill>
                  <w14:solidFill>
                    <w14:schemeClr w14:val="tx1"/>
                  </w14:solidFill>
                </w14:textFill>
              </w:rPr>
              <w:t>环境空气质量现状监测项目为：TSP。</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本次</w:t>
            </w:r>
            <w:r>
              <w:rPr>
                <w:rFonts w:hint="default" w:ascii="Times New Roman" w:hAnsi="Times New Roman" w:cs="Times New Roman"/>
                <w:color w:val="000000" w:themeColor="text1"/>
                <w:sz w:val="24"/>
                <w:highlight w:val="none"/>
                <w14:textFill>
                  <w14:solidFill>
                    <w14:schemeClr w14:val="tx1"/>
                  </w14:solidFill>
                </w14:textFill>
              </w:rPr>
              <w:t>评价</w:t>
            </w:r>
            <w:r>
              <w:rPr>
                <w:rFonts w:hint="eastAsia" w:cs="Times New Roman"/>
                <w:color w:val="000000" w:themeColor="text1"/>
                <w:sz w:val="24"/>
                <w:highlight w:val="none"/>
                <w:lang w:eastAsia="zh-CN"/>
                <w14:textFill>
                  <w14:solidFill>
                    <w14:schemeClr w14:val="tx1"/>
                  </w14:solidFill>
                </w14:textFill>
              </w:rPr>
              <w:t>委托新疆齐新环境服务有限公司对</w:t>
            </w:r>
            <w:r>
              <w:rPr>
                <w:rFonts w:hint="eastAsia" w:cs="Times New Roman"/>
                <w:color w:val="000000" w:themeColor="text1"/>
                <w:sz w:val="24"/>
                <w:highlight w:val="none"/>
                <w:lang w:val="en-US" w:eastAsia="zh-CN"/>
                <w14:textFill>
                  <w14:solidFill>
                    <w14:schemeClr w14:val="tx1"/>
                  </w14:solidFill>
                </w14:textFill>
              </w:rPr>
              <w:t>TSP进行现场监测</w:t>
            </w:r>
            <w:r>
              <w:rPr>
                <w:rFonts w:hint="eastAsia"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监测时</w:t>
            </w:r>
            <w:r>
              <w:rPr>
                <w:rFonts w:hint="default" w:ascii="Times New Roman" w:hAnsi="Times New Roman" w:cs="Times New Roman"/>
                <w:color w:val="000000" w:themeColor="text1"/>
                <w:sz w:val="24"/>
                <w14:textFill>
                  <w14:solidFill>
                    <w14:schemeClr w14:val="tx1"/>
                  </w14:solidFill>
                </w14:textFill>
              </w:rPr>
              <w:t>间为202</w:t>
            </w:r>
            <w:r>
              <w:rPr>
                <w:rFonts w:hint="eastAsia" w:cs="Times New Roman"/>
                <w:color w:val="000000" w:themeColor="text1"/>
                <w:sz w:val="24"/>
                <w:lang w:val="en-US" w:eastAsia="zh-CN"/>
                <w14:textFill>
                  <w14:solidFill>
                    <w14:schemeClr w14:val="tx1"/>
                  </w14:solidFill>
                </w14:textFill>
              </w:rPr>
              <w:t>4</w:t>
            </w:r>
            <w:r>
              <w:rPr>
                <w:rFonts w:hint="default" w:ascii="Times New Roman" w:hAnsi="Times New Roman" w:cs="Times New Roman"/>
                <w:color w:val="000000" w:themeColor="text1"/>
                <w:sz w:val="24"/>
                <w14:textFill>
                  <w14:solidFill>
                    <w14:schemeClr w14:val="tx1"/>
                  </w14:solidFill>
                </w14:textFill>
              </w:rPr>
              <w:t>年</w:t>
            </w:r>
            <w:r>
              <w:rPr>
                <w:rFonts w:hint="eastAsia" w:cs="Times New Roman"/>
                <w:color w:val="000000" w:themeColor="text1"/>
                <w:sz w:val="24"/>
                <w:lang w:val="en-US" w:eastAsia="zh-CN"/>
                <w14:textFill>
                  <w14:solidFill>
                    <w14:schemeClr w14:val="tx1"/>
                  </w14:solidFill>
                </w14:textFill>
              </w:rPr>
              <w:t>9</w:t>
            </w:r>
            <w:r>
              <w:rPr>
                <w:rFonts w:hint="default" w:ascii="Times New Roman" w:hAnsi="Times New Roman" w:cs="Times New Roman"/>
                <w:color w:val="000000" w:themeColor="text1"/>
                <w:sz w:val="24"/>
                <w14:textFill>
                  <w14:solidFill>
                    <w14:schemeClr w14:val="tx1"/>
                  </w14:solidFill>
                </w14:textFill>
              </w:rPr>
              <w:t>月</w:t>
            </w:r>
            <w:r>
              <w:rPr>
                <w:rFonts w:hint="eastAsia" w:cs="Times New Roman"/>
                <w:color w:val="000000" w:themeColor="text1"/>
                <w:sz w:val="24"/>
                <w:lang w:val="en-US" w:eastAsia="zh-CN"/>
                <w14:textFill>
                  <w14:solidFill>
                    <w14:schemeClr w14:val="tx1"/>
                  </w14:solidFill>
                </w14:textFill>
              </w:rPr>
              <w:t>25</w:t>
            </w:r>
            <w:r>
              <w:rPr>
                <w:rFonts w:hint="default" w:ascii="Times New Roman" w:hAnsi="Times New Roman" w:cs="Times New Roman"/>
                <w:color w:val="000000" w:themeColor="text1"/>
                <w:sz w:val="24"/>
                <w14:textFill>
                  <w14:solidFill>
                    <w14:schemeClr w14:val="tx1"/>
                  </w14:solidFill>
                </w14:textFill>
              </w:rPr>
              <w:t>日-</w:t>
            </w:r>
            <w:r>
              <w:rPr>
                <w:rFonts w:hint="eastAsia" w:cs="Times New Roman"/>
                <w:color w:val="000000" w:themeColor="text1"/>
                <w:sz w:val="24"/>
                <w:lang w:val="en-US" w:eastAsia="zh-CN"/>
                <w14:textFill>
                  <w14:solidFill>
                    <w14:schemeClr w14:val="tx1"/>
                  </w14:solidFill>
                </w14:textFill>
              </w:rPr>
              <w:t>9</w:t>
            </w:r>
            <w:r>
              <w:rPr>
                <w:rFonts w:hint="default" w:ascii="Times New Roman" w:hAnsi="Times New Roman" w:cs="Times New Roman"/>
                <w:color w:val="000000" w:themeColor="text1"/>
                <w:sz w:val="24"/>
                <w14:textFill>
                  <w14:solidFill>
                    <w14:schemeClr w14:val="tx1"/>
                  </w14:solidFill>
                </w14:textFill>
              </w:rPr>
              <w:t>月</w:t>
            </w:r>
            <w:r>
              <w:rPr>
                <w:rFonts w:hint="eastAsia" w:cs="Times New Roman"/>
                <w:color w:val="000000" w:themeColor="text1"/>
                <w:sz w:val="24"/>
                <w:lang w:val="en-US" w:eastAsia="zh-CN"/>
                <w14:textFill>
                  <w14:solidFill>
                    <w14:schemeClr w14:val="tx1"/>
                  </w14:solidFill>
                </w14:textFill>
              </w:rPr>
              <w:t>27</w:t>
            </w:r>
            <w:r>
              <w:rPr>
                <w:rFonts w:hint="default" w:ascii="Times New Roman" w:hAnsi="Times New Roman" w:cs="Times New Roman"/>
                <w:color w:val="000000" w:themeColor="text1"/>
                <w:sz w:val="24"/>
                <w14:textFill>
                  <w14:solidFill>
                    <w14:schemeClr w14:val="tx1"/>
                  </w14:solidFill>
                </w14:textFill>
              </w:rPr>
              <w:t>日。</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jc w:val="both"/>
              <w:textAlignment w:val="auto"/>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cs="Times New Roman"/>
                <w:b w:val="0"/>
                <w:bCs w:val="0"/>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监测点位</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根据《环境影响评价技术导则 大气环境》（HJ2.2-2018）要求，</w:t>
            </w:r>
            <w:r>
              <w:rPr>
                <w:rFonts w:hint="eastAsia"/>
                <w:color w:val="000000" w:themeColor="text1"/>
                <w:sz w:val="24"/>
                <w:lang w:eastAsia="zh-CN"/>
                <w14:textFill>
                  <w14:solidFill>
                    <w14:schemeClr w14:val="tx1"/>
                  </w14:solidFill>
                </w14:textFill>
              </w:rPr>
              <w:t>项目区下风向</w:t>
            </w:r>
            <w:r>
              <w:rPr>
                <w:rFonts w:hint="eastAsia" w:ascii="Times New Roman" w:hAnsi="Times New Roman" w:cs="Times New Roman"/>
                <w:color w:val="000000" w:themeColor="text1"/>
                <w:sz w:val="24"/>
                <w:lang w:val="en-US" w:eastAsia="zh-CN"/>
                <w14:textFill>
                  <w14:solidFill>
                    <w14:schemeClr w14:val="tx1"/>
                  </w14:solidFill>
                </w14:textFill>
              </w:rPr>
              <w:t>1</w:t>
            </w:r>
            <w:r>
              <w:rPr>
                <w:rFonts w:hint="default" w:ascii="Times New Roman" w:hAnsi="Times New Roman" w:cs="Times New Roman"/>
                <w:color w:val="000000" w:themeColor="text1"/>
                <w:sz w:val="24"/>
                <w14:textFill>
                  <w14:solidFill>
                    <w14:schemeClr w14:val="tx1"/>
                  </w14:solidFill>
                </w14:textFill>
              </w:rPr>
              <w:t>个监测点位，</w:t>
            </w:r>
            <w:r>
              <w:rPr>
                <w:color w:val="000000" w:themeColor="text1"/>
                <w:sz w:val="24"/>
                <w14:textFill>
                  <w14:solidFill>
                    <w14:schemeClr w14:val="tx1"/>
                  </w14:solidFill>
                </w14:textFill>
              </w:rPr>
              <w:t>项目监测布点图见附图</w:t>
            </w:r>
            <w:r>
              <w:rPr>
                <w:rFonts w:hint="eastAsia"/>
                <w:color w:val="000000" w:themeColor="text1"/>
                <w:sz w:val="24"/>
                <w:lang w:val="en-US" w:eastAsia="zh-CN"/>
                <w14:textFill>
                  <w14:solidFill>
                    <w14:schemeClr w14:val="tx1"/>
                  </w14:solidFill>
                </w14:textFill>
              </w:rPr>
              <w:t>6</w:t>
            </w:r>
            <w:r>
              <w:rPr>
                <w:color w:val="000000" w:themeColor="text1"/>
                <w:sz w:val="24"/>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textAlignment w:val="auto"/>
              <w:rPr>
                <w:rFonts w:hint="eastAsia"/>
                <w:b w:val="0"/>
                <w:bCs w:val="0"/>
                <w:color w:val="000000" w:themeColor="text1"/>
                <w:sz w:val="24"/>
                <w14:textFill>
                  <w14:solidFill>
                    <w14:schemeClr w14:val="tx1"/>
                  </w14:solidFill>
                </w14:textFill>
              </w:rPr>
            </w:pPr>
            <w:r>
              <w:rPr>
                <w:rFonts w:hint="eastAsia"/>
                <w:b w:val="0"/>
                <w:bCs w:val="0"/>
                <w:color w:val="000000" w:themeColor="text1"/>
                <w:sz w:val="24"/>
                <w:lang w:eastAsia="zh-CN"/>
                <w14:textFill>
                  <w14:solidFill>
                    <w14:schemeClr w14:val="tx1"/>
                  </w14:solidFill>
                </w14:textFill>
              </w:rPr>
              <w:t>（</w:t>
            </w:r>
            <w:r>
              <w:rPr>
                <w:rFonts w:hint="eastAsia"/>
                <w:b w:val="0"/>
                <w:bCs w:val="0"/>
                <w:color w:val="000000" w:themeColor="text1"/>
                <w:sz w:val="24"/>
                <w:lang w:val="en-US" w:eastAsia="zh-CN"/>
                <w14:textFill>
                  <w14:solidFill>
                    <w14:schemeClr w14:val="tx1"/>
                  </w14:solidFill>
                </w14:textFill>
              </w:rPr>
              <w:t>3）</w:t>
            </w:r>
            <w:r>
              <w:rPr>
                <w:rFonts w:hint="eastAsia"/>
                <w:b w:val="0"/>
                <w:bCs w:val="0"/>
                <w:color w:val="000000" w:themeColor="text1"/>
                <w:sz w:val="24"/>
                <w14:textFill>
                  <w14:solidFill>
                    <w14:schemeClr w14:val="tx1"/>
                  </w14:solidFill>
                </w14:textFill>
              </w:rPr>
              <w:t>采样及分析方法</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jc w:val="both"/>
              <w:textAlignment w:val="auto"/>
              <w:rPr>
                <w:rFonts w:hint="eastAsia" w:cs="宋体"/>
                <w:bCs/>
                <w:color w:val="000000" w:themeColor="text1"/>
                <w:szCs w:val="24"/>
                <w:lang w:val="en-US" w:eastAsia="zh-CN" w:bidi="ar"/>
                <w14:textFill>
                  <w14:solidFill>
                    <w14:schemeClr w14:val="tx1"/>
                  </w14:solidFill>
                </w14:textFill>
              </w:rPr>
            </w:pPr>
            <w:r>
              <w:rPr>
                <w:rFonts w:hint="eastAsia" w:cs="宋体"/>
                <w:bCs/>
                <w:color w:val="000000" w:themeColor="text1"/>
                <w:szCs w:val="24"/>
                <w:lang w:val="en-US" w:eastAsia="zh-CN" w:bidi="ar"/>
                <w14:textFill>
                  <w14:solidFill>
                    <w14:schemeClr w14:val="tx1"/>
                  </w14:solidFill>
                </w14:textFill>
              </w:rPr>
              <w:t>各监测项目的采样方法按国家环保总局颁布的《环境空气质量手工监测技术规范》（</w:t>
            </w:r>
            <w:r>
              <w:rPr>
                <w:rFonts w:ascii="Times New Roman" w:hAnsi="Times New Roman"/>
                <w:bCs/>
                <w:color w:val="000000" w:themeColor="text1"/>
                <w:szCs w:val="24"/>
                <w:lang w:val="en-US" w:eastAsia="zh-CN" w:bidi="ar"/>
                <w14:textFill>
                  <w14:solidFill>
                    <w14:schemeClr w14:val="tx1"/>
                  </w14:solidFill>
                </w14:textFill>
              </w:rPr>
              <w:t>HJ 194-2017</w:t>
            </w:r>
            <w:r>
              <w:rPr>
                <w:rFonts w:hint="eastAsia" w:cs="宋体"/>
                <w:bCs/>
                <w:color w:val="000000" w:themeColor="text1"/>
                <w:szCs w:val="24"/>
                <w:lang w:val="en-US" w:eastAsia="zh-CN" w:bidi="ar"/>
                <w14:textFill>
                  <w14:solidFill>
                    <w14:schemeClr w14:val="tx1"/>
                  </w14:solidFill>
                </w14:textFill>
              </w:rPr>
              <w:t>）、《环境空气质量标准》（</w:t>
            </w:r>
            <w:r>
              <w:rPr>
                <w:rFonts w:ascii="Times New Roman" w:hAnsi="Times New Roman"/>
                <w:bCs/>
                <w:color w:val="000000" w:themeColor="text1"/>
                <w:szCs w:val="24"/>
                <w:lang w:val="en-US" w:eastAsia="zh-CN" w:bidi="ar"/>
                <w14:textFill>
                  <w14:solidFill>
                    <w14:schemeClr w14:val="tx1"/>
                  </w14:solidFill>
                </w14:textFill>
              </w:rPr>
              <w:t>GB3095-2012</w:t>
            </w:r>
            <w:r>
              <w:rPr>
                <w:rFonts w:hint="eastAsia" w:cs="宋体"/>
                <w:bCs/>
                <w:color w:val="000000" w:themeColor="text1"/>
                <w:szCs w:val="24"/>
                <w:lang w:val="en-US" w:eastAsia="zh-CN" w:bidi="ar"/>
                <w14:textFill>
                  <w14:solidFill>
                    <w14:schemeClr w14:val="tx1"/>
                  </w14:solidFill>
                </w14:textFill>
              </w:rPr>
              <w:t>）的规定执行；分析方法按《环境空气总悬浮颗粒物的测定重量法及其修改单》（</w:t>
            </w:r>
            <w:r>
              <w:rPr>
                <w:rFonts w:ascii="Times New Roman" w:hAnsi="Times New Roman"/>
                <w:bCs/>
                <w:color w:val="000000" w:themeColor="text1"/>
                <w:szCs w:val="24"/>
                <w:lang w:val="en-US" w:eastAsia="zh-CN" w:bidi="ar"/>
                <w14:textFill>
                  <w14:solidFill>
                    <w14:schemeClr w14:val="tx1"/>
                  </w14:solidFill>
                </w14:textFill>
              </w:rPr>
              <w:t>GB/T15432-1995/XG1-2018</w:t>
            </w:r>
            <w:r>
              <w:rPr>
                <w:rFonts w:hint="eastAsia" w:cs="宋体"/>
                <w:bCs/>
                <w:color w:val="000000" w:themeColor="text1"/>
                <w:szCs w:val="24"/>
                <w:lang w:val="en-US" w:eastAsia="zh-CN" w:bidi="ar"/>
                <w14:textFill>
                  <w14:solidFill>
                    <w14:schemeClr w14:val="tx1"/>
                  </w14:solidFill>
                </w14:textFill>
              </w:rPr>
              <w:t>）执行。</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jc w:val="both"/>
              <w:textAlignment w:val="auto"/>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cs="Times New Roman"/>
                <w:b w:val="0"/>
                <w:bCs w:val="0"/>
                <w:color w:val="000000" w:themeColor="text1"/>
                <w:sz w:val="24"/>
                <w:szCs w:val="24"/>
                <w:lang w:val="en-US" w:eastAsia="zh-CN"/>
                <w14:textFill>
                  <w14:solidFill>
                    <w14:schemeClr w14:val="tx1"/>
                  </w14:solidFill>
                </w14:textFill>
              </w:rPr>
              <w:t>（4）</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评价标准</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本项目所在地区属于环境空气质量二类功能区，执行《环境空气质量标准》（GB3095-2012）中TSP二级浓度限值，24h平均浓度限值为300ug/m³。监测及分析方法均按照</w:t>
            </w:r>
            <w:r>
              <w:rPr>
                <w:rFonts w:hint="eastAsia" w:cs="Times New Roman"/>
                <w:color w:val="000000" w:themeColor="text1"/>
                <w:sz w:val="24"/>
                <w:szCs w:val="24"/>
                <w:lang w:val="en-US" w:eastAsia="zh-CN"/>
                <w14:textFill>
                  <w14:solidFill>
                    <w14:schemeClr w14:val="tx1"/>
                  </w14:solidFill>
                </w14:textFill>
              </w:rPr>
              <w:t>国家环保总局</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《环境监测技术规范》和《环境空气质量标准（GB3095-2012）》要求，参照《环境空气 总悬浮物的测定重量法</w:t>
            </w:r>
            <w:r>
              <w:rPr>
                <w:rFonts w:hint="eastAsia"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(GB15432-1995及修改单执行）。评价方法采用最大占标百分比，计算公式为：</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Pi=Ci/Coi×</w:t>
            </w:r>
            <w:r>
              <w:rPr>
                <w:rFonts w:hint="eastAsia" w:cs="Times New Roman"/>
                <w:color w:val="000000" w:themeColor="text1"/>
                <w:sz w:val="24"/>
                <w:szCs w:val="24"/>
                <w:lang w:val="en-US" w:eastAsia="zh-CN"/>
                <w14:textFill>
                  <w14:solidFill>
                    <w14:schemeClr w14:val="tx1"/>
                  </w14:solidFill>
                </w14:textFill>
              </w:rPr>
              <w:t>100%</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式中：Pi——第i个污染物的最大占标百分比（%）；</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Ci——第i个污染物最大监测浓度（</w:t>
            </w:r>
            <w:r>
              <w:rPr>
                <w:rFonts w:hint="eastAsia" w:cs="Times New Roman"/>
                <w:color w:val="000000" w:themeColor="text1"/>
                <w:sz w:val="24"/>
                <w:szCs w:val="24"/>
                <w:lang w:val="en-US" w:eastAsia="zh-CN"/>
                <w14:textFill>
                  <w14:solidFill>
                    <w14:schemeClr w14:val="tx1"/>
                  </w14:solidFill>
                </w14:textFill>
              </w:rPr>
              <w:t>u</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g/m³）；</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Coi——第i个污染物的环境空气质量浓度标准（</w:t>
            </w:r>
            <w:r>
              <w:rPr>
                <w:rFonts w:hint="eastAsia" w:cs="Times New Roman"/>
                <w:color w:val="000000" w:themeColor="text1"/>
                <w:sz w:val="24"/>
                <w:szCs w:val="24"/>
                <w:lang w:val="en-US" w:eastAsia="zh-CN"/>
                <w14:textFill>
                  <w14:solidFill>
                    <w14:schemeClr w14:val="tx1"/>
                  </w14:solidFill>
                </w14:textFill>
              </w:rPr>
              <w:t>u</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g/m³）。</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jc w:val="both"/>
              <w:textAlignment w:val="auto"/>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eastAsia" w:cs="Times New Roman"/>
                <w:b w:val="0"/>
                <w:bCs w:val="0"/>
                <w:color w:val="000000" w:themeColor="text1"/>
                <w:sz w:val="24"/>
                <w:szCs w:val="24"/>
                <w:lang w:val="en-US" w:eastAsia="zh-CN"/>
                <w14:textFill>
                  <w14:solidFill>
                    <w14:schemeClr w14:val="tx1"/>
                  </w14:solidFill>
                </w14:textFill>
              </w:rPr>
              <w:t>（5）</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监测结果</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环境空气质量现状监测统计结果见下表</w:t>
            </w:r>
            <w:r>
              <w:rPr>
                <w:rFonts w:hint="eastAsia" w:cs="Times New Roman"/>
                <w:color w:val="000000" w:themeColor="text1"/>
                <w:sz w:val="24"/>
                <w:szCs w:val="24"/>
                <w:lang w:val="en-US" w:eastAsia="zh-CN"/>
                <w14:textFill>
                  <w14:solidFill>
                    <w14:schemeClr w14:val="tx1"/>
                  </w14:solidFill>
                </w14:textFill>
              </w:rPr>
              <w:t>3-4</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val="0"/>
              <w:snapToGrid w:val="0"/>
              <w:spacing w:line="240" w:lineRule="auto"/>
              <w:ind w:firstLine="422" w:firstLineChars="20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表3</w:t>
            </w:r>
            <w:r>
              <w:rPr>
                <w:rFonts w:hint="eastAsia" w:ascii="Times New Roman" w:hAnsi="Times New Roman" w:cs="Times New Roman"/>
                <w:b/>
                <w:bCs/>
                <w:color w:val="000000" w:themeColor="text1"/>
                <w:sz w:val="21"/>
                <w:szCs w:val="21"/>
                <w:lang w:val="en-US" w:eastAsia="zh-CN"/>
                <w14:textFill>
                  <w14:solidFill>
                    <w14:schemeClr w14:val="tx1"/>
                  </w14:solidFill>
                </w14:textFill>
              </w:rPr>
              <w:t>-</w:t>
            </w:r>
            <w:r>
              <w:rPr>
                <w:rFonts w:hint="eastAsia" w:cs="Times New Roman"/>
                <w:b/>
                <w:bCs/>
                <w:color w:val="000000" w:themeColor="text1"/>
                <w:sz w:val="21"/>
                <w:szCs w:val="21"/>
                <w:lang w:val="en-US" w:eastAsia="zh-CN"/>
                <w14:textFill>
                  <w14:solidFill>
                    <w14:schemeClr w14:val="tx1"/>
                  </w14:solidFill>
                </w14:textFill>
              </w:rPr>
              <w:t xml:space="preserve">4   </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TSP监测结果统计表</w:t>
            </w:r>
          </w:p>
          <w:tbl>
            <w:tblPr>
              <w:tblStyle w:val="23"/>
              <w:tblW w:w="497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0"/>
              <w:gridCol w:w="1562"/>
              <w:gridCol w:w="1376"/>
              <w:gridCol w:w="1598"/>
              <w:gridCol w:w="903"/>
              <w:gridCol w:w="10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5"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采样日期</w:t>
                  </w:r>
                </w:p>
              </w:tc>
              <w:tc>
                <w:tcPr>
                  <w:tcW w:w="1034"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采样点位</w:t>
                  </w:r>
                </w:p>
              </w:tc>
              <w:tc>
                <w:tcPr>
                  <w:tcW w:w="911" w:type="pct"/>
                  <w:tcBorders>
                    <w:right w:val="single" w:color="auto" w:sz="4" w:space="0"/>
                    <w:tl2br w:val="nil"/>
                    <w:tr2bl w:val="nil"/>
                  </w:tcBorders>
                  <w:vAlign w:val="center"/>
                </w:tcPr>
                <w:p>
                  <w:pPr>
                    <w:keepNext w:val="0"/>
                    <w:keepLines w:val="0"/>
                    <w:pageBreakBefore w:val="0"/>
                    <w:widowControl w:val="0"/>
                    <w:kinsoku/>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监测值</w:t>
                  </w:r>
                  <w:r>
                    <w:rPr>
                      <w:rFonts w:hint="default" w:ascii="Times New Roman" w:hAnsi="Times New Roman" w:cs="Times New Roman"/>
                      <w:b/>
                      <w:bCs/>
                      <w:color w:val="000000" w:themeColor="text1"/>
                      <w:sz w:val="21"/>
                      <w:szCs w:val="21"/>
                      <w:lang w:val="en-US" w:eastAsia="zh-CN"/>
                      <w14:textFill>
                        <w14:solidFill>
                          <w14:schemeClr w14:val="tx1"/>
                        </w14:solidFill>
                      </w14:textFill>
                    </w:rPr>
                    <w:t>u</w:t>
                  </w:r>
                  <w:r>
                    <w:rPr>
                      <w:rFonts w:hint="default" w:ascii="Times New Roman" w:hAnsi="Times New Roman" w:cs="Times New Roman"/>
                      <w:b/>
                      <w:bCs/>
                      <w:color w:val="000000" w:themeColor="text1"/>
                      <w:sz w:val="21"/>
                      <w:szCs w:val="21"/>
                      <w14:textFill>
                        <w14:solidFill>
                          <w14:schemeClr w14:val="tx1"/>
                        </w14:solidFill>
                      </w14:textFill>
                    </w:rPr>
                    <w:t>g/m</w:t>
                  </w:r>
                  <w:r>
                    <w:rPr>
                      <w:rFonts w:hint="default" w:ascii="Times New Roman" w:hAnsi="Times New Roman" w:cs="Times New Roman"/>
                      <w:b/>
                      <w:bCs/>
                      <w:color w:val="000000" w:themeColor="text1"/>
                      <w:sz w:val="21"/>
                      <w:szCs w:val="21"/>
                      <w:vertAlign w:val="superscript"/>
                      <w14:textFill>
                        <w14:solidFill>
                          <w14:schemeClr w14:val="tx1"/>
                        </w14:solidFill>
                      </w14:textFill>
                    </w:rPr>
                    <w:t>3</w:t>
                  </w:r>
                </w:p>
              </w:tc>
              <w:tc>
                <w:tcPr>
                  <w:tcW w:w="1058" w:type="pct"/>
                  <w:tcBorders>
                    <w:left w:val="single" w:color="auto" w:sz="4" w:space="0"/>
                    <w:tl2br w:val="nil"/>
                    <w:tr2bl w:val="nil"/>
                  </w:tcBorders>
                  <w:vAlign w:val="center"/>
                </w:tcPr>
                <w:p>
                  <w:pPr>
                    <w:keepNext w:val="0"/>
                    <w:keepLines w:val="0"/>
                    <w:pageBreakBefore w:val="0"/>
                    <w:widowControl w:val="0"/>
                    <w:kinsoku/>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标准限值</w:t>
                  </w:r>
                  <w:r>
                    <w:rPr>
                      <w:rFonts w:hint="default" w:ascii="Times New Roman" w:hAnsi="Times New Roman" w:cs="Times New Roman"/>
                      <w:b/>
                      <w:bCs/>
                      <w:color w:val="000000" w:themeColor="text1"/>
                      <w:sz w:val="21"/>
                      <w:szCs w:val="21"/>
                      <w:lang w:val="en-US" w:eastAsia="zh-CN"/>
                      <w14:textFill>
                        <w14:solidFill>
                          <w14:schemeClr w14:val="tx1"/>
                        </w14:solidFill>
                      </w14:textFill>
                    </w:rPr>
                    <w:t>u</w:t>
                  </w:r>
                  <w:r>
                    <w:rPr>
                      <w:rFonts w:hint="default" w:ascii="Times New Roman" w:hAnsi="Times New Roman" w:cs="Times New Roman"/>
                      <w:b/>
                      <w:bCs/>
                      <w:color w:val="000000" w:themeColor="text1"/>
                      <w:sz w:val="21"/>
                      <w:szCs w:val="21"/>
                      <w14:textFill>
                        <w14:solidFill>
                          <w14:schemeClr w14:val="tx1"/>
                        </w14:solidFill>
                      </w14:textFill>
                    </w:rPr>
                    <w:t>g/m</w:t>
                  </w:r>
                  <w:r>
                    <w:rPr>
                      <w:rFonts w:hint="default" w:ascii="Times New Roman" w:hAnsi="Times New Roman" w:cs="Times New Roman"/>
                      <w:b/>
                      <w:bCs/>
                      <w:color w:val="000000" w:themeColor="text1"/>
                      <w:sz w:val="21"/>
                      <w:szCs w:val="21"/>
                      <w:vertAlign w:val="superscript"/>
                      <w14:textFill>
                        <w14:solidFill>
                          <w14:schemeClr w14:val="tx1"/>
                        </w14:solidFill>
                      </w14:textFill>
                    </w:rPr>
                    <w:t>3</w:t>
                  </w:r>
                </w:p>
              </w:tc>
              <w:tc>
                <w:tcPr>
                  <w:tcW w:w="598" w:type="pct"/>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占标率%</w:t>
                  </w:r>
                </w:p>
              </w:tc>
              <w:tc>
                <w:tcPr>
                  <w:tcW w:w="681" w:type="pct"/>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达标情况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715"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2024.</w:t>
                  </w:r>
                  <w:r>
                    <w:rPr>
                      <w:rFonts w:hint="eastAsia" w:ascii="Times New Roman" w:hAnsi="Times New Roman" w:cs="Times New Roman"/>
                      <w:color w:val="000000" w:themeColor="text1"/>
                      <w:sz w:val="21"/>
                      <w:szCs w:val="21"/>
                      <w:lang w:val="en-US" w:eastAsia="zh-CN"/>
                      <w14:textFill>
                        <w14:solidFill>
                          <w14:schemeClr w14:val="tx1"/>
                        </w14:solidFill>
                      </w14:textFill>
                    </w:rPr>
                    <w:t>9</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25</w:t>
                  </w:r>
                </w:p>
              </w:tc>
              <w:tc>
                <w:tcPr>
                  <w:tcW w:w="1034" w:type="pct"/>
                  <w:vMerge w:val="restart"/>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911"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113</w:t>
                  </w:r>
                </w:p>
              </w:tc>
              <w:tc>
                <w:tcPr>
                  <w:tcW w:w="1058"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300</w:t>
                  </w:r>
                </w:p>
              </w:tc>
              <w:tc>
                <w:tcPr>
                  <w:tcW w:w="598" w:type="pct"/>
                  <w:tcBorders>
                    <w:tl2br w:val="nil"/>
                    <w:tr2bl w:val="nil"/>
                  </w:tcBorders>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37.7</w:t>
                  </w:r>
                </w:p>
              </w:tc>
              <w:tc>
                <w:tcPr>
                  <w:tcW w:w="681"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715"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2024.</w:t>
                  </w:r>
                  <w:r>
                    <w:rPr>
                      <w:rFonts w:hint="eastAsia" w:ascii="Times New Roman" w:hAnsi="Times New Roman" w:cs="Times New Roman"/>
                      <w:color w:val="000000" w:themeColor="text1"/>
                      <w:sz w:val="21"/>
                      <w:szCs w:val="21"/>
                      <w:lang w:val="en-US" w:eastAsia="zh-CN"/>
                      <w14:textFill>
                        <w14:solidFill>
                          <w14:schemeClr w14:val="tx1"/>
                        </w14:solidFill>
                      </w14:textFill>
                    </w:rPr>
                    <w:t>9</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26</w:t>
                  </w:r>
                </w:p>
              </w:tc>
              <w:tc>
                <w:tcPr>
                  <w:tcW w:w="1034" w:type="pct"/>
                  <w:vMerge w:val="continue"/>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911"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120</w:t>
                  </w:r>
                </w:p>
              </w:tc>
              <w:tc>
                <w:tcPr>
                  <w:tcW w:w="1058"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300</w:t>
                  </w:r>
                </w:p>
              </w:tc>
              <w:tc>
                <w:tcPr>
                  <w:tcW w:w="598" w:type="pct"/>
                  <w:tcBorders>
                    <w:tl2br w:val="nil"/>
                    <w:tr2bl w:val="nil"/>
                  </w:tcBorders>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40.0</w:t>
                  </w:r>
                </w:p>
              </w:tc>
              <w:tc>
                <w:tcPr>
                  <w:tcW w:w="681"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bookmarkStart w:id="24" w:name="OLE_LINK2"/>
                  <w:r>
                    <w:rPr>
                      <w:rFonts w:hint="default" w:ascii="Times New Roman" w:hAnsi="Times New Roman" w:cs="Times New Roman"/>
                      <w:color w:val="000000" w:themeColor="text1"/>
                      <w:sz w:val="21"/>
                      <w:szCs w:val="21"/>
                      <w:lang w:val="en-US" w:eastAsia="zh-CN"/>
                      <w14:textFill>
                        <w14:solidFill>
                          <w14:schemeClr w14:val="tx1"/>
                        </w14:solidFill>
                      </w14:textFill>
                    </w:rPr>
                    <w:t>达标</w:t>
                  </w:r>
                  <w:bookmarkEnd w:id="24"/>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715"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2024.</w:t>
                  </w:r>
                  <w:r>
                    <w:rPr>
                      <w:rFonts w:hint="eastAsia" w:ascii="Times New Roman" w:hAnsi="Times New Roman" w:cs="Times New Roman"/>
                      <w:color w:val="000000" w:themeColor="text1"/>
                      <w:sz w:val="21"/>
                      <w:szCs w:val="21"/>
                      <w:lang w:val="en-US" w:eastAsia="zh-CN"/>
                      <w14:textFill>
                        <w14:solidFill>
                          <w14:schemeClr w14:val="tx1"/>
                        </w14:solidFill>
                      </w14:textFill>
                    </w:rPr>
                    <w:t>9</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27</w:t>
                  </w:r>
                </w:p>
              </w:tc>
              <w:tc>
                <w:tcPr>
                  <w:tcW w:w="1034" w:type="pct"/>
                  <w:vMerge w:val="continue"/>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911"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118</w:t>
                  </w:r>
                </w:p>
              </w:tc>
              <w:tc>
                <w:tcPr>
                  <w:tcW w:w="1058"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300</w:t>
                  </w:r>
                </w:p>
              </w:tc>
              <w:tc>
                <w:tcPr>
                  <w:tcW w:w="598" w:type="pct"/>
                  <w:tcBorders>
                    <w:tl2br w:val="nil"/>
                    <w:tr2bl w:val="nil"/>
                  </w:tcBorders>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39.3</w:t>
                  </w:r>
                </w:p>
              </w:tc>
              <w:tc>
                <w:tcPr>
                  <w:tcW w:w="681"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达标</w:t>
                  </w: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480" w:firstLineChars="200"/>
              <w:jc w:val="left"/>
              <w:textAlignment w:val="auto"/>
              <w:rPr>
                <w:rFonts w:hint="eastAsia" w:cs="Times New Roman"/>
                <w:b/>
                <w:bCs/>
                <w:color w:val="FF0000"/>
                <w:sz w:val="24"/>
                <w:szCs w:val="24"/>
                <w:lang w:val="en-US" w:eastAsia="zh-CN"/>
              </w:rPr>
            </w:pPr>
            <w:bookmarkStart w:id="25" w:name="根据现状监测数据和《环境影响评价技术导则 大气环境》（HJ/T2.2-2018）"/>
            <w:bookmarkEnd w:id="25"/>
            <w:r>
              <w:rPr>
                <w:rFonts w:hint="default" w:ascii="Times New Roman" w:hAnsi="Times New Roman" w:eastAsia="宋体" w:cs="Times New Roman"/>
                <w:color w:val="auto"/>
                <w:sz w:val="24"/>
                <w:szCs w:val="24"/>
                <w:lang w:val="en-US" w:eastAsia="zh-CN"/>
              </w:rPr>
              <w:t>现状监测结果表明，</w:t>
            </w:r>
            <w:r>
              <w:rPr>
                <w:rFonts w:hint="eastAsia" w:cs="Times New Roman"/>
                <w:color w:val="auto"/>
                <w:sz w:val="24"/>
                <w:szCs w:val="24"/>
                <w:lang w:val="en-US" w:eastAsia="zh-CN"/>
              </w:rPr>
              <w:t>监测期</w:t>
            </w:r>
            <w:bookmarkStart w:id="26" w:name="OLE_LINK4"/>
            <w:r>
              <w:rPr>
                <w:rFonts w:hint="eastAsia" w:cs="Times New Roman"/>
                <w:color w:val="auto"/>
                <w:sz w:val="24"/>
                <w:szCs w:val="24"/>
                <w:lang w:val="en-US" w:eastAsia="zh-CN"/>
              </w:rPr>
              <w:t>间</w:t>
            </w:r>
            <w:r>
              <w:rPr>
                <w:rFonts w:hint="default" w:ascii="Times New Roman" w:hAnsi="Times New Roman" w:eastAsia="宋体" w:cs="Times New Roman"/>
                <w:color w:val="auto"/>
                <w:sz w:val="24"/>
                <w:szCs w:val="24"/>
                <w:lang w:val="en-US" w:eastAsia="zh-CN"/>
              </w:rPr>
              <w:t>评价区内监测点环境空气中TSP</w:t>
            </w:r>
            <w:r>
              <w:rPr>
                <w:rFonts w:hint="eastAsia" w:cs="Times New Roman"/>
                <w:color w:val="auto"/>
                <w:sz w:val="24"/>
                <w:szCs w:val="24"/>
                <w:lang w:val="en-US" w:eastAsia="zh-CN"/>
              </w:rPr>
              <w:t>满足</w:t>
            </w:r>
            <w:r>
              <w:rPr>
                <w:rFonts w:hint="default" w:ascii="Times New Roman" w:hAnsi="Times New Roman" w:eastAsia="宋体" w:cs="Times New Roman"/>
                <w:color w:val="auto"/>
                <w:sz w:val="24"/>
                <w:szCs w:val="24"/>
                <w:lang w:val="en-US" w:eastAsia="zh-CN"/>
              </w:rPr>
              <w:t>《环境空气质量标准》（GB3095-2012）及</w:t>
            </w:r>
            <w:bookmarkEnd w:id="26"/>
            <w:r>
              <w:rPr>
                <w:rFonts w:hint="default" w:ascii="Times New Roman" w:hAnsi="Times New Roman" w:eastAsia="宋体" w:cs="Times New Roman"/>
                <w:color w:val="auto"/>
                <w:sz w:val="24"/>
                <w:szCs w:val="24"/>
                <w:lang w:val="en-US" w:eastAsia="zh-CN"/>
              </w:rPr>
              <w:t>其修改单的二级标准要求</w:t>
            </w:r>
            <w:r>
              <w:rPr>
                <w:rFonts w:hint="eastAsia" w:ascii="Times New Roman" w:hAnsi="Times New Roman" w:eastAsia="宋体" w:cs="Times New Roman"/>
                <w:color w:val="auto"/>
                <w:sz w:val="24"/>
                <w:szCs w:val="24"/>
                <w:lang w:val="en-US" w:eastAsia="zh-CN"/>
              </w:rPr>
              <w:t>。</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0" w:firstLineChars="0"/>
              <w:jc w:val="left"/>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3、地表水环境质量现状调查</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本项目无生产废水外排，食堂废水经隔油处理后与其他生活污水</w:t>
            </w:r>
            <w:r>
              <w:rPr>
                <w:rFonts w:hint="eastAsia" w:ascii="Times New Roman" w:hAnsi="Times New Roman" w:eastAsia="宋体" w:cs="Times New Roman"/>
                <w:color w:val="auto"/>
                <w:sz w:val="24"/>
                <w:szCs w:val="24"/>
                <w:lang w:val="en-US" w:eastAsia="zh-CN"/>
              </w:rPr>
              <w:t>排入一体化污水处理设施处理，处理后回用于洒水降尘。</w:t>
            </w:r>
            <w:r>
              <w:rPr>
                <w:rFonts w:hint="default" w:ascii="Times New Roman" w:hAnsi="Times New Roman" w:eastAsia="宋体" w:cs="Times New Roman"/>
                <w:color w:val="auto"/>
                <w:sz w:val="24"/>
                <w:szCs w:val="24"/>
                <w:lang w:val="en-US" w:eastAsia="zh-CN"/>
              </w:rPr>
              <w:t>厂址1km范围内没有天然地表水体分布，工程不向天然地表水体排水，项目地表水按三级B评价，三级评价项目可不进行地表水环境影响评价，因此未开展地表水现状调查及评价。</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0" w:firstLineChars="0"/>
              <w:jc w:val="left"/>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4、地下水环境质量现状调查</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环境影响评价技术导则地下水环境》（HJ610-2016）中附录A地下水环境影响评价行业分类表，本项目属J非金属矿采选及制品制造-54、土砂石开采-其他，属于Ⅳ类建设项目，Ⅳ类建设项目不开展地下水环境影响评价。</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0" w:firstLineChars="0"/>
              <w:jc w:val="left"/>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5、声环境质量现状调查</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本项目为</w:t>
            </w:r>
            <w:r>
              <w:rPr>
                <w:rFonts w:hint="eastAsia" w:ascii="Times New Roman" w:hAnsi="Times New Roman" w:eastAsia="宋体" w:cs="Times New Roman"/>
                <w:color w:val="auto"/>
                <w:sz w:val="24"/>
                <w:szCs w:val="24"/>
                <w:lang w:val="en-US" w:eastAsia="zh-CN"/>
              </w:rPr>
              <w:t>土砂石开采洗选</w:t>
            </w:r>
            <w:r>
              <w:rPr>
                <w:rFonts w:hint="default" w:ascii="Times New Roman" w:hAnsi="Times New Roman" w:eastAsia="宋体" w:cs="Times New Roman"/>
                <w:color w:val="auto"/>
                <w:sz w:val="24"/>
                <w:szCs w:val="24"/>
                <w:lang w:val="en-US" w:eastAsia="zh-CN"/>
              </w:rPr>
              <w:t>建设项目，属于生态影响类项目，根据《建设项目环境影响报告表编制技术指南（生态影响类）（试行）》：“项目涉及的水、大气、声、土壤等其他环境要素，应明确项目所在区域的环境质量现状。”大气、固定声源环境质量现状监测参照《建设项目环境影响报告表编制技术指南（污染影响类）》（试行）相关规定开展补充监测，污染影响类编制指南中要求厂界外周边50米范围内存在声环境保护目标的建设项目，应监测保护目标声环境质量现状并评价达标情况。</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本项目所在区域声环境质量现状为《声环境质量标准》（GB3096-2008）中2类标准，项目周边50m范围内均为荒漠，无声环境保护目标，因此本项目可不开展声环境现状调查及分析。</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0" w:firstLineChars="0"/>
              <w:jc w:val="left"/>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6、土壤环境质量现状调查</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default"/>
                <w:lang w:val="en-US" w:eastAsia="zh-CN"/>
              </w:rPr>
            </w:pPr>
            <w:r>
              <w:rPr>
                <w:rFonts w:hint="default" w:ascii="Times New Roman" w:hAnsi="Times New Roman" w:eastAsia="宋体" w:cs="Times New Roman"/>
                <w:color w:val="auto"/>
                <w:sz w:val="24"/>
                <w:szCs w:val="24"/>
                <w:lang w:val="en-US" w:eastAsia="zh-CN"/>
              </w:rPr>
              <w:t>根据《环境影响评价技术导则土壤环境（试行）》（HJ964-2018）中4.2.2“根据行业特征、工艺特点或规模大小等将建设项目类别分为Ⅰ类、Ⅱ类、Ⅲ类、Ⅳ类，见附件A，其中Ⅳ类建设项目可不开展土壤环境影响评价；自身为敏感目标的建设项目，可根据需要仅对土壤现状进行调查”</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本项目属于附录A中的采矿业Ⅲ类项目，根据矿产资源开发利用与生态保护修复方案，土壤pH值为8.35-8.41。根据《环境影响评价技术导则土壤环境（试行）》（HJ964-2018）中表1生态影响型敏感程度分级表，本项目为不敏感，根据表2生态影响型评价工作等级划分表，本项目可不开展土壤环境影响评价工作，且本项目用地未建设过对土壤环境造成影响的建设项目，土壤环境状况良好</w:t>
            </w:r>
            <w:r>
              <w:rPr>
                <w:rFonts w:hint="eastAsia" w:ascii="Times New Roman" w:hAnsi="Times New Roman" w:eastAsia="宋体" w:cs="Times New Roman"/>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0" w:hRule="atLeast"/>
        </w:trPr>
        <w:tc>
          <w:tcPr>
            <w:tcW w:w="709" w:type="dxa"/>
            <w:vAlign w:val="center"/>
          </w:tcPr>
          <w:p>
            <w:pPr>
              <w:pStyle w:val="31"/>
              <w:rPr>
                <w:rFonts w:hint="default"/>
                <w:sz w:val="21"/>
                <w:szCs w:val="21"/>
              </w:rPr>
            </w:pPr>
            <w:r>
              <w:rPr>
                <w:sz w:val="21"/>
                <w:szCs w:val="21"/>
              </w:rPr>
              <w:t>与项目有关的原有环境污染和生态破坏问题</w:t>
            </w:r>
          </w:p>
        </w:tc>
        <w:tc>
          <w:tcPr>
            <w:tcW w:w="7813" w:type="dxa"/>
            <w:vAlign w:val="center"/>
          </w:tcPr>
          <w:p>
            <w:pPr>
              <w:bidi w:val="0"/>
              <w:ind w:left="0" w:leftChars="0" w:firstLine="0" w:firstLineChars="0"/>
              <w:jc w:val="center"/>
              <w:rPr>
                <w:rFonts w:hint="eastAsia" w:eastAsia="宋体"/>
                <w:lang w:val="en-US" w:eastAsia="zh-CN"/>
              </w:rPr>
            </w:pPr>
            <w:r>
              <w:rPr>
                <w:rFonts w:hint="eastAsia"/>
                <w:lang w:val="en-US" w:eastAsia="zh-CN"/>
              </w:rPr>
              <w:t>本项目为新建项目，无与</w:t>
            </w:r>
            <w:r>
              <w:t>项目有关的原有环境污染和生态破坏问题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9" w:type="dxa"/>
            <w:vAlign w:val="center"/>
          </w:tcPr>
          <w:p>
            <w:pPr>
              <w:pStyle w:val="31"/>
              <w:rPr>
                <w:rFonts w:hint="default"/>
                <w:sz w:val="21"/>
                <w:szCs w:val="21"/>
              </w:rPr>
            </w:pPr>
            <w:r>
              <w:rPr>
                <w:sz w:val="21"/>
                <w:szCs w:val="21"/>
              </w:rPr>
              <w:t>生态环境保护</w:t>
            </w:r>
          </w:p>
          <w:p>
            <w:pPr>
              <w:pStyle w:val="31"/>
              <w:rPr>
                <w:rFonts w:hint="default"/>
                <w:sz w:val="21"/>
                <w:szCs w:val="21"/>
              </w:rPr>
            </w:pPr>
            <w:r>
              <w:rPr>
                <w:sz w:val="21"/>
                <w:szCs w:val="21"/>
              </w:rPr>
              <w:t>目标</w:t>
            </w:r>
          </w:p>
        </w:tc>
        <w:tc>
          <w:tcPr>
            <w:tcW w:w="7813" w:type="dxa"/>
          </w:tcPr>
          <w:p>
            <w:pPr>
              <w:pStyle w:val="3"/>
              <w:pageBreakBefore w:val="0"/>
              <w:numPr>
                <w:ilvl w:val="0"/>
                <w:numId w:val="0"/>
              </w:numPr>
              <w:tabs>
                <w:tab w:val="clear" w:pos="0"/>
              </w:tabs>
              <w:kinsoku/>
              <w:wordWrap/>
              <w:overflowPunct/>
              <w:topLinePunct w:val="0"/>
              <w:autoSpaceDE/>
              <w:autoSpaceDN/>
              <w:bidi w:val="0"/>
              <w:adjustRightInd/>
              <w:snapToGrid/>
              <w:spacing w:beforeLines="0" w:afterLines="0" w:line="360" w:lineRule="auto"/>
              <w:textAlignment w:val="auto"/>
            </w:pPr>
            <w:r>
              <w:rPr>
                <w:rFonts w:hint="eastAsia"/>
              </w:rPr>
              <w:t>主要环境保护目标</w:t>
            </w:r>
          </w:p>
          <w:p>
            <w:pPr>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rPr>
            </w:pPr>
            <w:r>
              <w:rPr>
                <w:rFonts w:hint="eastAsia"/>
              </w:rPr>
              <w:t>项目位于</w:t>
            </w:r>
            <w:r>
              <w:rPr>
                <w:rFonts w:hint="eastAsia"/>
                <w:lang w:val="en-US" w:eastAsia="zh-CN"/>
              </w:rPr>
              <w:t>新疆吐鲁番市托克逊县</w:t>
            </w:r>
            <w:r>
              <w:rPr>
                <w:rFonts w:hint="eastAsia"/>
              </w:rPr>
              <w:t>。根据对建设项目所在地周边环境现状的踏勘，</w:t>
            </w:r>
          </w:p>
          <w:p>
            <w:pPr>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rPr>
            </w:pPr>
            <w:r>
              <w:rPr>
                <w:rFonts w:hint="eastAsia" w:ascii="Times New Roman" w:hAnsi="Times New Roman" w:eastAsia="宋体" w:cstheme="minorBidi"/>
                <w:kern w:val="2"/>
                <w:sz w:val="24"/>
                <w:szCs w:val="24"/>
                <w:lang w:val="en-US" w:eastAsia="zh-CN" w:bidi="ar-SA"/>
              </w:rPr>
              <w:t>1、</w:t>
            </w:r>
            <w:r>
              <w:rPr>
                <w:rFonts w:hint="eastAsia"/>
              </w:rPr>
              <w:t>大气环境：根据现场调查，本项目500m范围内无自然保护区、风景名胜区、居住区、文化区和农村地区中人群较集中区域。无大气环境保护目标。</w:t>
            </w:r>
          </w:p>
          <w:p>
            <w:pPr>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rPr>
            </w:pPr>
            <w:r>
              <w:rPr>
                <w:rFonts w:hint="eastAsia"/>
              </w:rPr>
              <w:t>2、声环境：本项目50m范围内无声环境敏感点。</w:t>
            </w:r>
          </w:p>
          <w:p>
            <w:pPr>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rPr>
            </w:pPr>
            <w:r>
              <w:rPr>
                <w:rFonts w:hint="eastAsia"/>
              </w:rPr>
              <w:t>3、水环境：项目区厂界外500m内无地下水集中饮用水水源和热水、矿泉水、温泉等特殊地下水资源。保护项目区地下水环境，确保不因项目的建设污染地下水。</w:t>
            </w:r>
          </w:p>
          <w:p>
            <w:pPr>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textAlignment w:val="auto"/>
            </w:pPr>
            <w:r>
              <w:rPr>
                <w:rFonts w:hint="eastAsia"/>
                <w:color w:val="auto"/>
                <w:lang w:val="en-US" w:eastAsia="zh-CN"/>
              </w:rPr>
              <w:t>4</w:t>
            </w:r>
            <w:r>
              <w:rPr>
                <w:rFonts w:hint="eastAsia"/>
                <w:color w:val="auto"/>
              </w:rPr>
              <w:t>、生态环境：本项目区</w:t>
            </w:r>
            <w:r>
              <w:rPr>
                <w:rFonts w:hint="eastAsia"/>
                <w:color w:val="auto"/>
                <w:lang w:val="en-US" w:eastAsia="zh-CN"/>
              </w:rPr>
              <w:t>戈壁荒滩（无植被区域）</w:t>
            </w:r>
            <w:r>
              <w:rPr>
                <w:rFonts w:hint="eastAsia"/>
                <w:color w:val="auto"/>
              </w:rPr>
              <w:t>，</w:t>
            </w:r>
            <w:r>
              <w:rPr>
                <w:rFonts w:hint="default" w:ascii="Times New Roman" w:hAnsi="Times New Roman" w:cs="Times New Roman"/>
                <w:color w:val="auto"/>
              </w:rPr>
              <w:t>在项目区服务期结束后进行土地复垦</w:t>
            </w:r>
            <w:r>
              <w:rPr>
                <w:rFonts w:hint="eastAsia" w:ascii="Times New Roman" w:hAnsi="Times New Roman" w:cs="Times New Roman"/>
                <w:color w:val="auto"/>
                <w:lang w:eastAsia="zh-CN"/>
              </w:rPr>
              <w:t>，</w:t>
            </w:r>
            <w:r>
              <w:rPr>
                <w:rFonts w:hint="default" w:ascii="Times New Roman" w:hAnsi="Times New Roman" w:cs="Times New Roman"/>
                <w:color w:val="auto"/>
                <w:szCs w:val="28"/>
              </w:rPr>
              <w:t>复垦土地类型为</w:t>
            </w:r>
            <w:r>
              <w:rPr>
                <w:rFonts w:hint="default" w:ascii="Times New Roman" w:hAnsi="Times New Roman" w:eastAsia="宋体" w:cs="Times New Roman"/>
                <w:color w:val="auto"/>
                <w:sz w:val="24"/>
                <w:szCs w:val="24"/>
                <w:highlight w:val="none"/>
              </w:rPr>
              <w:t>采矿用地</w:t>
            </w:r>
            <w:r>
              <w:rPr>
                <w:rFonts w:hint="eastAsia" w:ascii="Times New Roman" w:hAnsi="Times New Roman" w:eastAsia="宋体" w:cs="Times New Roman"/>
                <w:color w:val="auto"/>
                <w:lang w:eastAsia="zh-CN"/>
              </w:rPr>
              <w:t>、</w:t>
            </w:r>
            <w:r>
              <w:rPr>
                <w:rFonts w:hint="default" w:ascii="Times New Roman" w:hAnsi="Times New Roman" w:cs="Times New Roman"/>
                <w:color w:val="auto"/>
                <w:lang w:eastAsia="zh-CN"/>
              </w:rPr>
              <w:t>裸岩石砾地</w:t>
            </w:r>
            <w:r>
              <w:rPr>
                <w:rFonts w:hint="eastAsia" w:ascii="Times New Roman" w:hAnsi="Times New Roman" w:cs="Times New Roman"/>
                <w:color w:val="auto"/>
                <w:lang w:eastAsia="zh-CN"/>
              </w:rPr>
              <w:t>，复垦责任范围面积</w:t>
            </w:r>
            <w:r>
              <w:rPr>
                <w:rFonts w:hint="default" w:ascii="Times New Roman" w:hAnsi="Times New Roman" w:cs="Times New Roman"/>
                <w:color w:val="auto"/>
              </w:rPr>
              <w:t>18.20公顷</w:t>
            </w:r>
            <w:r>
              <w:rPr>
                <w:rFonts w:hint="default" w:ascii="Times New Roman" w:hAnsi="Times New Roman" w:cs="Times New Roman"/>
                <w:color w:val="auto"/>
                <w:szCs w:val="28"/>
              </w:rPr>
              <w:t>。</w:t>
            </w:r>
            <w:r>
              <w:rPr>
                <w:rFonts w:hint="default" w:ascii="Times New Roman" w:hAnsi="Times New Roman" w:cs="Times New Roman"/>
                <w:color w:val="auto"/>
                <w:kern w:val="0"/>
              </w:rPr>
              <w:t>通过本次复垦，改善当地生态环境，使破坏的生态环境，使破坏的土</w:t>
            </w:r>
            <w:r>
              <w:rPr>
                <w:rFonts w:hint="eastAsia" w:ascii="宋体" w:hAnsi="宋体"/>
                <w:color w:val="auto"/>
                <w:kern w:val="0"/>
              </w:rPr>
              <w:t>地得到恢复</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pPr>
              <w:pStyle w:val="31"/>
              <w:pageBreakBefore w:val="0"/>
              <w:widowControl w:val="0"/>
              <w:kinsoku/>
              <w:wordWrap w:val="0"/>
              <w:overflowPunct/>
              <w:topLinePunct w:val="0"/>
              <w:autoSpaceDE/>
              <w:autoSpaceDN/>
              <w:bidi w:val="0"/>
              <w:adjustRightInd/>
              <w:snapToGrid/>
              <w:textAlignment w:val="auto"/>
              <w:rPr>
                <w:rFonts w:hint="default"/>
              </w:rPr>
            </w:pPr>
            <w:r>
              <w:t>评价标准</w:t>
            </w:r>
          </w:p>
        </w:tc>
        <w:tc>
          <w:tcPr>
            <w:tcW w:w="7813" w:type="dxa"/>
          </w:tcPr>
          <w:p>
            <w:pPr>
              <w:pStyle w:val="3"/>
              <w:keepNext/>
              <w:keepLines/>
              <w:pageBreakBefore w:val="0"/>
              <w:widowControl w:val="0"/>
              <w:numPr>
                <w:ilvl w:val="0"/>
                <w:numId w:val="0"/>
              </w:numPr>
              <w:kinsoku/>
              <w:wordWrap w:val="0"/>
              <w:overflowPunct/>
              <w:topLinePunct w:val="0"/>
              <w:autoSpaceDE/>
              <w:autoSpaceDN/>
              <w:bidi w:val="0"/>
              <w:adjustRightInd/>
              <w:snapToGrid/>
              <w:spacing w:beforeLines="0" w:afterLines="0" w:line="360" w:lineRule="auto"/>
              <w:textAlignment w:val="auto"/>
              <w:outlineLvl w:val="1"/>
              <w:rPr>
                <w:rFonts w:hint="default" w:ascii="Times New Roman" w:hAnsi="Times New Roman" w:cs="Times New Roman"/>
              </w:rPr>
            </w:pPr>
            <w:r>
              <w:rPr>
                <w:rFonts w:hint="default" w:ascii="Times New Roman" w:hAnsi="Times New Roman" w:eastAsia="宋体" w:cs="Times New Roman"/>
                <w:b/>
                <w:kern w:val="2"/>
                <w:sz w:val="24"/>
                <w:szCs w:val="24"/>
                <w:lang w:val="en-US" w:eastAsia="zh-CN" w:bidi="ar-SA"/>
              </w:rPr>
              <w:t>1.</w:t>
            </w:r>
            <w:r>
              <w:rPr>
                <w:rFonts w:hint="default" w:ascii="Times New Roman" w:hAnsi="Times New Roman" w:cs="Times New Roman"/>
              </w:rPr>
              <w:t>环境质量标准</w:t>
            </w:r>
          </w:p>
          <w:p>
            <w:pPr>
              <w:pStyle w:val="3"/>
              <w:keepNext/>
              <w:keepLines/>
              <w:pageBreakBefore w:val="0"/>
              <w:widowControl w:val="0"/>
              <w:numPr>
                <w:ilvl w:val="0"/>
                <w:numId w:val="0"/>
              </w:numPr>
              <w:kinsoku/>
              <w:wordWrap w:val="0"/>
              <w:overflowPunct/>
              <w:topLinePunct w:val="0"/>
              <w:autoSpaceDE/>
              <w:autoSpaceDN/>
              <w:bidi w:val="0"/>
              <w:adjustRightInd/>
              <w:snapToGrid/>
              <w:spacing w:beforeLines="0" w:afterLines="0" w:line="360" w:lineRule="auto"/>
              <w:ind w:firstLine="480" w:firstLineChars="200"/>
              <w:textAlignment w:val="auto"/>
              <w:outlineLvl w:val="1"/>
              <w:rPr>
                <w:rFonts w:hint="default" w:ascii="Times New Roman" w:hAnsi="Times New Roman" w:eastAsia="宋体" w:cs="Times New Roman"/>
                <w:b w:val="0"/>
                <w:color w:val="auto"/>
                <w:kern w:val="2"/>
                <w:sz w:val="24"/>
                <w:szCs w:val="24"/>
                <w:lang w:val="en-US" w:eastAsia="zh-CN" w:bidi="ar-SA"/>
              </w:rPr>
            </w:pPr>
            <w:r>
              <w:rPr>
                <w:rFonts w:hint="default" w:ascii="Times New Roman" w:hAnsi="Times New Roman" w:eastAsia="宋体" w:cs="Times New Roman"/>
                <w:b w:val="0"/>
                <w:color w:val="auto"/>
                <w:kern w:val="2"/>
                <w:sz w:val="24"/>
                <w:szCs w:val="24"/>
                <w:lang w:val="en-US" w:eastAsia="zh-CN" w:bidi="ar-SA"/>
              </w:rPr>
              <w:t>（1）《环境空气质量标准》（GB 3095-2012）修改单中的二级标准；</w:t>
            </w:r>
          </w:p>
          <w:p>
            <w:pPr>
              <w:pStyle w:val="3"/>
              <w:keepNext/>
              <w:keepLines/>
              <w:pageBreakBefore w:val="0"/>
              <w:widowControl w:val="0"/>
              <w:numPr>
                <w:ilvl w:val="0"/>
                <w:numId w:val="0"/>
              </w:numPr>
              <w:kinsoku/>
              <w:wordWrap w:val="0"/>
              <w:overflowPunct/>
              <w:topLinePunct w:val="0"/>
              <w:autoSpaceDE/>
              <w:autoSpaceDN/>
              <w:bidi w:val="0"/>
              <w:adjustRightInd/>
              <w:snapToGrid/>
              <w:spacing w:beforeLines="0" w:afterLines="0" w:line="360" w:lineRule="auto"/>
              <w:ind w:firstLine="480" w:firstLineChars="200"/>
              <w:textAlignment w:val="auto"/>
              <w:outlineLvl w:val="1"/>
              <w:rPr>
                <w:rFonts w:hint="default" w:ascii="Times New Roman" w:hAnsi="Times New Roman" w:eastAsia="宋体" w:cs="Times New Roman"/>
                <w:b w:val="0"/>
                <w:color w:val="auto"/>
                <w:kern w:val="2"/>
                <w:sz w:val="24"/>
                <w:szCs w:val="24"/>
                <w:lang w:val="en-US" w:eastAsia="zh-CN" w:bidi="ar-SA"/>
              </w:rPr>
            </w:pPr>
            <w:r>
              <w:rPr>
                <w:rFonts w:hint="default" w:ascii="Times New Roman" w:hAnsi="Times New Roman" w:eastAsia="宋体" w:cs="Times New Roman"/>
                <w:b w:val="0"/>
                <w:color w:val="auto"/>
                <w:kern w:val="2"/>
                <w:sz w:val="24"/>
                <w:szCs w:val="24"/>
                <w:lang w:val="en-US" w:eastAsia="zh-CN" w:bidi="ar-SA"/>
              </w:rPr>
              <w:t>（2）《声环境质量标准》（GB3096-2008）中2类标准</w:t>
            </w:r>
          </w:p>
          <w:p>
            <w:pPr>
              <w:pStyle w:val="3"/>
              <w:keepNext/>
              <w:keepLines/>
              <w:pageBreakBefore w:val="0"/>
              <w:widowControl w:val="0"/>
              <w:numPr>
                <w:ilvl w:val="0"/>
                <w:numId w:val="0"/>
              </w:numPr>
              <w:kinsoku/>
              <w:wordWrap w:val="0"/>
              <w:overflowPunct/>
              <w:topLinePunct w:val="0"/>
              <w:autoSpaceDE/>
              <w:autoSpaceDN/>
              <w:bidi w:val="0"/>
              <w:adjustRightInd/>
              <w:snapToGrid/>
              <w:spacing w:beforeLines="0" w:afterLines="0" w:line="360" w:lineRule="auto"/>
              <w:textAlignment w:val="auto"/>
              <w:outlineLvl w:val="1"/>
              <w:rPr>
                <w:rFonts w:hint="default" w:ascii="Times New Roman" w:hAnsi="Times New Roman" w:cs="Times New Roman"/>
              </w:rPr>
            </w:pPr>
            <w:r>
              <w:rPr>
                <w:rFonts w:hint="default" w:ascii="Times New Roman" w:hAnsi="Times New Roman" w:eastAsia="宋体" w:cs="Times New Roman"/>
                <w:b/>
                <w:kern w:val="2"/>
                <w:sz w:val="24"/>
                <w:szCs w:val="24"/>
                <w:lang w:val="en-US" w:eastAsia="zh-CN" w:bidi="ar-SA"/>
              </w:rPr>
              <w:t>2.</w:t>
            </w:r>
            <w:r>
              <w:rPr>
                <w:rFonts w:hint="default" w:ascii="Times New Roman" w:hAnsi="Times New Roman" w:cs="Times New Roman"/>
              </w:rPr>
              <w:t>污染物排放标准</w:t>
            </w:r>
          </w:p>
          <w:p>
            <w:pPr>
              <w:pStyle w:val="4"/>
              <w:keepNext/>
              <w:keepLines/>
              <w:pageBreakBefore w:val="0"/>
              <w:widowControl w:val="0"/>
              <w:numPr>
                <w:ilvl w:val="1"/>
                <w:numId w:val="0"/>
              </w:numPr>
              <w:kinsoku/>
              <w:wordWrap w:val="0"/>
              <w:overflowPunct/>
              <w:topLinePunct w:val="0"/>
              <w:autoSpaceDE/>
              <w:autoSpaceDN/>
              <w:bidi w:val="0"/>
              <w:adjustRightInd/>
              <w:snapToGrid/>
              <w:spacing w:line="360" w:lineRule="auto"/>
              <w:ind w:firstLine="482" w:firstLineChars="200"/>
              <w:textAlignment w:val="auto"/>
              <w:outlineLvl w:val="2"/>
              <w:rPr>
                <w:rFonts w:hint="default" w:ascii="Times New Roman" w:hAnsi="Times New Roman" w:cs="Times New Roman"/>
              </w:rPr>
            </w:pPr>
            <w:r>
              <w:rPr>
                <w:rFonts w:hint="default" w:ascii="Times New Roman" w:hAnsi="Times New Roman" w:eastAsia="宋体" w:cs="Times New Roman"/>
                <w:b/>
                <w:kern w:val="2"/>
                <w:sz w:val="24"/>
                <w:szCs w:val="24"/>
                <w:lang w:val="en-US" w:eastAsia="zh-CN" w:bidi="ar-SA"/>
              </w:rPr>
              <w:t>2.1.</w:t>
            </w:r>
            <w:r>
              <w:rPr>
                <w:rFonts w:hint="default" w:ascii="Times New Roman" w:hAnsi="Times New Roman" w:cs="Times New Roman"/>
              </w:rPr>
              <w:t>废气</w:t>
            </w:r>
          </w:p>
          <w:p>
            <w:pPr>
              <w:pageBreakBefore w:val="0"/>
              <w:widowControl w:val="0"/>
              <w:kinsoku/>
              <w:wordWrap w:val="0"/>
              <w:overflowPunct/>
              <w:topLinePunct w:val="0"/>
              <w:autoSpaceDE/>
              <w:autoSpaceDN/>
              <w:bidi w:val="0"/>
              <w:adjustRightInd/>
              <w:snapToGrid/>
              <w:ind w:firstLine="480"/>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cs="Times New Roman"/>
              </w:rPr>
              <w:t>本项目施工期废气执行《大气污染物综合排放标准》（GB16297-1996）中无组织排放监控浓度限值。</w:t>
            </w:r>
          </w:p>
          <w:p>
            <w:pPr>
              <w:keepNext w:val="0"/>
              <w:keepLines w:val="0"/>
              <w:pageBreakBefore w:val="0"/>
              <w:widowControl w:val="0"/>
              <w:kinsoku/>
              <w:wordWrap w:val="0"/>
              <w:overflowPunct/>
              <w:topLinePunct w:val="0"/>
              <w:autoSpaceDE/>
              <w:autoSpaceDN/>
              <w:bidi w:val="0"/>
              <w:adjustRightInd/>
              <w:snapToGrid/>
              <w:spacing w:line="240" w:lineRule="auto"/>
              <w:ind w:firstLine="482"/>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表3-</w:t>
            </w:r>
            <w:r>
              <w:rPr>
                <w:rFonts w:hint="eastAsia" w:cs="Times New Roman"/>
                <w:b/>
                <w:sz w:val="21"/>
                <w:szCs w:val="21"/>
                <w:lang w:val="en-US" w:eastAsia="zh-CN"/>
              </w:rPr>
              <w:t xml:space="preserve">4  </w:t>
            </w:r>
            <w:r>
              <w:rPr>
                <w:rFonts w:hint="default" w:ascii="Times New Roman" w:hAnsi="Times New Roman" w:cs="Times New Roman"/>
                <w:b/>
                <w:sz w:val="21"/>
                <w:szCs w:val="21"/>
              </w:rPr>
              <w:t>大气污染物综合排放标准 单位：mg/m</w:t>
            </w:r>
            <w:r>
              <w:rPr>
                <w:rFonts w:hint="default" w:ascii="Times New Roman" w:hAnsi="Times New Roman" w:cs="Times New Roman"/>
                <w:b/>
                <w:sz w:val="21"/>
                <w:szCs w:val="21"/>
                <w:vertAlign w:val="superscript"/>
              </w:rPr>
              <w:t>3</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1"/>
              <w:gridCol w:w="3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499" w:type="pct"/>
                  <w:vAlign w:val="center"/>
                </w:tcPr>
                <w:p>
                  <w:pPr>
                    <w:pStyle w:val="27"/>
                    <w:pageBreakBefore w:val="0"/>
                    <w:widowControl w:val="0"/>
                    <w:kinsoku/>
                    <w:wordWrap w:val="0"/>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污染物类型</w:t>
                  </w:r>
                </w:p>
              </w:tc>
              <w:tc>
                <w:tcPr>
                  <w:tcW w:w="2500" w:type="pct"/>
                  <w:vAlign w:val="center"/>
                </w:tcPr>
                <w:p>
                  <w:pPr>
                    <w:pStyle w:val="27"/>
                    <w:pageBreakBefore w:val="0"/>
                    <w:widowControl w:val="0"/>
                    <w:kinsoku/>
                    <w:wordWrap w:val="0"/>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无组织排放监控浓度限制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499" w:type="pct"/>
                  <w:vAlign w:val="center"/>
                </w:tcPr>
                <w:p>
                  <w:pPr>
                    <w:pStyle w:val="27"/>
                    <w:pageBreakBefore w:val="0"/>
                    <w:widowControl w:val="0"/>
                    <w:kinsoku/>
                    <w:wordWrap w:val="0"/>
                    <w:overflowPunct/>
                    <w:topLinePunct w:val="0"/>
                    <w:autoSpaceDE/>
                    <w:autoSpaceDN/>
                    <w:bidi w:val="0"/>
                    <w:adjustRightInd/>
                    <w:snapToGrid/>
                    <w:textAlignment w:val="auto"/>
                    <w:rPr>
                      <w:rFonts w:hint="default" w:ascii="Times New Roman" w:hAnsi="Times New Roman" w:cs="Times New Roman"/>
                      <w:b w:val="0"/>
                      <w:bCs/>
                    </w:rPr>
                  </w:pPr>
                  <w:r>
                    <w:rPr>
                      <w:rFonts w:hint="default" w:ascii="Times New Roman" w:hAnsi="Times New Roman" w:cs="Times New Roman"/>
                      <w:b w:val="0"/>
                      <w:bCs/>
                    </w:rPr>
                    <w:t>颗粒物</w:t>
                  </w:r>
                </w:p>
              </w:tc>
              <w:tc>
                <w:tcPr>
                  <w:tcW w:w="2500" w:type="pct"/>
                  <w:vAlign w:val="center"/>
                </w:tcPr>
                <w:p>
                  <w:pPr>
                    <w:pStyle w:val="27"/>
                    <w:pageBreakBefore w:val="0"/>
                    <w:widowControl w:val="0"/>
                    <w:kinsoku/>
                    <w:wordWrap w:val="0"/>
                    <w:overflowPunct/>
                    <w:topLinePunct w:val="0"/>
                    <w:autoSpaceDE/>
                    <w:autoSpaceDN/>
                    <w:bidi w:val="0"/>
                    <w:adjustRightInd/>
                    <w:snapToGrid/>
                    <w:textAlignment w:val="auto"/>
                    <w:rPr>
                      <w:rFonts w:hint="default" w:ascii="Times New Roman" w:hAnsi="Times New Roman" w:cs="Times New Roman"/>
                      <w:b w:val="0"/>
                      <w:bCs/>
                    </w:rPr>
                  </w:pPr>
                  <w:r>
                    <w:rPr>
                      <w:rFonts w:hint="default" w:ascii="Times New Roman" w:hAnsi="Times New Roman" w:cs="Times New Roman"/>
                      <w:b w:val="0"/>
                      <w:bCs/>
                    </w:rPr>
                    <w:t>1.0</w:t>
                  </w:r>
                </w:p>
              </w:tc>
            </w:tr>
          </w:tbl>
          <w:p>
            <w:pPr>
              <w:pageBreakBefore w:val="0"/>
              <w:widowControl w:val="0"/>
              <w:kinsoku/>
              <w:wordWrap w:val="0"/>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rPr>
              <w:t>运营期颗粒物排放浓度执行《大气污染物综合排放标准》（GB16297-1996）表2标准限制。</w:t>
            </w:r>
          </w:p>
          <w:p>
            <w:pPr>
              <w:keepNext w:val="0"/>
              <w:keepLines w:val="0"/>
              <w:pageBreakBefore w:val="0"/>
              <w:widowControl w:val="0"/>
              <w:kinsoku/>
              <w:wordWrap w:val="0"/>
              <w:overflowPunct/>
              <w:topLinePunct w:val="0"/>
              <w:autoSpaceDE/>
              <w:autoSpaceDN/>
              <w:bidi w:val="0"/>
              <w:adjustRightInd/>
              <w:snapToGrid/>
              <w:spacing w:line="240" w:lineRule="auto"/>
              <w:ind w:firstLine="482"/>
              <w:jc w:val="center"/>
              <w:textAlignment w:val="auto"/>
              <w:rPr>
                <w:rFonts w:hint="default" w:ascii="Times New Roman" w:hAnsi="Times New Roman" w:cs="Times New Roman"/>
                <w:sz w:val="21"/>
                <w:szCs w:val="21"/>
              </w:rPr>
            </w:pPr>
            <w:r>
              <w:rPr>
                <w:rFonts w:hint="default" w:ascii="Times New Roman" w:hAnsi="Times New Roman" w:cs="Times New Roman"/>
                <w:b/>
                <w:sz w:val="21"/>
                <w:szCs w:val="21"/>
              </w:rPr>
              <w:t>表3-</w:t>
            </w:r>
            <w:r>
              <w:rPr>
                <w:rFonts w:hint="eastAsia" w:cs="Times New Roman"/>
                <w:b/>
                <w:sz w:val="21"/>
                <w:szCs w:val="21"/>
                <w:lang w:val="en-US" w:eastAsia="zh-CN"/>
              </w:rPr>
              <w:t xml:space="preserve">5  </w:t>
            </w:r>
            <w:r>
              <w:rPr>
                <w:rFonts w:hint="default" w:ascii="Times New Roman" w:hAnsi="Times New Roman" w:cs="Times New Roman"/>
                <w:b/>
                <w:sz w:val="21"/>
                <w:szCs w:val="21"/>
              </w:rPr>
              <w:t xml:space="preserve"> 大气污染物</w:t>
            </w:r>
            <w:r>
              <w:rPr>
                <w:rFonts w:hint="default" w:ascii="Times New Roman" w:hAnsi="Times New Roman" w:cs="Times New Roman"/>
                <w:b/>
                <w:sz w:val="21"/>
                <w:szCs w:val="21"/>
                <w:lang w:eastAsia="zh-CN"/>
              </w:rPr>
              <w:t>有组织</w:t>
            </w:r>
            <w:r>
              <w:rPr>
                <w:rFonts w:hint="default" w:ascii="Times New Roman" w:hAnsi="Times New Roman" w:cs="Times New Roman"/>
                <w:b/>
                <w:sz w:val="21"/>
                <w:szCs w:val="21"/>
              </w:rPr>
              <w:t>排放限值</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2355"/>
              <w:gridCol w:w="1590"/>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350" w:type="pct"/>
                </w:tcPr>
                <w:p>
                  <w:pPr>
                    <w:pageBreakBefore w:val="0"/>
                    <w:widowControl w:val="0"/>
                    <w:kinsoku/>
                    <w:wordWrap w:val="0"/>
                    <w:overflowPunct/>
                    <w:topLinePunct w:val="0"/>
                    <w:autoSpaceDE/>
                    <w:autoSpaceDN/>
                    <w:bidi w:val="0"/>
                    <w:adjustRightInd/>
                    <w:snapToGrid/>
                    <w:spacing w:afterLines="50" w:line="240" w:lineRule="auto"/>
                    <w:ind w:left="0" w:leftChars="0" w:firstLine="0" w:firstLineChars="0"/>
                    <w:jc w:val="center"/>
                    <w:textAlignment w:val="auto"/>
                    <w:rPr>
                      <w:rFonts w:hint="default" w:ascii="Times New Roman" w:hAnsi="Times New Roman" w:cs="Times New Roman"/>
                      <w:b/>
                      <w:sz w:val="21"/>
                      <w:szCs w:val="21"/>
                      <w:lang w:eastAsia="zh-CN"/>
                    </w:rPr>
                  </w:pPr>
                  <w:r>
                    <w:rPr>
                      <w:rFonts w:hint="default" w:ascii="Times New Roman" w:hAnsi="Times New Roman" w:cs="Times New Roman"/>
                      <w:b/>
                      <w:sz w:val="21"/>
                      <w:szCs w:val="21"/>
                      <w:lang w:eastAsia="zh-CN"/>
                    </w:rPr>
                    <w:t>污染物</w:t>
                  </w:r>
                </w:p>
              </w:tc>
              <w:tc>
                <w:tcPr>
                  <w:tcW w:w="1552" w:type="pct"/>
                </w:tcPr>
                <w:p>
                  <w:pPr>
                    <w:pageBreakBefore w:val="0"/>
                    <w:widowControl w:val="0"/>
                    <w:kinsoku/>
                    <w:wordWrap w:val="0"/>
                    <w:overflowPunct/>
                    <w:topLinePunct w:val="0"/>
                    <w:autoSpaceDE/>
                    <w:autoSpaceDN/>
                    <w:bidi w:val="0"/>
                    <w:adjustRightInd/>
                    <w:snapToGrid/>
                    <w:spacing w:afterLines="50" w:line="240" w:lineRule="auto"/>
                    <w:ind w:left="0" w:leftChars="0" w:firstLine="0" w:firstLineChars="0"/>
                    <w:jc w:val="center"/>
                    <w:textAlignment w:val="auto"/>
                    <w:rPr>
                      <w:rFonts w:hint="default" w:ascii="Times New Roman" w:hAnsi="Times New Roman" w:cs="Times New Roman"/>
                      <w:b/>
                      <w:sz w:val="21"/>
                      <w:szCs w:val="21"/>
                      <w:lang w:eastAsia="zh-CN"/>
                    </w:rPr>
                  </w:pPr>
                  <w:r>
                    <w:rPr>
                      <w:rFonts w:hint="default" w:ascii="Times New Roman" w:hAnsi="Times New Roman" w:cs="Times New Roman"/>
                      <w:b/>
                      <w:sz w:val="21"/>
                      <w:szCs w:val="21"/>
                      <w:lang w:eastAsia="zh-CN"/>
                    </w:rPr>
                    <w:t>有组织排放标准限值</w:t>
                  </w:r>
                </w:p>
              </w:tc>
              <w:tc>
                <w:tcPr>
                  <w:tcW w:w="1048" w:type="pct"/>
                </w:tcPr>
                <w:p>
                  <w:pPr>
                    <w:pageBreakBefore w:val="0"/>
                    <w:widowControl w:val="0"/>
                    <w:kinsoku/>
                    <w:wordWrap w:val="0"/>
                    <w:overflowPunct/>
                    <w:topLinePunct w:val="0"/>
                    <w:autoSpaceDE/>
                    <w:autoSpaceDN/>
                    <w:bidi w:val="0"/>
                    <w:adjustRightInd/>
                    <w:snapToGrid/>
                    <w:spacing w:afterLines="50" w:line="240" w:lineRule="auto"/>
                    <w:ind w:left="0" w:leftChars="0" w:firstLine="0" w:firstLineChars="0"/>
                    <w:jc w:val="center"/>
                    <w:textAlignment w:val="auto"/>
                    <w:rPr>
                      <w:rFonts w:hint="default" w:ascii="Times New Roman" w:hAnsi="Times New Roman" w:cs="Times New Roman"/>
                      <w:b/>
                      <w:sz w:val="21"/>
                      <w:szCs w:val="21"/>
                      <w:lang w:eastAsia="zh-CN"/>
                    </w:rPr>
                  </w:pPr>
                  <w:r>
                    <w:rPr>
                      <w:rFonts w:hint="default" w:ascii="Times New Roman" w:hAnsi="Times New Roman" w:cs="Times New Roman"/>
                      <w:b/>
                      <w:sz w:val="21"/>
                      <w:szCs w:val="21"/>
                      <w:lang w:eastAsia="zh-CN"/>
                    </w:rPr>
                    <w:t>排放速率</w:t>
                  </w:r>
                </w:p>
              </w:tc>
              <w:tc>
                <w:tcPr>
                  <w:tcW w:w="1048" w:type="pct"/>
                </w:tcPr>
                <w:p>
                  <w:pPr>
                    <w:pageBreakBefore w:val="0"/>
                    <w:widowControl w:val="0"/>
                    <w:kinsoku/>
                    <w:wordWrap w:val="0"/>
                    <w:overflowPunct/>
                    <w:topLinePunct w:val="0"/>
                    <w:autoSpaceDE/>
                    <w:autoSpaceDN/>
                    <w:bidi w:val="0"/>
                    <w:adjustRightInd/>
                    <w:snapToGrid/>
                    <w:spacing w:afterLines="50" w:line="240" w:lineRule="auto"/>
                    <w:ind w:left="0" w:leftChars="0" w:firstLine="0" w:firstLineChars="0"/>
                    <w:jc w:val="center"/>
                    <w:textAlignment w:val="auto"/>
                    <w:rPr>
                      <w:rFonts w:hint="default" w:ascii="Times New Roman" w:hAnsi="Times New Roman" w:cs="Times New Roman"/>
                      <w:b/>
                      <w:sz w:val="21"/>
                      <w:szCs w:val="21"/>
                      <w:lang w:val="en-US" w:eastAsia="zh-CN"/>
                    </w:rPr>
                  </w:pPr>
                  <w:r>
                    <w:rPr>
                      <w:rFonts w:hint="default" w:ascii="Times New Roman" w:hAnsi="Times New Roman" w:cs="Times New Roman"/>
                      <w:b/>
                      <w:sz w:val="21"/>
                      <w:szCs w:val="21"/>
                      <w:lang w:val="en-US" w:eastAsia="zh-CN"/>
                    </w:rPr>
                    <w:t>排气筒高度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350" w:type="pct"/>
                  <w:vAlign w:val="center"/>
                </w:tcPr>
                <w:p>
                  <w:pPr>
                    <w:pStyle w:val="48"/>
                    <w:pageBreakBefore w:val="0"/>
                    <w:widowControl w:val="0"/>
                    <w:kinsoku/>
                    <w:wordWrap w:val="0"/>
                    <w:overflowPunct/>
                    <w:topLinePunct w:val="0"/>
                    <w:autoSpaceDE/>
                    <w:autoSpaceDN/>
                    <w:bidi w:val="0"/>
                    <w:adjustRightInd/>
                    <w:snapToGrid/>
                    <w:spacing w:line="240" w:lineRule="auto"/>
                    <w:ind w:firstLine="630" w:firstLineChars="300"/>
                    <w:jc w:val="both"/>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颗粒物</w:t>
                  </w:r>
                </w:p>
              </w:tc>
              <w:tc>
                <w:tcPr>
                  <w:tcW w:w="1552" w:type="pct"/>
                  <w:vAlign w:val="center"/>
                </w:tcPr>
                <w:p>
                  <w:pPr>
                    <w:pStyle w:val="48"/>
                    <w:pageBreakBefore w:val="0"/>
                    <w:widowControl w:val="0"/>
                    <w:kinsoku/>
                    <w:wordWrap w:val="0"/>
                    <w:overflowPunct/>
                    <w:topLinePunct w:val="0"/>
                    <w:autoSpaceDE/>
                    <w:autoSpaceDN/>
                    <w:bidi w:val="0"/>
                    <w:adjustRightInd/>
                    <w:snapToGrid/>
                    <w:spacing w:line="240" w:lineRule="auto"/>
                    <w:ind w:left="0" w:leftChars="0" w:firstLine="210" w:firstLineChars="10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120mg/m</w:t>
                  </w:r>
                  <w:r>
                    <w:rPr>
                      <w:rFonts w:hint="default" w:ascii="Times New Roman" w:hAnsi="Times New Roman" w:cs="Times New Roman"/>
                      <w:sz w:val="21"/>
                      <w:szCs w:val="21"/>
                      <w:vertAlign w:val="superscript"/>
                    </w:rPr>
                    <w:t>3</w:t>
                  </w:r>
                </w:p>
              </w:tc>
              <w:tc>
                <w:tcPr>
                  <w:tcW w:w="1048" w:type="pct"/>
                  <w:vAlign w:val="center"/>
                </w:tcPr>
                <w:p>
                  <w:pPr>
                    <w:pStyle w:val="48"/>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3.5kg/h</w:t>
                  </w:r>
                </w:p>
              </w:tc>
              <w:tc>
                <w:tcPr>
                  <w:tcW w:w="1048" w:type="pct"/>
                  <w:vAlign w:val="center"/>
                </w:tcPr>
                <w:p>
                  <w:pPr>
                    <w:pStyle w:val="48"/>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15m</w:t>
                  </w:r>
                </w:p>
              </w:tc>
            </w:tr>
          </w:tbl>
          <w:p>
            <w:pPr>
              <w:keepNext w:val="0"/>
              <w:keepLines w:val="0"/>
              <w:pageBreakBefore w:val="0"/>
              <w:widowControl w:val="0"/>
              <w:kinsoku/>
              <w:wordWrap w:val="0"/>
              <w:overflowPunct/>
              <w:topLinePunct w:val="0"/>
              <w:autoSpaceDE/>
              <w:autoSpaceDN/>
              <w:bidi w:val="0"/>
              <w:adjustRightInd/>
              <w:snapToGrid/>
              <w:spacing w:line="240" w:lineRule="auto"/>
              <w:ind w:firstLine="482"/>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表3-</w:t>
            </w:r>
            <w:r>
              <w:rPr>
                <w:rFonts w:hint="eastAsia" w:cs="Times New Roman"/>
                <w:b/>
                <w:sz w:val="21"/>
                <w:szCs w:val="21"/>
                <w:lang w:val="en-US" w:eastAsia="zh-CN"/>
              </w:rPr>
              <w:t xml:space="preserve">6 </w:t>
            </w:r>
            <w:r>
              <w:rPr>
                <w:rFonts w:hint="default" w:ascii="Times New Roman" w:hAnsi="Times New Roman" w:eastAsia="宋体" w:cs="Times New Roman"/>
                <w:b/>
                <w:sz w:val="21"/>
                <w:szCs w:val="21"/>
              </w:rPr>
              <w:t xml:space="preserve"> 大气污染物</w:t>
            </w:r>
            <w:r>
              <w:rPr>
                <w:rFonts w:hint="default" w:ascii="Times New Roman" w:hAnsi="Times New Roman" w:eastAsia="宋体" w:cs="Times New Roman"/>
                <w:b/>
                <w:sz w:val="21"/>
                <w:szCs w:val="21"/>
                <w:lang w:eastAsia="zh-CN"/>
              </w:rPr>
              <w:t>无组织</w:t>
            </w:r>
            <w:r>
              <w:rPr>
                <w:rFonts w:hint="default" w:ascii="Times New Roman" w:hAnsi="Times New Roman" w:eastAsia="宋体" w:cs="Times New Roman"/>
                <w:b/>
                <w:sz w:val="21"/>
                <w:szCs w:val="21"/>
              </w:rPr>
              <w:t>排放限值一览表</w:t>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5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386" w:type="pct"/>
                  <w:vAlign w:val="center"/>
                </w:tcPr>
                <w:p>
                  <w:pPr>
                    <w:pageBreakBefore w:val="0"/>
                    <w:widowControl w:val="0"/>
                    <w:kinsoku/>
                    <w:wordWrap w:val="0"/>
                    <w:overflowPunct/>
                    <w:topLinePunct w:val="0"/>
                    <w:autoSpaceDE/>
                    <w:autoSpaceDN/>
                    <w:bidi w:val="0"/>
                    <w:adjustRightInd/>
                    <w:snapToGrid/>
                    <w:spacing w:afterLines="50" w:line="240" w:lineRule="auto"/>
                    <w:ind w:left="0" w:leftChars="0" w:firstLine="0" w:firstLineChars="0"/>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污染物</w:t>
                  </w:r>
                </w:p>
              </w:tc>
              <w:tc>
                <w:tcPr>
                  <w:tcW w:w="3613" w:type="pct"/>
                  <w:vAlign w:val="center"/>
                </w:tcPr>
                <w:p>
                  <w:pPr>
                    <w:pageBreakBefore w:val="0"/>
                    <w:widowControl w:val="0"/>
                    <w:kinsoku/>
                    <w:wordWrap w:val="0"/>
                    <w:overflowPunct/>
                    <w:topLinePunct w:val="0"/>
                    <w:autoSpaceDE/>
                    <w:autoSpaceDN/>
                    <w:bidi w:val="0"/>
                    <w:adjustRightInd/>
                    <w:snapToGrid/>
                    <w:spacing w:afterLines="50" w:line="240" w:lineRule="auto"/>
                    <w:ind w:left="0" w:leftChars="0" w:firstLine="0" w:firstLineChars="0"/>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无组织排放厂界标准值（二级）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386" w:type="pct"/>
                  <w:vAlign w:val="center"/>
                </w:tcPr>
                <w:p>
                  <w:pPr>
                    <w:pStyle w:val="48"/>
                    <w:pageBreakBefore w:val="0"/>
                    <w:widowControl w:val="0"/>
                    <w:kinsoku/>
                    <w:wordWrap w:val="0"/>
                    <w:overflowPunct/>
                    <w:topLinePunct w:val="0"/>
                    <w:autoSpaceDE/>
                    <w:autoSpaceDN/>
                    <w:bidi w:val="0"/>
                    <w:adjustRightInd/>
                    <w:snapToGrid/>
                    <w:spacing w:line="240" w:lineRule="auto"/>
                    <w:ind w:left="0" w:leftChars="0" w:firstLine="630" w:firstLineChars="3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颗粒物</w:t>
                  </w:r>
                </w:p>
              </w:tc>
              <w:tc>
                <w:tcPr>
                  <w:tcW w:w="3613" w:type="pct"/>
                  <w:vAlign w:val="center"/>
                </w:tcPr>
                <w:p>
                  <w:pPr>
                    <w:pStyle w:val="48"/>
                    <w:pageBreakBefore w:val="0"/>
                    <w:widowControl w:val="0"/>
                    <w:kinsoku/>
                    <w:wordWrap w:val="0"/>
                    <w:overflowPunct/>
                    <w:topLinePunct w:val="0"/>
                    <w:autoSpaceDE/>
                    <w:autoSpaceDN/>
                    <w:bidi w:val="0"/>
                    <w:adjustRightInd/>
                    <w:snapToGrid/>
                    <w:spacing w:line="240" w:lineRule="auto"/>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1.0mg/m</w:t>
                  </w:r>
                  <w:r>
                    <w:rPr>
                      <w:rFonts w:hint="default" w:ascii="Times New Roman" w:hAnsi="Times New Roman" w:cs="Times New Roman"/>
                      <w:sz w:val="21"/>
                      <w:szCs w:val="21"/>
                      <w:vertAlign w:val="superscript"/>
                    </w:rPr>
                    <w:t>3</w:t>
                  </w:r>
                </w:p>
              </w:tc>
            </w:tr>
          </w:tbl>
          <w:p>
            <w:pPr>
              <w:pageBreakBefore w:val="0"/>
              <w:widowControl w:val="0"/>
              <w:kinsoku/>
              <w:wordWrap w:val="0"/>
              <w:overflowPunct/>
              <w:topLinePunct w:val="0"/>
              <w:autoSpaceDE/>
              <w:autoSpaceDN/>
              <w:bidi w:val="0"/>
              <w:adjustRightInd/>
              <w:snapToGrid/>
              <w:textAlignment w:val="auto"/>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lang w:eastAsia="zh-CN"/>
              </w:rPr>
              <w:t>）</w:t>
            </w:r>
            <w:r>
              <w:rPr>
                <w:rFonts w:hint="default" w:ascii="Times New Roman" w:hAnsi="Times New Roman" w:cs="Times New Roman"/>
              </w:rPr>
              <w:t>餐饮油烟排放执行《饮食业油烟排放标准（试行）》（GB18483-2001）中表2</w:t>
            </w:r>
            <w:r>
              <w:rPr>
                <w:rFonts w:hint="default" w:ascii="Times New Roman" w:hAnsi="Times New Roman" w:cs="Times New Roman"/>
                <w:lang w:eastAsia="zh-CN"/>
              </w:rPr>
              <w:t>小型</w:t>
            </w:r>
            <w:r>
              <w:rPr>
                <w:rFonts w:hint="default" w:ascii="Times New Roman" w:hAnsi="Times New Roman" w:cs="Times New Roman"/>
              </w:rPr>
              <w:t>排放限值要求</w:t>
            </w:r>
            <w:r>
              <w:rPr>
                <w:rFonts w:hint="default" w:ascii="Times New Roman" w:hAnsi="Times New Roman" w:cs="Times New Roman"/>
                <w:lang w:eastAsia="zh-CN"/>
              </w:rPr>
              <w:t>。</w:t>
            </w:r>
          </w:p>
          <w:p>
            <w:pPr>
              <w:keepNext w:val="0"/>
              <w:keepLines w:val="0"/>
              <w:pageBreakBefore w:val="0"/>
              <w:widowControl w:val="0"/>
              <w:kinsoku/>
              <w:wordWrap w:val="0"/>
              <w:overflowPunct/>
              <w:topLinePunct w:val="0"/>
              <w:autoSpaceDE/>
              <w:autoSpaceDN/>
              <w:bidi w:val="0"/>
              <w:adjustRightInd/>
              <w:snapToGrid/>
              <w:spacing w:line="240" w:lineRule="auto"/>
              <w:ind w:firstLine="482"/>
              <w:jc w:val="center"/>
              <w:textAlignment w:val="auto"/>
              <w:rPr>
                <w:rFonts w:hint="default" w:ascii="Times New Roman" w:hAnsi="Times New Roman" w:eastAsia="宋体" w:cs="Times New Roman"/>
                <w:b/>
                <w:sz w:val="21"/>
                <w:szCs w:val="21"/>
                <w:lang w:eastAsia="zh-CN"/>
              </w:rPr>
            </w:pPr>
            <w:r>
              <w:rPr>
                <w:rFonts w:hint="default" w:ascii="Times New Roman" w:hAnsi="Times New Roman" w:eastAsia="宋体" w:cs="Times New Roman"/>
                <w:b/>
                <w:sz w:val="21"/>
                <w:szCs w:val="21"/>
                <w:lang w:val="en-US" w:eastAsia="zh-CN"/>
              </w:rPr>
              <w:t>表3-</w:t>
            </w:r>
            <w:r>
              <w:rPr>
                <w:rFonts w:hint="eastAsia" w:cs="Times New Roman"/>
                <w:b/>
                <w:sz w:val="21"/>
                <w:szCs w:val="21"/>
                <w:lang w:val="en-US" w:eastAsia="zh-CN"/>
              </w:rPr>
              <w:t xml:space="preserve">7  </w:t>
            </w:r>
            <w:r>
              <w:rPr>
                <w:rFonts w:hint="default" w:ascii="Times New Roman" w:hAnsi="Times New Roman" w:eastAsia="宋体" w:cs="Times New Roman"/>
                <w:b/>
                <w:sz w:val="21"/>
                <w:szCs w:val="21"/>
                <w:lang w:val="en-US" w:eastAsia="zh-CN"/>
              </w:rPr>
              <w:t xml:space="preserve"> 《饮食业油烟排放标准（试行）》（GB18483-2001）单位：mg/m</w:t>
            </w:r>
            <w:r>
              <w:rPr>
                <w:rFonts w:hint="default" w:ascii="Times New Roman" w:hAnsi="Times New Roman" w:eastAsia="宋体" w:cs="Times New Roman"/>
                <w:b/>
                <w:sz w:val="21"/>
                <w:szCs w:val="21"/>
                <w:vertAlign w:val="superscript"/>
                <w:lang w:val="en-US" w:eastAsia="zh-CN"/>
              </w:rPr>
              <w:t>3</w:t>
            </w:r>
          </w:p>
          <w:tbl>
            <w:tblPr>
              <w:tblStyle w:val="23"/>
              <w:tblW w:w="4998" w:type="pct"/>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
            <w:tblGrid>
              <w:gridCol w:w="4734"/>
              <w:gridCol w:w="2844"/>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3123" w:type="pct"/>
                  <w:tcBorders>
                    <w:tl2br w:val="nil"/>
                    <w:tr2bl w:val="nil"/>
                  </w:tcBorders>
                  <w:noWrap w:val="0"/>
                  <w:vAlign w:val="top"/>
                </w:tcPr>
                <w:p>
                  <w:pPr>
                    <w:pStyle w:val="2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rPr>
                  </w:pPr>
                  <w:r>
                    <w:rPr>
                      <w:rFonts w:hint="default" w:ascii="Times New Roman" w:hAnsi="Times New Roman" w:cs="Times New Roman"/>
                    </w:rPr>
                    <w:t>规模</w:t>
                  </w:r>
                </w:p>
              </w:tc>
              <w:tc>
                <w:tcPr>
                  <w:tcW w:w="1876" w:type="pct"/>
                  <w:tcBorders>
                    <w:tl2br w:val="nil"/>
                    <w:tr2bl w:val="nil"/>
                  </w:tcBorders>
                  <w:noWrap w:val="0"/>
                  <w:vAlign w:val="top"/>
                </w:tcPr>
                <w:p>
                  <w:pPr>
                    <w:pStyle w:val="2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rPr>
                  </w:pPr>
                  <w:r>
                    <w:rPr>
                      <w:rFonts w:hint="default" w:ascii="Times New Roman" w:hAnsi="Times New Roman" w:cs="Times New Roman"/>
                    </w:rPr>
                    <w:t>小型</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3123" w:type="pct"/>
                  <w:tcBorders>
                    <w:tl2br w:val="nil"/>
                    <w:tr2bl w:val="nil"/>
                  </w:tcBorders>
                  <w:noWrap w:val="0"/>
                  <w:vAlign w:val="top"/>
                </w:tcPr>
                <w:p>
                  <w:pPr>
                    <w:pStyle w:val="2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b w:val="0"/>
                      <w:bCs/>
                    </w:rPr>
                  </w:pPr>
                  <w:r>
                    <w:rPr>
                      <w:rFonts w:hint="default" w:ascii="Times New Roman" w:hAnsi="Times New Roman" w:cs="Times New Roman"/>
                      <w:b w:val="0"/>
                      <w:bCs/>
                    </w:rPr>
                    <w:t>最高允许排放浓度（mg/m</w:t>
                  </w:r>
                  <w:r>
                    <w:rPr>
                      <w:rFonts w:hint="default" w:ascii="Times New Roman" w:hAnsi="Times New Roman" w:cs="Times New Roman"/>
                      <w:b w:val="0"/>
                      <w:bCs/>
                      <w:vertAlign w:val="superscript"/>
                      <w:lang w:val="en-US" w:eastAsia="zh-CN"/>
                    </w:rPr>
                    <w:t>3</w:t>
                  </w:r>
                  <w:r>
                    <w:rPr>
                      <w:rFonts w:hint="default" w:ascii="Times New Roman" w:hAnsi="Times New Roman" w:cs="Times New Roman"/>
                      <w:b w:val="0"/>
                      <w:bCs/>
                    </w:rPr>
                    <w:t>）</w:t>
                  </w:r>
                </w:p>
              </w:tc>
              <w:tc>
                <w:tcPr>
                  <w:tcW w:w="1876" w:type="pct"/>
                  <w:tcBorders>
                    <w:tl2br w:val="nil"/>
                    <w:tr2bl w:val="nil"/>
                  </w:tcBorders>
                  <w:noWrap w:val="0"/>
                  <w:vAlign w:val="top"/>
                </w:tcPr>
                <w:p>
                  <w:pPr>
                    <w:pStyle w:val="2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b w:val="0"/>
                      <w:bCs/>
                    </w:rPr>
                  </w:pPr>
                  <w:r>
                    <w:rPr>
                      <w:rFonts w:hint="default" w:ascii="Times New Roman" w:hAnsi="Times New Roman" w:cs="Times New Roman"/>
                      <w:b w:val="0"/>
                      <w:bCs/>
                    </w:rPr>
                    <w:t>2.0</w:t>
                  </w:r>
                </w:p>
              </w:tc>
            </w:tr>
          </w:tbl>
          <w:p>
            <w:pPr>
              <w:pStyle w:val="4"/>
              <w:pageBreakBefore w:val="0"/>
              <w:widowControl w:val="0"/>
              <w:numPr>
                <w:ilvl w:val="1"/>
                <w:numId w:val="0"/>
              </w:numPr>
              <w:kinsoku/>
              <w:wordWrap w:val="0"/>
              <w:overflowPunct/>
              <w:topLinePunct w:val="0"/>
              <w:autoSpaceDE/>
              <w:autoSpaceDN/>
              <w:bidi w:val="0"/>
              <w:adjustRightInd/>
              <w:snapToGrid/>
              <w:ind w:firstLine="482" w:firstLineChars="200"/>
              <w:textAlignment w:val="auto"/>
              <w:outlineLvl w:val="2"/>
              <w:rPr>
                <w:rFonts w:hint="default" w:ascii="Times New Roman" w:hAnsi="Times New Roman" w:cs="Times New Roman"/>
              </w:rPr>
            </w:pPr>
            <w:r>
              <w:rPr>
                <w:rFonts w:hint="default" w:ascii="Times New Roman" w:hAnsi="Times New Roman" w:eastAsia="宋体" w:cs="Times New Roman"/>
                <w:b/>
                <w:kern w:val="2"/>
                <w:sz w:val="24"/>
                <w:szCs w:val="24"/>
                <w:lang w:val="en-US" w:eastAsia="zh-CN" w:bidi="ar-SA"/>
              </w:rPr>
              <w:t>2.2</w:t>
            </w:r>
            <w:r>
              <w:rPr>
                <w:rFonts w:hint="default" w:ascii="Times New Roman" w:hAnsi="Times New Roman" w:cs="Times New Roman"/>
              </w:rPr>
              <w:t>废水</w:t>
            </w:r>
          </w:p>
          <w:p>
            <w:pPr>
              <w:pageBreakBefore w:val="0"/>
              <w:widowControl w:val="0"/>
              <w:kinsoku/>
              <w:wordWrap w:val="0"/>
              <w:overflowPunct/>
              <w:topLinePunct w:val="0"/>
              <w:autoSpaceDE/>
              <w:autoSpaceDN/>
              <w:bidi w:val="0"/>
              <w:adjustRightInd/>
              <w:snapToGrid/>
              <w:textAlignment w:val="auto"/>
              <w:rPr>
                <w:rFonts w:hint="default" w:ascii="Times New Roman" w:hAnsi="Times New Roman" w:eastAsia="宋体" w:cs="Times New Roman"/>
                <w:b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lang w:val="en-US" w:eastAsia="zh-CN"/>
              </w:rPr>
              <w:t>本项目生产废水沉淀收集回用，不外排；洗车废水经过沉淀池沉淀后回用，不外排；</w:t>
            </w:r>
            <w:r>
              <w:rPr>
                <w:rFonts w:hint="default" w:ascii="Times New Roman" w:hAnsi="Times New Roman" w:eastAsia="宋体" w:cs="Times New Roman"/>
                <w:b w:val="0"/>
                <w:kern w:val="2"/>
                <w:sz w:val="24"/>
                <w:szCs w:val="24"/>
                <w:highlight w:val="none"/>
                <w:lang w:val="en-US" w:eastAsia="zh-CN" w:bidi="ar-SA"/>
              </w:rPr>
              <w:t>食堂废水经隔油处理后与其他生活污水经地埋式一体化污水处理设施处理后用于场地洒</w:t>
            </w:r>
            <w:r>
              <w:rPr>
                <w:rFonts w:hint="default" w:ascii="Times New Roman" w:hAnsi="Times New Roman" w:eastAsia="宋体" w:cs="Times New Roman"/>
                <w:b w:val="0"/>
                <w:color w:val="000000" w:themeColor="text1"/>
                <w:kern w:val="2"/>
                <w:sz w:val="24"/>
                <w:szCs w:val="24"/>
                <w:highlight w:val="none"/>
                <w:lang w:val="en-US" w:eastAsia="zh-CN" w:bidi="ar-SA"/>
                <w14:textFill>
                  <w14:solidFill>
                    <w14:schemeClr w14:val="tx1"/>
                  </w14:solidFill>
                </w14:textFill>
              </w:rPr>
              <w:t>水抑尘。生活污水应满足《农村生活污水处理排放标准》（DB65</w:t>
            </w:r>
            <w:r>
              <w:rPr>
                <w:rFonts w:hint="default" w:ascii="Times New Roman" w:hAnsi="Times New Roman" w:cs="Times New Roman"/>
                <w:b w:val="0"/>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宋体" w:cs="Times New Roman"/>
                <w:b w:val="0"/>
                <w:color w:val="000000" w:themeColor="text1"/>
                <w:kern w:val="2"/>
                <w:sz w:val="24"/>
                <w:szCs w:val="24"/>
                <w:highlight w:val="none"/>
                <w:lang w:val="en-US" w:eastAsia="zh-CN" w:bidi="ar-SA"/>
                <w14:textFill>
                  <w14:solidFill>
                    <w14:schemeClr w14:val="tx1"/>
                  </w14:solidFill>
                </w14:textFill>
              </w:rPr>
              <w:t>4275―2019）表2中B级标准要求。</w:t>
            </w:r>
          </w:p>
          <w:p>
            <w:pPr>
              <w:keepNext w:val="0"/>
              <w:keepLines w:val="0"/>
              <w:pageBreakBefore w:val="0"/>
              <w:widowControl w:val="0"/>
              <w:kinsoku/>
              <w:wordWrap w:val="0"/>
              <w:overflowPunct/>
              <w:topLinePunct w:val="0"/>
              <w:autoSpaceDE/>
              <w:autoSpaceDN/>
              <w:bidi w:val="0"/>
              <w:adjustRightInd/>
              <w:snapToGrid/>
              <w:spacing w:line="240" w:lineRule="auto"/>
              <w:ind w:firstLine="482"/>
              <w:jc w:val="center"/>
              <w:textAlignment w:val="auto"/>
              <w:rPr>
                <w:rFonts w:hint="default" w:ascii="Times New Roman" w:hAnsi="Times New Roman" w:eastAsia="宋体" w:cs="Times New Roman"/>
                <w:b/>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color w:val="000000" w:themeColor="text1"/>
                <w:sz w:val="21"/>
                <w:szCs w:val="21"/>
                <w:lang w:val="en-US" w:eastAsia="zh-CN"/>
                <w14:textFill>
                  <w14:solidFill>
                    <w14:schemeClr w14:val="tx1"/>
                  </w14:solidFill>
                </w14:textFill>
              </w:rPr>
              <w:t>表3-</w:t>
            </w:r>
            <w:r>
              <w:rPr>
                <w:rFonts w:hint="eastAsia" w:cs="Times New Roman"/>
                <w:b/>
                <w:color w:val="000000" w:themeColor="text1"/>
                <w:sz w:val="21"/>
                <w:szCs w:val="21"/>
                <w:lang w:val="en-US" w:eastAsia="zh-CN"/>
                <w14:textFill>
                  <w14:solidFill>
                    <w14:schemeClr w14:val="tx1"/>
                  </w14:solidFill>
                </w14:textFill>
              </w:rPr>
              <w:t>8</w:t>
            </w:r>
            <w:r>
              <w:rPr>
                <w:rFonts w:hint="default" w:ascii="Times New Roman" w:hAnsi="Times New Roman" w:eastAsia="宋体" w:cs="Times New Roman"/>
                <w:b/>
                <w:color w:val="000000" w:themeColor="text1"/>
                <w:sz w:val="21"/>
                <w:szCs w:val="21"/>
                <w:lang w:val="en-US" w:eastAsia="zh-CN"/>
                <w14:textFill>
                  <w14:solidFill>
                    <w14:schemeClr w14:val="tx1"/>
                  </w14:solidFill>
                </w14:textFill>
              </w:rPr>
              <w:t xml:space="preserve"> 《农村生活污水处理排放标准》（DB65/4275―2019）B级标准</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2272"/>
              <w:gridCol w:w="2171"/>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vAlign w:val="center"/>
                </w:tcPr>
                <w:p>
                  <w:pPr>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序号</w:t>
                  </w:r>
                </w:p>
              </w:tc>
              <w:tc>
                <w:tcPr>
                  <w:tcW w:w="1497" w:type="pct"/>
                  <w:vAlign w:val="center"/>
                </w:tcPr>
                <w:p>
                  <w:pPr>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污染物名称</w:t>
                  </w:r>
                </w:p>
              </w:tc>
              <w:tc>
                <w:tcPr>
                  <w:tcW w:w="1431" w:type="pct"/>
                  <w:vAlign w:val="center"/>
                </w:tcPr>
                <w:p>
                  <w:pPr>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单位</w:t>
                  </w:r>
                </w:p>
              </w:tc>
              <w:tc>
                <w:tcPr>
                  <w:tcW w:w="1431" w:type="pct"/>
                  <w:vAlign w:val="center"/>
                </w:tcPr>
                <w:p>
                  <w:pPr>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B级标准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vAlign w:val="center"/>
                </w:tcPr>
                <w:p>
                  <w:pPr>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1</w:t>
                  </w:r>
                </w:p>
              </w:tc>
              <w:tc>
                <w:tcPr>
                  <w:tcW w:w="1497" w:type="pct"/>
                  <w:vAlign w:val="center"/>
                </w:tcPr>
                <w:p>
                  <w:pPr>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PH</w:t>
                  </w:r>
                </w:p>
              </w:tc>
              <w:tc>
                <w:tcPr>
                  <w:tcW w:w="1431" w:type="pct"/>
                  <w:vAlign w:val="center"/>
                </w:tcPr>
                <w:p>
                  <w:pPr>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w:t>
                  </w:r>
                </w:p>
              </w:tc>
              <w:tc>
                <w:tcPr>
                  <w:tcW w:w="1431" w:type="pct"/>
                  <w:vAlign w:val="center"/>
                </w:tcPr>
                <w:p>
                  <w:pPr>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vAlign w:val="center"/>
                </w:tcPr>
                <w:p>
                  <w:pPr>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2</w:t>
                  </w:r>
                </w:p>
              </w:tc>
              <w:tc>
                <w:tcPr>
                  <w:tcW w:w="1497" w:type="pct"/>
                  <w:vAlign w:val="center"/>
                </w:tcPr>
                <w:p>
                  <w:pPr>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化学需氧量</w:t>
                  </w:r>
                </w:p>
              </w:tc>
              <w:tc>
                <w:tcPr>
                  <w:tcW w:w="1431" w:type="pct"/>
                  <w:vAlign w:val="center"/>
                </w:tcPr>
                <w:p>
                  <w:pPr>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mg/L</w:t>
                  </w:r>
                </w:p>
              </w:tc>
              <w:tc>
                <w:tcPr>
                  <w:tcW w:w="1431" w:type="pct"/>
                  <w:vAlign w:val="center"/>
                </w:tcPr>
                <w:p>
                  <w:pPr>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vAlign w:val="center"/>
                </w:tcPr>
                <w:p>
                  <w:pPr>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3</w:t>
                  </w:r>
                </w:p>
              </w:tc>
              <w:tc>
                <w:tcPr>
                  <w:tcW w:w="1497" w:type="pct"/>
                  <w:vAlign w:val="center"/>
                </w:tcPr>
                <w:p>
                  <w:pPr>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悬浮物</w:t>
                  </w:r>
                </w:p>
              </w:tc>
              <w:tc>
                <w:tcPr>
                  <w:tcW w:w="1431" w:type="pct"/>
                  <w:vAlign w:val="center"/>
                </w:tcPr>
                <w:p>
                  <w:pPr>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mg/L</w:t>
                  </w:r>
                </w:p>
              </w:tc>
              <w:tc>
                <w:tcPr>
                  <w:tcW w:w="1431" w:type="pct"/>
                  <w:vAlign w:val="center"/>
                </w:tcPr>
                <w:p>
                  <w:pPr>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4</w:t>
                  </w:r>
                </w:p>
              </w:tc>
              <w:tc>
                <w:tcPr>
                  <w:tcW w:w="1497" w:type="pct"/>
                  <w:vAlign w:val="center"/>
                </w:tcPr>
                <w:p>
                  <w:pPr>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粪大肠菌群</w:t>
                  </w:r>
                </w:p>
              </w:tc>
              <w:tc>
                <w:tcPr>
                  <w:tcW w:w="1431" w:type="pct"/>
                  <w:vAlign w:val="center"/>
                </w:tcPr>
                <w:p>
                  <w:pPr>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MPN/L</w:t>
                  </w:r>
                </w:p>
              </w:tc>
              <w:tc>
                <w:tcPr>
                  <w:tcW w:w="1431" w:type="pct"/>
                  <w:vAlign w:val="center"/>
                </w:tcPr>
                <w:p>
                  <w:pPr>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vAlign w:val="center"/>
                </w:tcPr>
                <w:p>
                  <w:pPr>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5</w:t>
                  </w:r>
                </w:p>
              </w:tc>
              <w:tc>
                <w:tcPr>
                  <w:tcW w:w="1497" w:type="pct"/>
                  <w:vAlign w:val="center"/>
                </w:tcPr>
                <w:p>
                  <w:pPr>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蛔虫卵个数</w:t>
                  </w:r>
                </w:p>
              </w:tc>
              <w:tc>
                <w:tcPr>
                  <w:tcW w:w="1431" w:type="pct"/>
                  <w:vAlign w:val="center"/>
                </w:tcPr>
                <w:p>
                  <w:pPr>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个/L</w:t>
                  </w:r>
                </w:p>
              </w:tc>
              <w:tc>
                <w:tcPr>
                  <w:tcW w:w="1431" w:type="pct"/>
                  <w:vAlign w:val="center"/>
                </w:tcPr>
                <w:p>
                  <w:pPr>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2</w:t>
                  </w:r>
                </w:p>
              </w:tc>
            </w:tr>
          </w:tbl>
          <w:p>
            <w:pPr>
              <w:pStyle w:val="4"/>
              <w:pageBreakBefore w:val="0"/>
              <w:widowControl w:val="0"/>
              <w:numPr>
                <w:ilvl w:val="1"/>
                <w:numId w:val="0"/>
              </w:numPr>
              <w:kinsoku/>
              <w:wordWrap w:val="0"/>
              <w:overflowPunct/>
              <w:topLinePunct w:val="0"/>
              <w:autoSpaceDE/>
              <w:autoSpaceDN/>
              <w:bidi w:val="0"/>
              <w:adjustRightInd/>
              <w:snapToGrid/>
              <w:ind w:firstLine="482" w:firstLineChars="200"/>
              <w:textAlignment w:val="auto"/>
              <w:outlineLvl w:val="2"/>
              <w:rPr>
                <w:rFonts w:hint="default" w:ascii="Times New Roman" w:hAnsi="Times New Roman" w:cs="Times New Roman"/>
              </w:rPr>
            </w:pPr>
            <w:r>
              <w:rPr>
                <w:rFonts w:hint="default" w:ascii="Times New Roman" w:hAnsi="Times New Roman" w:eastAsia="宋体" w:cs="Times New Roman"/>
                <w:b/>
                <w:kern w:val="2"/>
                <w:sz w:val="24"/>
                <w:szCs w:val="24"/>
                <w:lang w:val="en-US" w:eastAsia="zh-CN" w:bidi="ar-SA"/>
              </w:rPr>
              <w:t>2.3</w:t>
            </w:r>
            <w:r>
              <w:rPr>
                <w:rFonts w:hint="default" w:ascii="Times New Roman" w:hAnsi="Times New Roman" w:cs="Times New Roman"/>
              </w:rPr>
              <w:t>噪声</w:t>
            </w:r>
          </w:p>
          <w:p>
            <w:pPr>
              <w:pageBreakBefore w:val="0"/>
              <w:widowControl w:val="0"/>
              <w:kinsoku/>
              <w:wordWrap w:val="0"/>
              <w:overflowPunct/>
              <w:topLinePunct w:val="0"/>
              <w:autoSpaceDE/>
              <w:autoSpaceDN/>
              <w:bidi w:val="0"/>
              <w:adjustRightInd/>
              <w:snapToGrid/>
              <w:ind w:firstLine="480"/>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cs="Times New Roman"/>
              </w:rPr>
              <w:t>施工期噪声执行《建筑施工场界环境噪声排放标准》（GB12523-2011）中标准限值，具体标准见下表：</w:t>
            </w:r>
          </w:p>
          <w:p>
            <w:pPr>
              <w:keepNext w:val="0"/>
              <w:keepLines w:val="0"/>
              <w:pageBreakBefore w:val="0"/>
              <w:widowControl w:val="0"/>
              <w:kinsoku/>
              <w:wordWrap w:val="0"/>
              <w:overflowPunct/>
              <w:topLinePunct w:val="0"/>
              <w:autoSpaceDE/>
              <w:autoSpaceDN/>
              <w:bidi w:val="0"/>
              <w:adjustRightInd/>
              <w:snapToGrid/>
              <w:spacing w:line="240" w:lineRule="auto"/>
              <w:ind w:firstLine="482"/>
              <w:jc w:val="center"/>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表3-</w:t>
            </w:r>
            <w:r>
              <w:rPr>
                <w:rFonts w:hint="eastAsia" w:cs="Times New Roman"/>
                <w:b/>
                <w:sz w:val="21"/>
                <w:szCs w:val="21"/>
                <w:lang w:val="en-US" w:eastAsia="zh-CN"/>
              </w:rPr>
              <w:t>9</w:t>
            </w:r>
            <w:r>
              <w:rPr>
                <w:rFonts w:hint="eastAsia" w:ascii="Times New Roman" w:hAnsi="Times New Roman" w:eastAsia="宋体" w:cs="Times New Roman"/>
                <w:b/>
                <w:sz w:val="21"/>
                <w:szCs w:val="21"/>
                <w:lang w:val="en-US" w:eastAsia="zh-CN"/>
              </w:rPr>
              <w:t xml:space="preserve">  </w:t>
            </w:r>
            <w:r>
              <w:rPr>
                <w:rFonts w:hint="default" w:ascii="Times New Roman" w:hAnsi="Times New Roman" w:eastAsia="宋体" w:cs="Times New Roman"/>
                <w:b/>
                <w:sz w:val="21"/>
                <w:szCs w:val="21"/>
                <w:lang w:val="en-US" w:eastAsia="zh-CN"/>
              </w:rPr>
              <w:t xml:space="preserve"> 噪声排放标准  单位：dB(A)</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3500"/>
              <w:gridCol w:w="1522"/>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pct"/>
                  <w:noWrap/>
                  <w:vAlign w:val="center"/>
                </w:tcPr>
                <w:p>
                  <w:pPr>
                    <w:pStyle w:val="27"/>
                    <w:pageBreakBefore w:val="0"/>
                    <w:widowControl w:val="0"/>
                    <w:kinsoku/>
                    <w:wordWrap w:val="0"/>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时间段</w:t>
                  </w:r>
                </w:p>
              </w:tc>
              <w:tc>
                <w:tcPr>
                  <w:tcW w:w="2306" w:type="pct"/>
                  <w:noWrap/>
                  <w:vAlign w:val="center"/>
                </w:tcPr>
                <w:p>
                  <w:pPr>
                    <w:pStyle w:val="27"/>
                    <w:pageBreakBefore w:val="0"/>
                    <w:widowControl w:val="0"/>
                    <w:kinsoku/>
                    <w:wordWrap w:val="0"/>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标准类别</w:t>
                  </w:r>
                </w:p>
              </w:tc>
              <w:tc>
                <w:tcPr>
                  <w:tcW w:w="1003" w:type="pct"/>
                  <w:noWrap/>
                  <w:vAlign w:val="center"/>
                </w:tcPr>
                <w:p>
                  <w:pPr>
                    <w:pStyle w:val="27"/>
                    <w:pageBreakBefore w:val="0"/>
                    <w:widowControl w:val="0"/>
                    <w:kinsoku/>
                    <w:wordWrap w:val="0"/>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昼间</w:t>
                  </w:r>
                </w:p>
              </w:tc>
              <w:tc>
                <w:tcPr>
                  <w:tcW w:w="979" w:type="pct"/>
                  <w:noWrap/>
                  <w:vAlign w:val="center"/>
                </w:tcPr>
                <w:p>
                  <w:pPr>
                    <w:pStyle w:val="27"/>
                    <w:pageBreakBefore w:val="0"/>
                    <w:widowControl w:val="0"/>
                    <w:kinsoku/>
                    <w:wordWrap w:val="0"/>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09" w:type="pct"/>
                  <w:noWrap/>
                  <w:vAlign w:val="center"/>
                </w:tcPr>
                <w:p>
                  <w:pPr>
                    <w:pStyle w:val="27"/>
                    <w:pageBreakBefore w:val="0"/>
                    <w:widowControl w:val="0"/>
                    <w:kinsoku/>
                    <w:wordWrap w:val="0"/>
                    <w:overflowPunct/>
                    <w:topLinePunct w:val="0"/>
                    <w:autoSpaceDE/>
                    <w:autoSpaceDN/>
                    <w:bidi w:val="0"/>
                    <w:adjustRightInd/>
                    <w:snapToGrid/>
                    <w:textAlignment w:val="auto"/>
                    <w:rPr>
                      <w:rFonts w:hint="default" w:ascii="Times New Roman" w:hAnsi="Times New Roman" w:cs="Times New Roman"/>
                      <w:b w:val="0"/>
                      <w:bCs/>
                    </w:rPr>
                  </w:pPr>
                  <w:r>
                    <w:rPr>
                      <w:rFonts w:hint="default" w:ascii="Times New Roman" w:hAnsi="Times New Roman" w:cs="Times New Roman"/>
                      <w:b w:val="0"/>
                      <w:bCs/>
                    </w:rPr>
                    <w:t>施工期</w:t>
                  </w:r>
                </w:p>
              </w:tc>
              <w:tc>
                <w:tcPr>
                  <w:tcW w:w="2306" w:type="pct"/>
                  <w:noWrap/>
                  <w:vAlign w:val="center"/>
                </w:tcPr>
                <w:p>
                  <w:pPr>
                    <w:pStyle w:val="27"/>
                    <w:pageBreakBefore w:val="0"/>
                    <w:widowControl w:val="0"/>
                    <w:kinsoku/>
                    <w:wordWrap w:val="0"/>
                    <w:overflowPunct/>
                    <w:topLinePunct w:val="0"/>
                    <w:autoSpaceDE/>
                    <w:autoSpaceDN/>
                    <w:bidi w:val="0"/>
                    <w:adjustRightInd/>
                    <w:snapToGrid/>
                    <w:textAlignment w:val="auto"/>
                    <w:rPr>
                      <w:rFonts w:hint="default" w:ascii="Times New Roman" w:hAnsi="Times New Roman" w:cs="Times New Roman"/>
                      <w:b w:val="0"/>
                      <w:bCs/>
                    </w:rPr>
                  </w:pPr>
                  <w:r>
                    <w:rPr>
                      <w:rFonts w:hint="default" w:ascii="Times New Roman" w:hAnsi="Times New Roman" w:cs="Times New Roman"/>
                      <w:b w:val="0"/>
                      <w:bCs/>
                    </w:rPr>
                    <w:t>《建筑施工场界环境噪声排放标准》（GB12523-2011）</w:t>
                  </w:r>
                </w:p>
              </w:tc>
              <w:tc>
                <w:tcPr>
                  <w:tcW w:w="1003" w:type="pct"/>
                  <w:noWrap/>
                  <w:vAlign w:val="center"/>
                </w:tcPr>
                <w:p>
                  <w:pPr>
                    <w:pStyle w:val="27"/>
                    <w:pageBreakBefore w:val="0"/>
                    <w:widowControl w:val="0"/>
                    <w:kinsoku/>
                    <w:wordWrap w:val="0"/>
                    <w:overflowPunct/>
                    <w:topLinePunct w:val="0"/>
                    <w:autoSpaceDE/>
                    <w:autoSpaceDN/>
                    <w:bidi w:val="0"/>
                    <w:adjustRightInd/>
                    <w:snapToGrid/>
                    <w:textAlignment w:val="auto"/>
                    <w:rPr>
                      <w:rFonts w:hint="default" w:ascii="Times New Roman" w:hAnsi="Times New Roman" w:cs="Times New Roman"/>
                      <w:b w:val="0"/>
                      <w:bCs/>
                    </w:rPr>
                  </w:pPr>
                  <w:r>
                    <w:rPr>
                      <w:rFonts w:hint="default" w:ascii="Times New Roman" w:hAnsi="Times New Roman" w:cs="Times New Roman"/>
                      <w:b w:val="0"/>
                      <w:bCs/>
                    </w:rPr>
                    <w:t>70</w:t>
                  </w:r>
                </w:p>
              </w:tc>
              <w:tc>
                <w:tcPr>
                  <w:tcW w:w="979" w:type="pct"/>
                  <w:noWrap/>
                  <w:vAlign w:val="center"/>
                </w:tcPr>
                <w:p>
                  <w:pPr>
                    <w:pStyle w:val="27"/>
                    <w:pageBreakBefore w:val="0"/>
                    <w:widowControl w:val="0"/>
                    <w:kinsoku/>
                    <w:wordWrap w:val="0"/>
                    <w:overflowPunct/>
                    <w:topLinePunct w:val="0"/>
                    <w:autoSpaceDE/>
                    <w:autoSpaceDN/>
                    <w:bidi w:val="0"/>
                    <w:adjustRightInd/>
                    <w:snapToGrid/>
                    <w:textAlignment w:val="auto"/>
                    <w:rPr>
                      <w:rFonts w:hint="default" w:ascii="Times New Roman" w:hAnsi="Times New Roman" w:cs="Times New Roman"/>
                      <w:b w:val="0"/>
                      <w:bCs/>
                    </w:rPr>
                  </w:pPr>
                  <w:r>
                    <w:rPr>
                      <w:rFonts w:hint="default" w:ascii="Times New Roman" w:hAnsi="Times New Roman" w:cs="Times New Roman"/>
                      <w:b w:val="0"/>
                      <w:bCs/>
                    </w:rPr>
                    <w:t>55</w:t>
                  </w:r>
                </w:p>
              </w:tc>
            </w:tr>
          </w:tbl>
          <w:p>
            <w:pPr>
              <w:pageBreakBefore w:val="0"/>
              <w:widowControl w:val="0"/>
              <w:kinsoku/>
              <w:wordWrap w:val="0"/>
              <w:overflowPunct/>
              <w:topLinePunct w:val="0"/>
              <w:autoSpaceDE/>
              <w:autoSpaceDN/>
              <w:bidi w:val="0"/>
              <w:adjustRightInd/>
              <w:snapToGrid/>
              <w:ind w:firstLine="480"/>
              <w:textAlignment w:val="auto"/>
              <w:rPr>
                <w:rFonts w:hint="default" w:ascii="Times New Roman" w:hAnsi="Times New Roman" w:cs="Times New Roman"/>
                <w:b/>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rPr>
              <w:t>本项目运营期厂界噪声排放执行《工业企业厂界环境噪声排放标准》（GB12348-2008）</w:t>
            </w:r>
            <w:r>
              <w:rPr>
                <w:rFonts w:hint="default" w:ascii="Times New Roman" w:hAnsi="Times New Roman" w:cs="Times New Roman"/>
                <w:lang w:val="en-US" w:eastAsia="zh-CN"/>
              </w:rPr>
              <w:t>2</w:t>
            </w:r>
            <w:r>
              <w:rPr>
                <w:rFonts w:hint="default" w:ascii="Times New Roman" w:hAnsi="Times New Roman" w:cs="Times New Roman"/>
              </w:rPr>
              <w:t>类标准限值。</w:t>
            </w:r>
          </w:p>
          <w:p>
            <w:pPr>
              <w:keepNext w:val="0"/>
              <w:keepLines w:val="0"/>
              <w:pageBreakBefore w:val="0"/>
              <w:widowControl w:val="0"/>
              <w:kinsoku/>
              <w:wordWrap w:val="0"/>
              <w:overflowPunct/>
              <w:topLinePunct w:val="0"/>
              <w:autoSpaceDE/>
              <w:autoSpaceDN/>
              <w:bidi w:val="0"/>
              <w:adjustRightInd/>
              <w:snapToGrid/>
              <w:spacing w:line="240" w:lineRule="auto"/>
              <w:ind w:firstLine="482"/>
              <w:jc w:val="center"/>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表3-</w:t>
            </w:r>
            <w:r>
              <w:rPr>
                <w:rFonts w:hint="eastAsia" w:cs="Times New Roman"/>
                <w:b/>
                <w:sz w:val="21"/>
                <w:szCs w:val="21"/>
                <w:lang w:val="en-US" w:eastAsia="zh-CN"/>
              </w:rPr>
              <w:t>10</w:t>
            </w:r>
            <w:r>
              <w:rPr>
                <w:rFonts w:hint="default" w:ascii="Times New Roman" w:hAnsi="Times New Roman" w:eastAsia="宋体" w:cs="Times New Roman"/>
                <w:b/>
                <w:sz w:val="21"/>
                <w:szCs w:val="21"/>
                <w:lang w:val="en-US" w:eastAsia="zh-CN"/>
              </w:rPr>
              <w:t xml:space="preserve">  工业企业厂界环境噪声排放标准</w:t>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2985"/>
              <w:gridCol w:w="2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pct"/>
                  <w:vMerge w:val="restart"/>
                  <w:tcBorders>
                    <w:right w:val="single" w:color="auto" w:sz="4" w:space="0"/>
                  </w:tcBorders>
                  <w:noWrap/>
                  <w:vAlign w:val="center"/>
                </w:tcPr>
                <w:p>
                  <w:pPr>
                    <w:pStyle w:val="27"/>
                    <w:pageBreakBefore w:val="0"/>
                    <w:widowControl w:val="0"/>
                    <w:kinsoku/>
                    <w:wordWrap w:val="0"/>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项目</w:t>
                  </w:r>
                </w:p>
              </w:tc>
              <w:tc>
                <w:tcPr>
                  <w:tcW w:w="3936" w:type="pct"/>
                  <w:gridSpan w:val="2"/>
                  <w:tcBorders>
                    <w:left w:val="single" w:color="auto" w:sz="4" w:space="0"/>
                    <w:bottom w:val="single" w:color="auto" w:sz="4" w:space="0"/>
                  </w:tcBorders>
                  <w:noWrap/>
                  <w:vAlign w:val="center"/>
                </w:tcPr>
                <w:p>
                  <w:pPr>
                    <w:pStyle w:val="27"/>
                    <w:pageBreakBefore w:val="0"/>
                    <w:widowControl w:val="0"/>
                    <w:kinsoku/>
                    <w:wordWrap w:val="0"/>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pct"/>
                  <w:vMerge w:val="continue"/>
                  <w:tcBorders>
                    <w:bottom w:val="single" w:color="auto" w:sz="4" w:space="0"/>
                    <w:right w:val="single" w:color="auto" w:sz="4" w:space="0"/>
                  </w:tcBorders>
                  <w:noWrap/>
                  <w:vAlign w:val="center"/>
                </w:tcPr>
                <w:p>
                  <w:pPr>
                    <w:pStyle w:val="27"/>
                    <w:pageBreakBefore w:val="0"/>
                    <w:widowControl w:val="0"/>
                    <w:kinsoku/>
                    <w:wordWrap w:val="0"/>
                    <w:overflowPunct/>
                    <w:topLinePunct w:val="0"/>
                    <w:autoSpaceDE/>
                    <w:autoSpaceDN/>
                    <w:bidi w:val="0"/>
                    <w:adjustRightInd/>
                    <w:snapToGrid/>
                    <w:textAlignment w:val="auto"/>
                    <w:rPr>
                      <w:rFonts w:hint="default" w:ascii="Times New Roman" w:hAnsi="Times New Roman" w:cs="Times New Roman"/>
                    </w:rPr>
                  </w:pPr>
                </w:p>
              </w:tc>
              <w:tc>
                <w:tcPr>
                  <w:tcW w:w="1967" w:type="pct"/>
                  <w:tcBorders>
                    <w:top w:val="single" w:color="auto" w:sz="4" w:space="0"/>
                    <w:left w:val="single" w:color="auto" w:sz="4" w:space="0"/>
                    <w:bottom w:val="single" w:color="auto" w:sz="4" w:space="0"/>
                    <w:right w:val="single" w:color="auto" w:sz="4" w:space="0"/>
                  </w:tcBorders>
                  <w:noWrap/>
                  <w:vAlign w:val="center"/>
                </w:tcPr>
                <w:p>
                  <w:pPr>
                    <w:pStyle w:val="27"/>
                    <w:pageBreakBefore w:val="0"/>
                    <w:widowControl w:val="0"/>
                    <w:kinsoku/>
                    <w:wordWrap w:val="0"/>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昼间Leq[dB(A)]</w:t>
                  </w:r>
                </w:p>
              </w:tc>
              <w:tc>
                <w:tcPr>
                  <w:tcW w:w="1969" w:type="pct"/>
                  <w:tcBorders>
                    <w:top w:val="single" w:color="auto" w:sz="4" w:space="0"/>
                    <w:left w:val="single" w:color="auto" w:sz="4" w:space="0"/>
                    <w:bottom w:val="single" w:color="auto" w:sz="4" w:space="0"/>
                  </w:tcBorders>
                  <w:noWrap/>
                  <w:vAlign w:val="center"/>
                </w:tcPr>
                <w:p>
                  <w:pPr>
                    <w:pStyle w:val="27"/>
                    <w:pageBreakBefore w:val="0"/>
                    <w:widowControl w:val="0"/>
                    <w:kinsoku/>
                    <w:wordWrap w:val="0"/>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夜间Leq[dB(A)]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pct"/>
                  <w:tcBorders>
                    <w:top w:val="single" w:color="auto" w:sz="4" w:space="0"/>
                    <w:right w:val="single" w:color="auto" w:sz="4" w:space="0"/>
                  </w:tcBorders>
                  <w:noWrap/>
                  <w:vAlign w:val="center"/>
                </w:tcPr>
                <w:p>
                  <w:pPr>
                    <w:pStyle w:val="27"/>
                    <w:pageBreakBefore w:val="0"/>
                    <w:widowControl w:val="0"/>
                    <w:kinsoku/>
                    <w:wordWrap w:val="0"/>
                    <w:overflowPunct/>
                    <w:topLinePunct w:val="0"/>
                    <w:autoSpaceDE/>
                    <w:autoSpaceDN/>
                    <w:bidi w:val="0"/>
                    <w:adjustRightInd/>
                    <w:snapToGrid/>
                    <w:textAlignment w:val="auto"/>
                    <w:rPr>
                      <w:rFonts w:hint="default" w:ascii="Times New Roman" w:hAnsi="Times New Roman" w:cs="Times New Roman"/>
                      <w:b w:val="0"/>
                      <w:bCs/>
                    </w:rPr>
                  </w:pPr>
                  <w:r>
                    <w:rPr>
                      <w:rFonts w:hint="default" w:ascii="Times New Roman" w:hAnsi="Times New Roman" w:cs="Times New Roman"/>
                      <w:b w:val="0"/>
                      <w:bCs/>
                      <w:lang w:val="en-US" w:eastAsia="zh-CN"/>
                    </w:rPr>
                    <w:t>2</w:t>
                  </w:r>
                  <w:r>
                    <w:rPr>
                      <w:rFonts w:hint="default" w:ascii="Times New Roman" w:hAnsi="Times New Roman" w:cs="Times New Roman"/>
                      <w:b w:val="0"/>
                      <w:bCs/>
                    </w:rPr>
                    <w:t>类标准值</w:t>
                  </w:r>
                </w:p>
              </w:tc>
              <w:tc>
                <w:tcPr>
                  <w:tcW w:w="1967" w:type="pct"/>
                  <w:tcBorders>
                    <w:top w:val="single" w:color="auto" w:sz="4" w:space="0"/>
                    <w:left w:val="single" w:color="auto" w:sz="4" w:space="0"/>
                    <w:right w:val="single" w:color="auto" w:sz="4" w:space="0"/>
                  </w:tcBorders>
                  <w:noWrap/>
                  <w:vAlign w:val="center"/>
                </w:tcPr>
                <w:p>
                  <w:pPr>
                    <w:pStyle w:val="27"/>
                    <w:pageBreakBefore w:val="0"/>
                    <w:widowControl w:val="0"/>
                    <w:kinsoku/>
                    <w:wordWrap w:val="0"/>
                    <w:overflowPunct/>
                    <w:topLinePunct w:val="0"/>
                    <w:autoSpaceDE/>
                    <w:autoSpaceDN/>
                    <w:bidi w:val="0"/>
                    <w:adjustRightInd/>
                    <w:snapToGrid/>
                    <w:textAlignment w:val="auto"/>
                    <w:rPr>
                      <w:rFonts w:hint="default" w:ascii="Times New Roman" w:hAnsi="Times New Roman" w:eastAsia="宋体" w:cs="Times New Roman"/>
                      <w:b w:val="0"/>
                      <w:bCs/>
                      <w:lang w:val="en-US" w:eastAsia="zh-CN"/>
                    </w:rPr>
                  </w:pPr>
                  <w:r>
                    <w:rPr>
                      <w:rFonts w:hint="default" w:ascii="Times New Roman" w:hAnsi="Times New Roman" w:cs="Times New Roman"/>
                      <w:b w:val="0"/>
                      <w:bCs/>
                    </w:rPr>
                    <w:t>6</w:t>
                  </w:r>
                  <w:r>
                    <w:rPr>
                      <w:rFonts w:hint="default" w:ascii="Times New Roman" w:hAnsi="Times New Roman" w:cs="Times New Roman"/>
                      <w:b w:val="0"/>
                      <w:bCs/>
                      <w:lang w:val="en-US" w:eastAsia="zh-CN"/>
                    </w:rPr>
                    <w:t>0</w:t>
                  </w:r>
                </w:p>
              </w:tc>
              <w:tc>
                <w:tcPr>
                  <w:tcW w:w="1969" w:type="pct"/>
                  <w:tcBorders>
                    <w:top w:val="single" w:color="auto" w:sz="4" w:space="0"/>
                    <w:left w:val="single" w:color="auto" w:sz="4" w:space="0"/>
                  </w:tcBorders>
                  <w:noWrap/>
                  <w:vAlign w:val="center"/>
                </w:tcPr>
                <w:p>
                  <w:pPr>
                    <w:pStyle w:val="27"/>
                    <w:pageBreakBefore w:val="0"/>
                    <w:widowControl w:val="0"/>
                    <w:kinsoku/>
                    <w:wordWrap w:val="0"/>
                    <w:overflowPunct/>
                    <w:topLinePunct w:val="0"/>
                    <w:autoSpaceDE/>
                    <w:autoSpaceDN/>
                    <w:bidi w:val="0"/>
                    <w:adjustRightInd/>
                    <w:snapToGrid/>
                    <w:textAlignment w:val="auto"/>
                    <w:rPr>
                      <w:rFonts w:hint="default" w:ascii="Times New Roman" w:hAnsi="Times New Roman" w:eastAsia="宋体" w:cs="Times New Roman"/>
                      <w:b w:val="0"/>
                      <w:bCs/>
                      <w:lang w:val="en-US" w:eastAsia="zh-CN"/>
                    </w:rPr>
                  </w:pPr>
                  <w:r>
                    <w:rPr>
                      <w:rFonts w:hint="default" w:ascii="Times New Roman" w:hAnsi="Times New Roman" w:cs="Times New Roman"/>
                      <w:b w:val="0"/>
                      <w:bCs/>
                    </w:rPr>
                    <w:t>5</w:t>
                  </w:r>
                  <w:r>
                    <w:rPr>
                      <w:rFonts w:hint="default" w:ascii="Times New Roman" w:hAnsi="Times New Roman" w:cs="Times New Roman"/>
                      <w:b w:val="0"/>
                      <w:bCs/>
                      <w:lang w:val="en-US" w:eastAsia="zh-CN"/>
                    </w:rPr>
                    <w:t>0</w:t>
                  </w:r>
                </w:p>
              </w:tc>
            </w:tr>
          </w:tbl>
          <w:p>
            <w:pPr>
              <w:pStyle w:val="4"/>
              <w:pageBreakBefore w:val="0"/>
              <w:widowControl w:val="0"/>
              <w:numPr>
                <w:ilvl w:val="1"/>
                <w:numId w:val="0"/>
              </w:numPr>
              <w:kinsoku/>
              <w:wordWrap w:val="0"/>
              <w:overflowPunct/>
              <w:topLinePunct w:val="0"/>
              <w:autoSpaceDE/>
              <w:autoSpaceDN/>
              <w:bidi w:val="0"/>
              <w:adjustRightInd/>
              <w:snapToGrid/>
              <w:ind w:firstLine="482" w:firstLineChars="200"/>
              <w:textAlignment w:val="auto"/>
              <w:outlineLvl w:val="2"/>
              <w:rPr>
                <w:rFonts w:hint="default" w:ascii="Times New Roman" w:hAnsi="Times New Roman" w:cs="Times New Roman"/>
              </w:rPr>
            </w:pPr>
            <w:r>
              <w:rPr>
                <w:rFonts w:hint="default" w:ascii="Times New Roman" w:hAnsi="Times New Roman" w:eastAsia="宋体" w:cs="Times New Roman"/>
                <w:b/>
                <w:kern w:val="2"/>
                <w:sz w:val="24"/>
                <w:szCs w:val="24"/>
                <w:lang w:val="en-US" w:eastAsia="zh-CN" w:bidi="ar-SA"/>
              </w:rPr>
              <w:t>2.4</w:t>
            </w:r>
            <w:r>
              <w:rPr>
                <w:rFonts w:hint="default" w:ascii="Times New Roman" w:hAnsi="Times New Roman" w:cs="Times New Roman"/>
              </w:rPr>
              <w:t>固体废物</w:t>
            </w:r>
          </w:p>
          <w:p>
            <w:pPr>
              <w:pageBreakBefore w:val="0"/>
              <w:widowControl w:val="0"/>
              <w:kinsoku/>
              <w:wordWrap w:val="0"/>
              <w:overflowPunct/>
              <w:topLinePunct w:val="0"/>
              <w:autoSpaceDE/>
              <w:autoSpaceDN/>
              <w:bidi w:val="0"/>
              <w:adjustRightInd/>
              <w:snapToGrid/>
              <w:ind w:firstLine="480"/>
              <w:textAlignment w:val="auto"/>
            </w:pPr>
            <w:r>
              <w:rPr>
                <w:rFonts w:hint="default" w:ascii="Times New Roman" w:hAnsi="Times New Roman" w:cs="Times New Roman"/>
              </w:rPr>
              <w:t>固体废物处置执行《一般工业固体废物贮存和填埋污染控制标准》(GB18599-2020)；危险废物执行《危险废物贮存污染控制标准》(GB18597-2023)。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709" w:type="dxa"/>
            <w:vAlign w:val="center"/>
          </w:tcPr>
          <w:p>
            <w:pPr>
              <w:pStyle w:val="31"/>
              <w:rPr>
                <w:rFonts w:hint="default"/>
              </w:rPr>
            </w:pPr>
            <w:r>
              <w:rPr>
                <w:sz w:val="21"/>
                <w:szCs w:val="21"/>
              </w:rPr>
              <w:t>其他</w:t>
            </w:r>
          </w:p>
        </w:tc>
        <w:tc>
          <w:tcPr>
            <w:tcW w:w="7813" w:type="dxa"/>
            <w:vAlign w:val="center"/>
          </w:tcPr>
          <w:p>
            <w:pPr>
              <w:ind w:left="0" w:leftChars="0" w:firstLine="0" w:firstLineChars="0"/>
              <w:jc w:val="center"/>
            </w:pPr>
            <w:r>
              <w:rPr>
                <w:rFonts w:hint="eastAsia"/>
                <w:color w:val="auto"/>
              </w:rPr>
              <w:t>无</w:t>
            </w:r>
          </w:p>
        </w:tc>
      </w:tr>
    </w:tbl>
    <w:p>
      <w:pPr>
        <w:ind w:firstLine="480"/>
      </w:pPr>
      <w:r>
        <w:rPr>
          <w:rFonts w:hint="eastAsia"/>
        </w:rPr>
        <w:br w:type="page"/>
      </w:r>
    </w:p>
    <w:p>
      <w:pPr>
        <w:pStyle w:val="2"/>
        <w:numPr>
          <w:ilvl w:val="0"/>
          <w:numId w:val="0"/>
        </w:numPr>
        <w:jc w:val="center"/>
      </w:pPr>
      <w:r>
        <w:rPr>
          <w:rFonts w:hint="eastAsia" w:ascii="Times New Roman" w:hAnsi="Times New Roman" w:eastAsia="宋体" w:cstheme="minorBidi"/>
          <w:b/>
          <w:kern w:val="44"/>
          <w:sz w:val="30"/>
          <w:szCs w:val="24"/>
          <w:lang w:val="en-US" w:eastAsia="zh-CN" w:bidi="ar-SA"/>
        </w:rPr>
        <w:t>四、</w:t>
      </w:r>
      <w:r>
        <w:rPr>
          <w:rFonts w:hint="eastAsia"/>
        </w:rPr>
        <w:t>生态环境影响分析</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8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45" w:type="dxa"/>
            <w:vAlign w:val="center"/>
          </w:tcPr>
          <w:p>
            <w:pPr>
              <w:pStyle w:val="31"/>
              <w:pageBreakBefore w:val="0"/>
              <w:wordWrap w:val="0"/>
              <w:bidi w:val="0"/>
              <w:rPr>
                <w:rFonts w:hint="default"/>
              </w:rPr>
            </w:pPr>
            <w:r>
              <w:rPr>
                <w:sz w:val="21"/>
                <w:szCs w:val="21"/>
              </w:rPr>
              <w:t>施工期生态环境影响</w:t>
            </w:r>
          </w:p>
        </w:tc>
        <w:tc>
          <w:tcPr>
            <w:tcW w:w="7874" w:type="dxa"/>
            <w:vAlign w:val="center"/>
          </w:tcPr>
          <w:p>
            <w:pPr>
              <w:pStyle w:val="3"/>
              <w:pageBreakBefore w:val="0"/>
              <w:numPr>
                <w:ilvl w:val="0"/>
                <w:numId w:val="0"/>
              </w:numPr>
              <w:wordWrap w:val="0"/>
              <w:bidi w:val="0"/>
              <w:spacing w:before="156" w:after="156"/>
              <w:outlineLvl w:val="1"/>
              <w:rPr>
                <w:rFonts w:hint="default" w:ascii="宋体" w:hAnsi="宋体" w:eastAsia="宋体" w:cs="宋体"/>
                <w:b/>
                <w:kern w:val="2"/>
                <w:sz w:val="24"/>
                <w:szCs w:val="24"/>
                <w:lang w:val="en-US" w:eastAsia="zh-CN" w:bidi="ar-SA"/>
              </w:rPr>
            </w:pPr>
            <w:r>
              <w:rPr>
                <w:rFonts w:hint="default" w:ascii="Times New Roman" w:hAnsi="Times New Roman" w:cs="Times New Roman"/>
                <w:b/>
                <w:kern w:val="2"/>
                <w:sz w:val="24"/>
                <w:szCs w:val="24"/>
                <w:lang w:val="en-US" w:eastAsia="zh-CN" w:bidi="ar-SA"/>
              </w:rPr>
              <w:t>1.</w:t>
            </w:r>
            <w:r>
              <w:rPr>
                <w:rFonts w:hint="default" w:ascii="Times New Roman" w:hAnsi="Times New Roman" w:cs="Times New Roman"/>
                <w:b/>
                <w:color w:val="000000"/>
              </w:rPr>
              <w:t>生态</w:t>
            </w:r>
            <w:r>
              <w:rPr>
                <w:b/>
                <w:color w:val="000000"/>
              </w:rPr>
              <w:t>环境的影响分析</w:t>
            </w:r>
          </w:p>
          <w:p>
            <w:pPr>
              <w:pageBreakBefore w:val="0"/>
              <w:widowControl/>
              <w:wordWrap w:val="0"/>
              <w:bidi w:val="0"/>
              <w:adjustRightInd w:val="0"/>
              <w:snapToGrid w:val="0"/>
              <w:spacing w:line="360" w:lineRule="auto"/>
              <w:ind w:firstLine="456" w:firstLineChars="200"/>
              <w:rPr>
                <w:rFonts w:hAnsi="Times New Roman"/>
                <w:b/>
                <w:snapToGrid w:val="0"/>
                <w:color w:val="auto"/>
                <w:sz w:val="24"/>
                <w:szCs w:val="24"/>
                <w:highlight w:val="none"/>
                <w:lang w:val="en-US"/>
              </w:rPr>
            </w:pPr>
            <w:r>
              <w:rPr>
                <w:color w:val="000000"/>
                <w:spacing w:val="-6"/>
              </w:rPr>
              <w:t>工程在建设过程中等活动，将扰动原地貌，破坏地表植被以及由此引起的局部水土流失，同时项目施工将会影响区域内的动植物数量。</w:t>
            </w:r>
          </w:p>
          <w:p>
            <w:pPr>
              <w:pageBreakBefore w:val="0"/>
              <w:widowControl/>
              <w:wordWrap w:val="0"/>
              <w:bidi w:val="0"/>
              <w:adjustRightInd w:val="0"/>
              <w:snapToGrid w:val="0"/>
              <w:spacing w:line="360" w:lineRule="auto"/>
              <w:ind w:firstLine="458" w:firstLineChars="200"/>
              <w:rPr>
                <w:rFonts w:hint="default"/>
                <w:b/>
                <w:bCs/>
                <w:color w:val="000000"/>
                <w:spacing w:val="-6"/>
                <w:lang w:val="en-US" w:eastAsia="zh-CN"/>
              </w:rPr>
            </w:pPr>
            <w:r>
              <w:rPr>
                <w:rFonts w:hint="eastAsia"/>
                <w:b/>
                <w:bCs/>
                <w:color w:val="000000"/>
                <w:spacing w:val="-6"/>
                <w:lang w:val="en-US" w:eastAsia="zh-CN"/>
              </w:rPr>
              <w:t>1.1</w:t>
            </w:r>
            <w:r>
              <w:rPr>
                <w:rFonts w:hint="default"/>
                <w:b/>
                <w:bCs/>
                <w:color w:val="000000"/>
                <w:spacing w:val="-6"/>
                <w:lang w:val="en-US" w:eastAsia="zh-CN"/>
              </w:rPr>
              <w:t>工程占地影响分析</w:t>
            </w:r>
          </w:p>
          <w:p>
            <w:pPr>
              <w:pageBreakBefore w:val="0"/>
              <w:widowControl/>
              <w:wordWrap w:val="0"/>
              <w:bidi w:val="0"/>
              <w:adjustRightInd w:val="0"/>
              <w:snapToGrid w:val="0"/>
              <w:spacing w:line="360" w:lineRule="auto"/>
              <w:ind w:firstLine="456" w:firstLineChars="200"/>
              <w:rPr>
                <w:rFonts w:hint="default"/>
                <w:color w:val="000000"/>
                <w:spacing w:val="-6"/>
                <w:lang w:val="en-US" w:eastAsia="zh-CN"/>
              </w:rPr>
            </w:pPr>
            <w:r>
              <w:rPr>
                <w:rFonts w:hint="eastAsia"/>
                <w:color w:val="000000"/>
                <w:spacing w:val="-6"/>
                <w:lang w:val="en-US" w:eastAsia="zh-CN"/>
              </w:rPr>
              <w:t>（1）</w:t>
            </w:r>
            <w:r>
              <w:rPr>
                <w:rFonts w:hint="default"/>
                <w:color w:val="000000"/>
                <w:spacing w:val="-6"/>
                <w:lang w:val="en-US" w:eastAsia="zh-CN"/>
              </w:rPr>
              <w:t>临时占地</w:t>
            </w:r>
          </w:p>
          <w:p>
            <w:pPr>
              <w:pageBreakBefore w:val="0"/>
              <w:widowControl/>
              <w:wordWrap w:val="0"/>
              <w:bidi w:val="0"/>
              <w:adjustRightInd w:val="0"/>
              <w:snapToGrid w:val="0"/>
              <w:spacing w:line="360" w:lineRule="auto"/>
              <w:ind w:firstLine="456" w:firstLineChars="200"/>
              <w:rPr>
                <w:rFonts w:hint="default"/>
                <w:color w:val="000000"/>
                <w:spacing w:val="-6"/>
                <w:lang w:val="en-US" w:eastAsia="zh-CN"/>
              </w:rPr>
            </w:pPr>
            <w:r>
              <w:rPr>
                <w:rFonts w:hint="default"/>
                <w:color w:val="000000"/>
                <w:spacing w:val="-6"/>
                <w:lang w:val="en-US" w:eastAsia="zh-CN"/>
              </w:rPr>
              <w:t>临时占地包括工程建设期间临时征用的所有土地，主要为临时运输道路等占地，施工结束后将恢复现有的使用功能。临时生活区等在划定区域内，不新增用地。</w:t>
            </w:r>
          </w:p>
          <w:p>
            <w:pPr>
              <w:pageBreakBefore w:val="0"/>
              <w:widowControl/>
              <w:wordWrap w:val="0"/>
              <w:bidi w:val="0"/>
              <w:adjustRightInd w:val="0"/>
              <w:snapToGrid w:val="0"/>
              <w:spacing w:line="360" w:lineRule="auto"/>
              <w:ind w:firstLine="456" w:firstLineChars="200"/>
              <w:rPr>
                <w:rFonts w:hint="default"/>
                <w:color w:val="000000"/>
                <w:spacing w:val="-6"/>
                <w:lang w:val="en-US" w:eastAsia="zh-CN"/>
              </w:rPr>
            </w:pPr>
            <w:r>
              <w:rPr>
                <w:rFonts w:hint="eastAsia"/>
                <w:color w:val="000000"/>
                <w:spacing w:val="-6"/>
                <w:lang w:val="en-US" w:eastAsia="zh-CN"/>
              </w:rPr>
              <w:t>（2）</w:t>
            </w:r>
            <w:r>
              <w:rPr>
                <w:rFonts w:hint="default"/>
                <w:color w:val="000000"/>
                <w:spacing w:val="-6"/>
                <w:lang w:val="en-US" w:eastAsia="zh-CN"/>
              </w:rPr>
              <w:t>永久占地</w:t>
            </w:r>
          </w:p>
          <w:p>
            <w:pPr>
              <w:pageBreakBefore w:val="0"/>
              <w:widowControl/>
              <w:wordWrap w:val="0"/>
              <w:bidi w:val="0"/>
              <w:adjustRightInd w:val="0"/>
              <w:snapToGrid w:val="0"/>
              <w:spacing w:line="360" w:lineRule="auto"/>
              <w:ind w:firstLine="456" w:firstLineChars="200"/>
              <w:rPr>
                <w:rFonts w:hint="default"/>
                <w:color w:val="000000"/>
                <w:spacing w:val="-6"/>
                <w:lang w:val="en-US" w:eastAsia="zh-CN"/>
              </w:rPr>
            </w:pPr>
            <w:r>
              <w:rPr>
                <w:rFonts w:hint="default"/>
                <w:color w:val="000000"/>
                <w:spacing w:val="-6"/>
                <w:lang w:val="en-US" w:eastAsia="zh-CN"/>
              </w:rPr>
              <w:t>永久压占土地类型为</w:t>
            </w:r>
            <w:r>
              <w:rPr>
                <w:rFonts w:hint="default" w:ascii="Times New Roman" w:hAnsi="Times New Roman" w:eastAsia="宋体" w:cs="Times New Roman"/>
                <w:color w:val="auto"/>
                <w:sz w:val="24"/>
                <w:szCs w:val="24"/>
                <w:highlight w:val="none"/>
              </w:rPr>
              <w:t>采矿用地</w:t>
            </w:r>
            <w:r>
              <w:rPr>
                <w:rFonts w:hint="eastAsia" w:ascii="Times New Roman" w:hAnsi="Times New Roman" w:eastAsia="宋体" w:cs="Times New Roman"/>
                <w:color w:val="auto"/>
                <w:lang w:eastAsia="zh-CN"/>
              </w:rPr>
              <w:t>、</w:t>
            </w:r>
            <w:r>
              <w:rPr>
                <w:rFonts w:hint="default"/>
                <w:color w:val="000000"/>
                <w:spacing w:val="-6"/>
                <w:lang w:val="en-US" w:eastAsia="zh-CN"/>
              </w:rPr>
              <w:t>裸岩石砾地，因这部分破坏的土地长时间不能达到恢复，可视为长期影响。矿山主体工程和配套工程建设将使区域内的裸岩石砾地被建设用地和交通用地所替代。因此，总的说来项目在施工期将使区域土地利用格局发生了变化。</w:t>
            </w:r>
          </w:p>
          <w:p>
            <w:pPr>
              <w:pageBreakBefore w:val="0"/>
              <w:widowControl/>
              <w:wordWrap w:val="0"/>
              <w:bidi w:val="0"/>
              <w:adjustRightInd w:val="0"/>
              <w:snapToGrid w:val="0"/>
              <w:spacing w:line="360" w:lineRule="auto"/>
              <w:ind w:firstLine="458" w:firstLineChars="200"/>
              <w:rPr>
                <w:rFonts w:hint="eastAsia"/>
                <w:b/>
                <w:bCs/>
                <w:color w:val="000000"/>
                <w:spacing w:val="-6"/>
                <w:lang w:val="en-US" w:eastAsia="zh-CN"/>
              </w:rPr>
            </w:pPr>
            <w:r>
              <w:rPr>
                <w:rFonts w:hint="eastAsia"/>
                <w:b/>
                <w:bCs/>
                <w:color w:val="000000"/>
                <w:spacing w:val="-6"/>
                <w:lang w:val="en-US" w:eastAsia="zh-CN"/>
              </w:rPr>
              <w:t>1.2对植被影响</w:t>
            </w:r>
          </w:p>
          <w:p>
            <w:pPr>
              <w:pageBreakBefore w:val="0"/>
              <w:widowControl/>
              <w:wordWrap w:val="0"/>
              <w:bidi w:val="0"/>
              <w:adjustRightInd w:val="0"/>
              <w:snapToGrid w:val="0"/>
              <w:spacing w:line="360" w:lineRule="auto"/>
              <w:ind w:firstLine="456" w:firstLineChars="200"/>
              <w:rPr>
                <w:rFonts w:hint="default" w:eastAsia="宋体"/>
                <w:color w:val="000000"/>
                <w:spacing w:val="-6"/>
                <w:lang w:val="en-US" w:eastAsia="zh-CN"/>
              </w:rPr>
            </w:pPr>
            <w:r>
              <w:rPr>
                <w:rFonts w:hint="eastAsia"/>
                <w:color w:val="000000"/>
                <w:spacing w:val="-6"/>
                <w:lang w:val="en-US" w:eastAsia="zh-CN"/>
              </w:rPr>
              <w:t>施工期占地会对占地范围内的植被造成影响，但在人工措施的辅助下可以逐步得到恢复。由于本项目区基本为荒漠草原地带，植被稀少，这些植被均为区域的优势种，分布广泛，适应环境能力较强，因此拟建项目的建设不会造成该区段的生物量大量减少，亦不会造成物种丧失和生物多样性下降。</w:t>
            </w:r>
          </w:p>
          <w:p>
            <w:pPr>
              <w:pageBreakBefore w:val="0"/>
              <w:widowControl/>
              <w:numPr>
                <w:ilvl w:val="0"/>
                <w:numId w:val="0"/>
              </w:numPr>
              <w:wordWrap w:val="0"/>
              <w:bidi w:val="0"/>
              <w:adjustRightInd w:val="0"/>
              <w:snapToGrid w:val="0"/>
              <w:spacing w:line="360" w:lineRule="auto"/>
              <w:ind w:firstLine="458" w:firstLineChars="200"/>
              <w:rPr>
                <w:rFonts w:hint="eastAsia"/>
                <w:b/>
                <w:bCs/>
                <w:color w:val="000000"/>
                <w:spacing w:val="-6"/>
              </w:rPr>
            </w:pPr>
            <w:r>
              <w:rPr>
                <w:rFonts w:hint="eastAsia" w:cstheme="minorBidi"/>
                <w:b/>
                <w:bCs/>
                <w:color w:val="000000"/>
                <w:spacing w:val="-6"/>
                <w:kern w:val="2"/>
                <w:sz w:val="24"/>
                <w:szCs w:val="24"/>
                <w:lang w:val="en-US" w:eastAsia="zh-CN" w:bidi="ar-SA"/>
              </w:rPr>
              <w:t>1.3</w:t>
            </w:r>
            <w:r>
              <w:rPr>
                <w:rFonts w:hint="eastAsia"/>
                <w:b/>
                <w:bCs/>
                <w:color w:val="000000"/>
                <w:spacing w:val="-6"/>
              </w:rPr>
              <w:t>对野生动物的影响</w:t>
            </w:r>
          </w:p>
          <w:p>
            <w:pPr>
              <w:pageBreakBefore w:val="0"/>
              <w:widowControl/>
              <w:numPr>
                <w:ilvl w:val="0"/>
                <w:numId w:val="0"/>
              </w:numPr>
              <w:wordWrap w:val="0"/>
              <w:bidi w:val="0"/>
              <w:adjustRightInd w:val="0"/>
              <w:snapToGrid w:val="0"/>
              <w:spacing w:line="360" w:lineRule="auto"/>
              <w:ind w:firstLine="456" w:firstLineChars="200"/>
              <w:rPr>
                <w:rFonts w:hint="eastAsia"/>
                <w:color w:val="000000"/>
                <w:spacing w:val="-6"/>
              </w:rPr>
            </w:pPr>
            <w:r>
              <w:rPr>
                <w:rFonts w:hint="eastAsia"/>
                <w:color w:val="000000"/>
                <w:spacing w:val="-6"/>
              </w:rPr>
              <w:t>施工机械噪声和人员活动噪声是对野生动物的主要影响因素。施工期间，人类活动、交通运输工具与施工机械产生的噪声、灯光等可能对在施工区及邻近地区栖息和觅食的野生动物产生一定的影响。由于项目区野生动物极少，对周围环境野生动物影响不大。</w:t>
            </w:r>
          </w:p>
          <w:p>
            <w:pPr>
              <w:pageBreakBefore w:val="0"/>
              <w:widowControl/>
              <w:numPr>
                <w:ilvl w:val="0"/>
                <w:numId w:val="0"/>
              </w:numPr>
              <w:wordWrap w:val="0"/>
              <w:bidi w:val="0"/>
              <w:adjustRightInd w:val="0"/>
              <w:snapToGrid w:val="0"/>
              <w:spacing w:line="360" w:lineRule="auto"/>
              <w:ind w:firstLine="458" w:firstLineChars="200"/>
              <w:rPr>
                <w:rFonts w:hint="eastAsia"/>
                <w:b/>
                <w:bCs/>
                <w:color w:val="000000"/>
                <w:spacing w:val="-6"/>
              </w:rPr>
            </w:pPr>
            <w:r>
              <w:rPr>
                <w:rFonts w:hint="eastAsia"/>
                <w:b/>
                <w:bCs/>
                <w:color w:val="000000"/>
                <w:spacing w:val="-6"/>
                <w:lang w:val="en-US" w:eastAsia="zh-CN"/>
              </w:rPr>
              <w:t>1.4</w:t>
            </w:r>
            <w:r>
              <w:rPr>
                <w:rFonts w:hint="eastAsia"/>
                <w:b/>
                <w:bCs/>
                <w:color w:val="000000"/>
                <w:spacing w:val="-6"/>
              </w:rPr>
              <w:t>对土壤影响</w:t>
            </w:r>
          </w:p>
          <w:p>
            <w:pPr>
              <w:pageBreakBefore w:val="0"/>
              <w:widowControl/>
              <w:wordWrap w:val="0"/>
              <w:bidi w:val="0"/>
              <w:adjustRightInd w:val="0"/>
              <w:snapToGrid w:val="0"/>
              <w:spacing w:line="360" w:lineRule="auto"/>
              <w:ind w:firstLine="456" w:firstLineChars="200"/>
              <w:rPr>
                <w:rFonts w:hint="eastAsia"/>
                <w:color w:val="000000"/>
                <w:spacing w:val="-6"/>
                <w:lang w:val="en-US" w:eastAsia="zh-CN"/>
              </w:rPr>
            </w:pPr>
            <w:r>
              <w:rPr>
                <w:rFonts w:hint="eastAsia"/>
                <w:color w:val="000000"/>
                <w:spacing w:val="-6"/>
                <w:lang w:val="en-US" w:eastAsia="zh-CN"/>
              </w:rPr>
              <w:t>项目所在区域土壤类型为砂质棕漠土，植被稀少，土地贫瘠，有机质含量低。矿区内各种施工活动的临时占地如施工带平整、矿区开拓、作业道路的修建和辅助系统等工程施工占地，对实施区域的土壤环境造成局部性破坏和干扰，不同程度地破坏了局部区域土壤结构，扰乱地表土壤层。根据类比调查和有关资料，此类活动将使土壤有机质降低，影响土壤结构，降低土壤养分。此外，施工中机械碾压、人员践踏、土体翻出堆放地表等，也会造成一定区域内的土壤板结，使土壤生产能力降低。施工回填后剩余的土方造成土壤松散，易引起水土流失，导致土壤中养分的损失。</w:t>
            </w:r>
          </w:p>
          <w:p>
            <w:pPr>
              <w:pageBreakBefore w:val="0"/>
              <w:widowControl/>
              <w:wordWrap w:val="0"/>
              <w:bidi w:val="0"/>
              <w:adjustRightInd w:val="0"/>
              <w:snapToGrid w:val="0"/>
              <w:spacing w:line="360" w:lineRule="auto"/>
              <w:ind w:firstLine="456" w:firstLineChars="200"/>
              <w:rPr>
                <w:rFonts w:hint="eastAsia"/>
                <w:color w:val="000000"/>
                <w:spacing w:val="-6"/>
                <w:lang w:val="en-US" w:eastAsia="zh-CN"/>
              </w:rPr>
            </w:pPr>
            <w:r>
              <w:rPr>
                <w:rFonts w:hint="eastAsia"/>
                <w:color w:val="000000"/>
                <w:spacing w:val="-6"/>
                <w:lang w:val="en-US" w:eastAsia="zh-CN"/>
              </w:rPr>
              <w:t>施工过程中，各种机械设备和车辆排放的废气与油污、丢弃的固体废物、施工机具车辆的清洗污水、临时生活点排放的生活污水等，也将对土壤环境产生一定的影响。</w:t>
            </w:r>
          </w:p>
          <w:p>
            <w:pPr>
              <w:pageBreakBefore w:val="0"/>
              <w:widowControl/>
              <w:numPr>
                <w:ilvl w:val="0"/>
                <w:numId w:val="0"/>
              </w:numPr>
              <w:wordWrap w:val="0"/>
              <w:bidi w:val="0"/>
              <w:adjustRightInd w:val="0"/>
              <w:snapToGrid w:val="0"/>
              <w:spacing w:line="360" w:lineRule="auto"/>
              <w:ind w:firstLine="456" w:firstLineChars="200"/>
              <w:rPr>
                <w:color w:val="000000"/>
                <w:spacing w:val="-6"/>
              </w:rPr>
            </w:pPr>
            <w:r>
              <w:rPr>
                <w:rFonts w:hint="eastAsia"/>
                <w:color w:val="000000"/>
                <w:spacing w:val="-6"/>
                <w:lang w:val="en-US" w:eastAsia="zh-CN"/>
              </w:rPr>
              <w:t>项目永久占地，地表土壤在施工过程中将彻底清除或被覆盖，施工结束后被水泥建构物等替代，从而根本上改变了所占区域地表覆盖层类型和性质，地表土壤永久不可恢复。项目永久占地面积较小，对区域土壤环境影响较小</w:t>
            </w:r>
            <w:r>
              <w:rPr>
                <w:rFonts w:hint="eastAsia"/>
                <w:color w:val="000000"/>
                <w:spacing w:val="-6"/>
              </w:rPr>
              <w:t>。</w:t>
            </w:r>
          </w:p>
          <w:p>
            <w:pPr>
              <w:pageBreakBefore w:val="0"/>
              <w:widowControl/>
              <w:numPr>
                <w:ilvl w:val="0"/>
                <w:numId w:val="0"/>
              </w:numPr>
              <w:wordWrap w:val="0"/>
              <w:bidi w:val="0"/>
              <w:adjustRightInd w:val="0"/>
              <w:snapToGrid w:val="0"/>
              <w:spacing w:line="360" w:lineRule="auto"/>
              <w:ind w:firstLine="458" w:firstLineChars="200"/>
              <w:rPr>
                <w:rFonts w:hint="eastAsia"/>
                <w:b/>
                <w:bCs/>
                <w:color w:val="000000"/>
                <w:spacing w:val="-6"/>
              </w:rPr>
            </w:pPr>
            <w:r>
              <w:rPr>
                <w:rFonts w:hint="eastAsia"/>
                <w:b/>
                <w:bCs/>
                <w:color w:val="000000"/>
                <w:spacing w:val="-6"/>
                <w:lang w:val="en-US" w:eastAsia="zh-CN"/>
              </w:rPr>
              <w:t>1.5</w:t>
            </w:r>
            <w:r>
              <w:rPr>
                <w:rFonts w:hint="eastAsia"/>
                <w:b/>
                <w:bCs/>
                <w:color w:val="000000"/>
                <w:spacing w:val="-6"/>
              </w:rPr>
              <w:t>对施工沿线的影响</w:t>
            </w:r>
          </w:p>
          <w:p>
            <w:pPr>
              <w:pageBreakBefore w:val="0"/>
              <w:widowControl/>
              <w:numPr>
                <w:ilvl w:val="0"/>
                <w:numId w:val="0"/>
              </w:numPr>
              <w:wordWrap w:val="0"/>
              <w:bidi w:val="0"/>
              <w:adjustRightInd w:val="0"/>
              <w:snapToGrid w:val="0"/>
              <w:spacing w:line="360" w:lineRule="auto"/>
              <w:ind w:firstLine="456" w:firstLineChars="200"/>
              <w:rPr>
                <w:color w:val="000000"/>
                <w:spacing w:val="-6"/>
              </w:rPr>
            </w:pPr>
            <w:r>
              <w:rPr>
                <w:rFonts w:hint="eastAsia"/>
                <w:color w:val="000000"/>
                <w:spacing w:val="-6"/>
              </w:rPr>
              <w:t>施工期对施工沿线的影响主要来源于运输车辆，车辆在运输过程中，白天对沿线道路的居民会产生一定影响。因此，在运输车辆经过居民区时禁止鸣笛，并减速慢行后，施工期车辆运输对施工沿线的影响较小。</w:t>
            </w:r>
          </w:p>
          <w:p>
            <w:pPr>
              <w:pageBreakBefore w:val="0"/>
              <w:widowControl/>
              <w:wordWrap w:val="0"/>
              <w:bidi w:val="0"/>
              <w:adjustRightInd w:val="0"/>
              <w:snapToGrid w:val="0"/>
              <w:spacing w:line="360" w:lineRule="auto"/>
              <w:ind w:firstLine="458" w:firstLineChars="200"/>
              <w:rPr>
                <w:rFonts w:hint="default" w:eastAsia="宋体"/>
                <w:b/>
                <w:bCs/>
                <w:color w:val="000000"/>
                <w:spacing w:val="-6"/>
                <w:lang w:val="en-US" w:eastAsia="zh-CN"/>
              </w:rPr>
            </w:pPr>
            <w:r>
              <w:rPr>
                <w:rFonts w:hint="eastAsia"/>
                <w:b/>
                <w:bCs/>
                <w:color w:val="000000"/>
                <w:spacing w:val="-6"/>
                <w:lang w:val="en-US" w:eastAsia="zh-CN"/>
              </w:rPr>
              <w:t>1.6水土流失影响</w:t>
            </w:r>
          </w:p>
          <w:p>
            <w:pPr>
              <w:pageBreakBefore w:val="0"/>
              <w:widowControl/>
              <w:wordWrap w:val="0"/>
              <w:bidi w:val="0"/>
              <w:adjustRightInd w:val="0"/>
              <w:snapToGrid w:val="0"/>
              <w:spacing w:line="360" w:lineRule="auto"/>
              <w:ind w:firstLine="456" w:firstLineChars="200"/>
              <w:rPr>
                <w:color w:val="000000"/>
                <w:spacing w:val="-6"/>
              </w:rPr>
            </w:pPr>
            <w:r>
              <w:rPr>
                <w:rFonts w:hint="eastAsia"/>
                <w:color w:val="000000"/>
                <w:spacing w:val="-6"/>
                <w:lang w:eastAsia="zh-CN"/>
              </w:rPr>
              <w:t>本项目</w:t>
            </w:r>
            <w:r>
              <w:rPr>
                <w:rFonts w:hint="eastAsia"/>
                <w:color w:val="000000"/>
                <w:spacing w:val="-6"/>
              </w:rPr>
              <w:t>可能造成的水土流失量分为</w:t>
            </w:r>
            <w:r>
              <w:rPr>
                <w:rFonts w:hint="eastAsia"/>
                <w:color w:val="000000"/>
                <w:spacing w:val="-6"/>
                <w:lang w:eastAsia="zh-CN"/>
              </w:rPr>
              <w:t>两步</w:t>
            </w:r>
            <w:r>
              <w:rPr>
                <w:rFonts w:hint="eastAsia"/>
                <w:color w:val="000000"/>
                <w:spacing w:val="-6"/>
              </w:rPr>
              <w:t>：一是施工过程中损坏原地貌，降低土壤抗蚀性和边坡稳定性而增加间接水土流失量；二是土方开挖和堆放增加的直接水土流失量。项目施工过程中若不采取水土保持措施，将加剧项目区水土流失情况。本项目施工建设过程中，破坏了地表结构，不同程度</w:t>
            </w:r>
            <w:r>
              <w:rPr>
                <w:rFonts w:hint="eastAsia"/>
                <w:color w:val="000000"/>
                <w:spacing w:val="-6"/>
                <w:lang w:eastAsia="zh-CN"/>
              </w:rPr>
              <w:t>地</w:t>
            </w:r>
            <w:r>
              <w:rPr>
                <w:rFonts w:hint="eastAsia"/>
                <w:color w:val="000000"/>
                <w:spacing w:val="-6"/>
              </w:rPr>
              <w:t>改变了原有地表水的循环途径。同时，建筑的建设增加了地表硬化面积，减少了雨水的入渗，从而降低了雨水的利用率。项目</w:t>
            </w:r>
            <w:r>
              <w:rPr>
                <w:rFonts w:hint="eastAsia"/>
                <w:color w:val="000000"/>
                <w:spacing w:val="-6"/>
                <w:lang w:eastAsia="zh-CN"/>
              </w:rPr>
              <w:t>建设</w:t>
            </w:r>
            <w:r>
              <w:rPr>
                <w:rFonts w:hint="eastAsia"/>
                <w:color w:val="000000"/>
                <w:spacing w:val="-6"/>
              </w:rPr>
              <w:t>过程，在施工场地周围建立围挡，修建排水沟；生活区建成后，对生活区进行绿化，不会产生较大规模的水土流失。</w:t>
            </w:r>
          </w:p>
          <w:p>
            <w:pPr>
              <w:pStyle w:val="3"/>
              <w:keepNext/>
              <w:keepLines/>
              <w:pageBreakBefore w:val="0"/>
              <w:widowControl w:val="0"/>
              <w:numPr>
                <w:ilvl w:val="0"/>
                <w:numId w:val="0"/>
              </w:numPr>
              <w:kinsoku/>
              <w:wordWrap w:val="0"/>
              <w:overflowPunct/>
              <w:topLinePunct w:val="0"/>
              <w:autoSpaceDE/>
              <w:autoSpaceDN/>
              <w:bidi w:val="0"/>
              <w:adjustRightInd/>
              <w:snapToGrid/>
              <w:spacing w:beforeLines="0" w:afterLines="0" w:line="360" w:lineRule="auto"/>
              <w:textAlignment w:val="auto"/>
              <w:outlineLvl w:val="1"/>
            </w:pPr>
            <w:r>
              <w:rPr>
                <w:rFonts w:hint="default" w:ascii="Times New Roman" w:hAnsi="Times New Roman" w:cs="Times New Roman"/>
                <w:b/>
                <w:kern w:val="2"/>
                <w:sz w:val="24"/>
                <w:szCs w:val="24"/>
                <w:lang w:val="en-US" w:eastAsia="zh-CN" w:bidi="ar-SA"/>
              </w:rPr>
              <w:t>2</w:t>
            </w:r>
            <w:r>
              <w:rPr>
                <w:rFonts w:hint="default" w:ascii="Times New Roman" w:hAnsi="Times New Roman" w:eastAsia="宋体" w:cs="Times New Roman"/>
                <w:b/>
                <w:kern w:val="2"/>
                <w:sz w:val="24"/>
                <w:szCs w:val="24"/>
                <w:lang w:val="en-US" w:eastAsia="zh-CN" w:bidi="ar-SA"/>
              </w:rPr>
              <w:t>.</w:t>
            </w:r>
            <w:r>
              <w:rPr>
                <w:rFonts w:hint="default" w:ascii="Times New Roman" w:hAnsi="Times New Roman" w:cs="Times New Roman"/>
              </w:rPr>
              <w:t>施工期环</w:t>
            </w:r>
            <w:r>
              <w:rPr>
                <w:rFonts w:hint="eastAsia"/>
              </w:rPr>
              <w:t>境空气影响分析</w:t>
            </w:r>
          </w:p>
          <w:p>
            <w:pPr>
              <w:pageBreakBefore w:val="0"/>
              <w:wordWrap w:val="0"/>
              <w:bidi w:val="0"/>
              <w:ind w:firstLine="480"/>
            </w:pPr>
            <w:r>
              <w:t>根据各类施工活动的排污特点，本工程施工期对空气环境的影响主要来自施工活动和施工车辆行驶时产生的扬尘，施工燃油机械、运输车辆排放的废气。</w:t>
            </w:r>
          </w:p>
          <w:p>
            <w:pPr>
              <w:pageBreakBefore w:val="0"/>
              <w:numPr>
                <w:ilvl w:val="0"/>
                <w:numId w:val="0"/>
              </w:numPr>
              <w:wordWrap w:val="0"/>
              <w:bidi w:val="0"/>
              <w:rPr>
                <w:b/>
                <w:bCs/>
              </w:rPr>
            </w:pPr>
            <w:r>
              <w:rPr>
                <w:rFonts w:hint="eastAsia"/>
                <w:b/>
                <w:bCs/>
                <w:lang w:val="en-US" w:eastAsia="zh-CN"/>
              </w:rPr>
              <w:t>2.1</w:t>
            </w:r>
            <w:r>
              <w:rPr>
                <w:b/>
                <w:bCs/>
              </w:rPr>
              <w:t>施工扬尘</w:t>
            </w:r>
          </w:p>
          <w:p>
            <w:pPr>
              <w:pStyle w:val="42"/>
              <w:pageBreakBefore w:val="0"/>
              <w:wordWrap w:val="0"/>
              <w:bidi w:val="0"/>
              <w:adjustRightInd w:val="0"/>
              <w:snapToGrid w:val="0"/>
              <w:spacing w:line="360" w:lineRule="auto"/>
              <w:ind w:firstLine="480"/>
              <w:rPr>
                <w:rFonts w:hint="eastAsia"/>
                <w:lang w:eastAsia="zh-CN"/>
              </w:rPr>
            </w:pPr>
            <w:r>
              <w:rPr>
                <w:rFonts w:hint="eastAsia"/>
              </w:rPr>
              <w:t>工程施工期场地清理，土方开挖和回填，物料装卸、运输和堆放等均会产</w:t>
            </w:r>
            <w:r>
              <w:t>生大量扬尘，车辆运输过程中也会产生粉尘散落以及道路二次扬尘，使得工区工程施工期场地清理，土方开挖和回填，物料装卸、运输和堆放等均会产及周围环境空气中总悬浮颗粒TSP浓度明显增加。</w:t>
            </w:r>
            <w:r>
              <w:rPr>
                <w:rFonts w:hint="eastAsia"/>
                <w:lang w:eastAsia="zh-CN"/>
              </w:rPr>
              <w:t>取决于</w:t>
            </w:r>
            <w:r>
              <w:t>设备、作业文明程度、场地条件等因素。因施工尘土的含水量比较低，颗粒较施工起尘量的多少取决于风力大小，物料干湿程度、施工工艺、施工机械</w:t>
            </w:r>
            <w:r>
              <w:rPr>
                <w:rFonts w:hint="eastAsia"/>
              </w:rPr>
              <w:t>较</w:t>
            </w:r>
            <w:r>
              <w:t>小，在风速大于3m/s时，施工过程会有扬尘产生。本项目施工期产生的大气污染物均属无组织排放，在时间及空间上均</w:t>
            </w:r>
            <w:r>
              <w:rPr>
                <w:rFonts w:hint="eastAsia"/>
              </w:rPr>
              <w:t>较为</w:t>
            </w:r>
            <w:r>
              <w:t>零散</w:t>
            </w:r>
            <w:r>
              <w:rPr>
                <w:rFonts w:hint="eastAsia"/>
                <w:lang w:eastAsia="zh-CN"/>
              </w:rPr>
              <w:t>。</w:t>
            </w:r>
          </w:p>
          <w:p>
            <w:pPr>
              <w:pStyle w:val="42"/>
              <w:pageBreakBefore w:val="0"/>
              <w:wordWrap w:val="0"/>
              <w:bidi w:val="0"/>
              <w:adjustRightInd w:val="0"/>
              <w:snapToGrid w:val="0"/>
              <w:spacing w:line="360" w:lineRule="auto"/>
              <w:ind w:firstLine="480"/>
              <w:rPr>
                <w:szCs w:val="24"/>
              </w:rPr>
            </w:pPr>
            <w:r>
              <w:rPr>
                <w:szCs w:val="24"/>
              </w:rPr>
              <w:t>尘粒在空气中的传播扩散情况与风速等气象条件有关也与尘粒本身的沉降速度有关。以沙尘土为例，不同粒径的尘粒的沉降速度见表4-1。</w:t>
            </w:r>
          </w:p>
          <w:p>
            <w:pPr>
              <w:pStyle w:val="45"/>
              <w:pageBreakBefore w:val="0"/>
              <w:wordWrap w:val="0"/>
              <w:bidi w:val="0"/>
              <w:adjustRightInd w:val="0"/>
              <w:snapToGrid w:val="0"/>
              <w:spacing w:line="240" w:lineRule="auto"/>
              <w:rPr>
                <w:sz w:val="21"/>
                <w:szCs w:val="21"/>
              </w:rPr>
            </w:pPr>
            <w:r>
              <w:rPr>
                <w:sz w:val="21"/>
                <w:szCs w:val="21"/>
              </w:rPr>
              <w:t>表4-1  不同粒径尘粒的沉降速度</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4"/>
              <w:gridCol w:w="828"/>
              <w:gridCol w:w="828"/>
              <w:gridCol w:w="827"/>
              <w:gridCol w:w="827"/>
              <w:gridCol w:w="828"/>
              <w:gridCol w:w="827"/>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804"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粒径</w:t>
                  </w:r>
                  <w:r>
                    <w:rPr>
                      <w:rFonts w:hint="default" w:ascii="Times New Roman" w:hAnsi="Times New Roman" w:cs="Times New Roman"/>
                      <w:sz w:val="21"/>
                      <w:szCs w:val="21"/>
                      <w:lang w:eastAsia="zh-CN"/>
                    </w:rPr>
                    <w:t>（</w:t>
                  </w:r>
                  <w:r>
                    <w:rPr>
                      <w:rFonts w:hint="default" w:ascii="Times New Roman" w:hAnsi="Times New Roman" w:cs="Times New Roman"/>
                      <w:sz w:val="21"/>
                      <w:szCs w:val="21"/>
                    </w:rPr>
                    <w:sym w:font="Symbol" w:char="F06D"/>
                  </w:r>
                  <w:r>
                    <w:rPr>
                      <w:rFonts w:hint="default" w:ascii="Times New Roman" w:hAnsi="Times New Roman" w:cs="Times New Roman"/>
                      <w:sz w:val="21"/>
                      <w:szCs w:val="21"/>
                    </w:rPr>
                    <w:t>m</w:t>
                  </w:r>
                  <w:r>
                    <w:rPr>
                      <w:rFonts w:hint="default" w:ascii="Times New Roman" w:hAnsi="Times New Roman" w:cs="Times New Roman"/>
                      <w:sz w:val="21"/>
                      <w:szCs w:val="21"/>
                      <w:lang w:eastAsia="zh-CN"/>
                    </w:rPr>
                    <w:t>）</w:t>
                  </w:r>
                </w:p>
              </w:tc>
              <w:tc>
                <w:tcPr>
                  <w:tcW w:w="828"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10</w:t>
                  </w:r>
                </w:p>
              </w:tc>
              <w:tc>
                <w:tcPr>
                  <w:tcW w:w="828"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20</w:t>
                  </w:r>
                </w:p>
              </w:tc>
              <w:tc>
                <w:tcPr>
                  <w:tcW w:w="827"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30</w:t>
                  </w:r>
                </w:p>
              </w:tc>
              <w:tc>
                <w:tcPr>
                  <w:tcW w:w="827"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40</w:t>
                  </w:r>
                </w:p>
              </w:tc>
              <w:tc>
                <w:tcPr>
                  <w:tcW w:w="828"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50</w:t>
                  </w:r>
                </w:p>
              </w:tc>
              <w:tc>
                <w:tcPr>
                  <w:tcW w:w="827"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60</w:t>
                  </w:r>
                </w:p>
              </w:tc>
              <w:tc>
                <w:tcPr>
                  <w:tcW w:w="827"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804"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沉降速度</w:t>
                  </w:r>
                  <w:r>
                    <w:rPr>
                      <w:rFonts w:hint="default" w:ascii="Times New Roman" w:hAnsi="Times New Roman" w:cs="Times New Roman"/>
                      <w:sz w:val="21"/>
                      <w:szCs w:val="21"/>
                      <w:lang w:eastAsia="zh-CN"/>
                    </w:rPr>
                    <w:t>（</w:t>
                  </w:r>
                  <w:r>
                    <w:rPr>
                      <w:rFonts w:hint="default" w:ascii="Times New Roman" w:hAnsi="Times New Roman" w:cs="Times New Roman"/>
                      <w:sz w:val="21"/>
                      <w:szCs w:val="21"/>
                    </w:rPr>
                    <w:t>m/s</w:t>
                  </w:r>
                  <w:r>
                    <w:rPr>
                      <w:rFonts w:hint="default" w:ascii="Times New Roman" w:hAnsi="Times New Roman" w:cs="Times New Roman"/>
                      <w:sz w:val="21"/>
                      <w:szCs w:val="21"/>
                      <w:lang w:eastAsia="zh-CN"/>
                    </w:rPr>
                    <w:t>）</w:t>
                  </w:r>
                </w:p>
              </w:tc>
              <w:tc>
                <w:tcPr>
                  <w:tcW w:w="828"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3</w:t>
                  </w:r>
                </w:p>
              </w:tc>
              <w:tc>
                <w:tcPr>
                  <w:tcW w:w="828"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0.012</w:t>
                  </w:r>
                </w:p>
              </w:tc>
              <w:tc>
                <w:tcPr>
                  <w:tcW w:w="827"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0.027</w:t>
                  </w:r>
                </w:p>
              </w:tc>
              <w:tc>
                <w:tcPr>
                  <w:tcW w:w="827"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0.048</w:t>
                  </w:r>
                </w:p>
              </w:tc>
              <w:tc>
                <w:tcPr>
                  <w:tcW w:w="828"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0.075</w:t>
                  </w:r>
                </w:p>
              </w:tc>
              <w:tc>
                <w:tcPr>
                  <w:tcW w:w="827"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0.108</w:t>
                  </w:r>
                </w:p>
              </w:tc>
              <w:tc>
                <w:tcPr>
                  <w:tcW w:w="827"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0.147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804"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粒径</w:t>
                  </w:r>
                  <w:r>
                    <w:rPr>
                      <w:rFonts w:hint="default" w:ascii="Times New Roman" w:hAnsi="Times New Roman" w:cs="Times New Roman"/>
                      <w:sz w:val="21"/>
                      <w:szCs w:val="21"/>
                      <w:lang w:eastAsia="zh-CN"/>
                    </w:rPr>
                    <w:t>（</w:t>
                  </w:r>
                  <w:r>
                    <w:rPr>
                      <w:rFonts w:hint="default" w:ascii="Times New Roman" w:hAnsi="Times New Roman" w:cs="Times New Roman"/>
                      <w:sz w:val="21"/>
                      <w:szCs w:val="21"/>
                    </w:rPr>
                    <w:sym w:font="Symbol" w:char="F06D"/>
                  </w:r>
                  <w:r>
                    <w:rPr>
                      <w:rFonts w:hint="default" w:ascii="Times New Roman" w:hAnsi="Times New Roman" w:cs="Times New Roman"/>
                      <w:sz w:val="21"/>
                      <w:szCs w:val="21"/>
                    </w:rPr>
                    <w:t>m</w:t>
                  </w:r>
                  <w:r>
                    <w:rPr>
                      <w:rFonts w:hint="default" w:ascii="Times New Roman" w:hAnsi="Times New Roman" w:cs="Times New Roman"/>
                      <w:sz w:val="21"/>
                      <w:szCs w:val="21"/>
                      <w:lang w:eastAsia="zh-CN"/>
                    </w:rPr>
                    <w:t>）</w:t>
                  </w:r>
                </w:p>
              </w:tc>
              <w:tc>
                <w:tcPr>
                  <w:tcW w:w="828"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80</w:t>
                  </w:r>
                </w:p>
              </w:tc>
              <w:tc>
                <w:tcPr>
                  <w:tcW w:w="828"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90</w:t>
                  </w:r>
                </w:p>
              </w:tc>
              <w:tc>
                <w:tcPr>
                  <w:tcW w:w="827"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100</w:t>
                  </w:r>
                </w:p>
              </w:tc>
              <w:tc>
                <w:tcPr>
                  <w:tcW w:w="827"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150</w:t>
                  </w:r>
                </w:p>
              </w:tc>
              <w:tc>
                <w:tcPr>
                  <w:tcW w:w="828"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200</w:t>
                  </w:r>
                </w:p>
              </w:tc>
              <w:tc>
                <w:tcPr>
                  <w:tcW w:w="827"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250</w:t>
                  </w:r>
                </w:p>
              </w:tc>
              <w:tc>
                <w:tcPr>
                  <w:tcW w:w="827"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804"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沉降速度</w:t>
                  </w:r>
                  <w:r>
                    <w:rPr>
                      <w:rFonts w:hint="default" w:ascii="Times New Roman" w:hAnsi="Times New Roman" w:cs="Times New Roman"/>
                      <w:sz w:val="21"/>
                      <w:szCs w:val="21"/>
                      <w:lang w:eastAsia="zh-CN"/>
                    </w:rPr>
                    <w:t>（</w:t>
                  </w:r>
                  <w:r>
                    <w:rPr>
                      <w:rFonts w:hint="default" w:ascii="Times New Roman" w:hAnsi="Times New Roman" w:cs="Times New Roman"/>
                      <w:sz w:val="21"/>
                      <w:szCs w:val="21"/>
                    </w:rPr>
                    <w:t>m/s</w:t>
                  </w:r>
                  <w:r>
                    <w:rPr>
                      <w:rFonts w:hint="default" w:ascii="Times New Roman" w:hAnsi="Times New Roman" w:cs="Times New Roman"/>
                      <w:sz w:val="21"/>
                      <w:szCs w:val="21"/>
                      <w:lang w:eastAsia="zh-CN"/>
                    </w:rPr>
                    <w:t>）</w:t>
                  </w:r>
                </w:p>
              </w:tc>
              <w:tc>
                <w:tcPr>
                  <w:tcW w:w="828"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0.158</w:t>
                  </w:r>
                </w:p>
              </w:tc>
              <w:tc>
                <w:tcPr>
                  <w:tcW w:w="828"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0.170</w:t>
                  </w:r>
                </w:p>
              </w:tc>
              <w:tc>
                <w:tcPr>
                  <w:tcW w:w="827"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0.182</w:t>
                  </w:r>
                </w:p>
              </w:tc>
              <w:tc>
                <w:tcPr>
                  <w:tcW w:w="827"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0.239</w:t>
                  </w:r>
                </w:p>
              </w:tc>
              <w:tc>
                <w:tcPr>
                  <w:tcW w:w="828"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0.804</w:t>
                  </w:r>
                </w:p>
              </w:tc>
              <w:tc>
                <w:tcPr>
                  <w:tcW w:w="827"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1.005</w:t>
                  </w:r>
                </w:p>
              </w:tc>
              <w:tc>
                <w:tcPr>
                  <w:tcW w:w="827"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1.829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804"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粒径</w:t>
                  </w:r>
                  <w:r>
                    <w:rPr>
                      <w:rFonts w:hint="default" w:ascii="Times New Roman" w:hAnsi="Times New Roman" w:cs="Times New Roman"/>
                      <w:sz w:val="21"/>
                      <w:szCs w:val="21"/>
                      <w:lang w:eastAsia="zh-CN"/>
                    </w:rPr>
                    <w:t>（</w:t>
                  </w:r>
                  <w:r>
                    <w:rPr>
                      <w:rFonts w:hint="default" w:ascii="Times New Roman" w:hAnsi="Times New Roman" w:cs="Times New Roman"/>
                      <w:sz w:val="21"/>
                      <w:szCs w:val="21"/>
                    </w:rPr>
                    <w:sym w:font="Symbol" w:char="F06D"/>
                  </w:r>
                  <w:r>
                    <w:rPr>
                      <w:rFonts w:hint="default" w:ascii="Times New Roman" w:hAnsi="Times New Roman" w:cs="Times New Roman"/>
                      <w:sz w:val="21"/>
                      <w:szCs w:val="21"/>
                    </w:rPr>
                    <w:t>m</w:t>
                  </w:r>
                  <w:r>
                    <w:rPr>
                      <w:rFonts w:hint="default" w:ascii="Times New Roman" w:hAnsi="Times New Roman" w:cs="Times New Roman"/>
                      <w:sz w:val="21"/>
                      <w:szCs w:val="21"/>
                      <w:lang w:eastAsia="zh-CN"/>
                    </w:rPr>
                    <w:t>）</w:t>
                  </w:r>
                </w:p>
              </w:tc>
              <w:tc>
                <w:tcPr>
                  <w:tcW w:w="828"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828"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550</w:t>
                  </w:r>
                </w:p>
              </w:tc>
              <w:tc>
                <w:tcPr>
                  <w:tcW w:w="827"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650</w:t>
                  </w:r>
                </w:p>
              </w:tc>
              <w:tc>
                <w:tcPr>
                  <w:tcW w:w="827"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750</w:t>
                  </w:r>
                </w:p>
              </w:tc>
              <w:tc>
                <w:tcPr>
                  <w:tcW w:w="828"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850</w:t>
                  </w:r>
                </w:p>
              </w:tc>
              <w:tc>
                <w:tcPr>
                  <w:tcW w:w="827"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950</w:t>
                  </w:r>
                </w:p>
              </w:tc>
              <w:tc>
                <w:tcPr>
                  <w:tcW w:w="827"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804"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沉降速度</w:t>
                  </w:r>
                  <w:r>
                    <w:rPr>
                      <w:rFonts w:hint="default" w:ascii="Times New Roman" w:hAnsi="Times New Roman" w:cs="Times New Roman"/>
                      <w:sz w:val="21"/>
                      <w:szCs w:val="21"/>
                      <w:lang w:eastAsia="zh-CN"/>
                    </w:rPr>
                    <w:t>（</w:t>
                  </w:r>
                  <w:r>
                    <w:rPr>
                      <w:rFonts w:hint="default" w:ascii="Times New Roman" w:hAnsi="Times New Roman" w:cs="Times New Roman"/>
                      <w:sz w:val="21"/>
                      <w:szCs w:val="21"/>
                    </w:rPr>
                    <w:t>m/s</w:t>
                  </w:r>
                  <w:r>
                    <w:rPr>
                      <w:rFonts w:hint="default" w:ascii="Times New Roman" w:hAnsi="Times New Roman" w:cs="Times New Roman"/>
                      <w:sz w:val="21"/>
                      <w:szCs w:val="21"/>
                      <w:lang w:eastAsia="zh-CN"/>
                    </w:rPr>
                    <w:t>）</w:t>
                  </w:r>
                </w:p>
              </w:tc>
              <w:tc>
                <w:tcPr>
                  <w:tcW w:w="828"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2.211</w:t>
                  </w:r>
                </w:p>
              </w:tc>
              <w:tc>
                <w:tcPr>
                  <w:tcW w:w="828"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2.614</w:t>
                  </w:r>
                </w:p>
              </w:tc>
              <w:tc>
                <w:tcPr>
                  <w:tcW w:w="827"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3.016</w:t>
                  </w:r>
                </w:p>
              </w:tc>
              <w:tc>
                <w:tcPr>
                  <w:tcW w:w="827"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3.418</w:t>
                  </w:r>
                </w:p>
              </w:tc>
              <w:tc>
                <w:tcPr>
                  <w:tcW w:w="828"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3.820</w:t>
                  </w:r>
                </w:p>
              </w:tc>
              <w:tc>
                <w:tcPr>
                  <w:tcW w:w="827"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4.222</w:t>
                  </w:r>
                </w:p>
              </w:tc>
              <w:tc>
                <w:tcPr>
                  <w:tcW w:w="827" w:type="dxa"/>
                  <w:vAlign w:val="center"/>
                </w:tcPr>
                <w:p>
                  <w:pPr>
                    <w:pStyle w:val="44"/>
                    <w:pageBreakBefore w:val="0"/>
                    <w:wordWrap w:val="0"/>
                    <w:bidi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4.624</w:t>
                  </w:r>
                </w:p>
              </w:tc>
            </w:tr>
          </w:tbl>
          <w:p>
            <w:pPr>
              <w:pStyle w:val="42"/>
              <w:pageBreakBefore w:val="0"/>
              <w:wordWrap w:val="0"/>
              <w:autoSpaceDE w:val="0"/>
              <w:autoSpaceDN w:val="0"/>
              <w:bidi w:val="0"/>
              <w:adjustRightInd w:val="0"/>
              <w:snapToGrid w:val="0"/>
              <w:spacing w:line="360" w:lineRule="auto"/>
              <w:ind w:firstLine="480"/>
            </w:pPr>
            <w:r>
              <w:t>由表</w:t>
            </w:r>
            <w:r>
              <w:rPr>
                <w:rFonts w:hint="eastAsia"/>
              </w:rPr>
              <w:t>4-1</w:t>
            </w:r>
            <w:r>
              <w:t>可知，</w:t>
            </w:r>
            <w:r>
              <w:rPr>
                <w:szCs w:val="24"/>
              </w:rPr>
              <w:t>尘粒的沉降速度随粒径的增大而迅速增大。当粒径为250</w:t>
            </w:r>
            <w:r>
              <w:rPr>
                <w:szCs w:val="24"/>
              </w:rPr>
              <w:sym w:font="Symbol" w:char="F06D"/>
            </w:r>
            <w:r>
              <w:rPr>
                <w:szCs w:val="24"/>
              </w:rPr>
              <w:t>m时，沉降速度为1.005m/s，因此可以认为当尘粒大于250</w:t>
            </w:r>
            <w:r>
              <w:rPr>
                <w:szCs w:val="24"/>
              </w:rPr>
              <w:sym w:font="Symbol" w:char="F06D"/>
            </w:r>
            <w:r>
              <w:rPr>
                <w:szCs w:val="24"/>
              </w:rPr>
              <w:t>m时，主要影响范围在扬尘点下风向近距离范围内，而对外环境产生影响的是一些微小尘粒。根据现场的气候条件不同，其影响范围也有所不同。施工期间，施工扬尘势必会对该区域的环境产生一定的影响。</w:t>
            </w:r>
          </w:p>
          <w:p>
            <w:pPr>
              <w:pStyle w:val="20"/>
              <w:pageBreakBefore w:val="0"/>
              <w:widowControl/>
              <w:wordWrap w:val="0"/>
              <w:bidi w:val="0"/>
              <w:spacing w:beforeAutospacing="0" w:afterAutospacing="0" w:line="360" w:lineRule="auto"/>
              <w:ind w:left="0" w:leftChars="0" w:firstLine="0" w:firstLineChars="0"/>
              <w:rPr>
                <w:b/>
                <w:bCs/>
              </w:rPr>
            </w:pPr>
            <w:r>
              <w:rPr>
                <w:rFonts w:hint="eastAsia"/>
                <w:b/>
                <w:bCs/>
                <w:lang w:val="en-US" w:eastAsia="zh-CN"/>
              </w:rPr>
              <w:t>2.2</w:t>
            </w:r>
            <w:r>
              <w:rPr>
                <w:b/>
                <w:bCs/>
              </w:rPr>
              <w:t>施工机械及车辆废气</w:t>
            </w:r>
          </w:p>
          <w:p>
            <w:pPr>
              <w:pStyle w:val="42"/>
              <w:pageBreakBefore w:val="0"/>
              <w:wordWrap w:val="0"/>
              <w:autoSpaceDE w:val="0"/>
              <w:autoSpaceDN w:val="0"/>
              <w:bidi w:val="0"/>
              <w:adjustRightInd w:val="0"/>
              <w:snapToGrid w:val="0"/>
              <w:spacing w:line="360" w:lineRule="auto"/>
              <w:ind w:firstLine="480"/>
            </w:pPr>
            <w:r>
              <w:t>施工期间以燃油为动力的施工机械、施工车辆在施工场地附近排放一定量的CO、NO</w:t>
            </w:r>
            <w:r>
              <w:rPr>
                <w:vertAlign w:val="subscript"/>
              </w:rPr>
              <w:t>x</w:t>
            </w:r>
            <w:r>
              <w:t>、SO</w:t>
            </w:r>
            <w:r>
              <w:rPr>
                <w:vertAlign w:val="subscript"/>
              </w:rPr>
              <w:t>2</w:t>
            </w:r>
            <w:r>
              <w:t>等废气，由于本工程施工作业具有流动性和间歇性的特点，施工机械及车辆在施工区域废气排放量在总量</w:t>
            </w:r>
            <w:r>
              <w:rPr>
                <w:rFonts w:hint="eastAsia"/>
                <w:lang w:val="en-US" w:eastAsia="zh-CN"/>
              </w:rPr>
              <w:t>较小</w:t>
            </w:r>
            <w:r>
              <w:t>。另外，本工程施工区域地形开阔，空气流动条件较好，有利于污染物的扩散。因此，在加强设备及车辆的养护基础上</w:t>
            </w:r>
            <w:r>
              <w:rPr>
                <w:rFonts w:hint="eastAsia"/>
              </w:rPr>
              <w:t>，</w:t>
            </w:r>
            <w:r>
              <w:t>其对周围空气环境不会有明显的影响。</w:t>
            </w:r>
            <w:r>
              <w:rPr>
                <w:szCs w:val="24"/>
              </w:rPr>
              <w:t>另外，施工运输车辆一般为非连续行驶状态，污染物排放时间及排放量相对较少，故运输车辆尾气对大气环境影响较小。</w:t>
            </w:r>
          </w:p>
          <w:p>
            <w:pPr>
              <w:pageBreakBefore w:val="0"/>
              <w:wordWrap w:val="0"/>
              <w:bidi w:val="0"/>
              <w:ind w:firstLine="480"/>
              <w:rPr>
                <w:rFonts w:hint="default" w:ascii="Times New Roman" w:hAnsi="Times New Roman" w:cs="Times New Roman"/>
              </w:rPr>
            </w:pPr>
            <w:r>
              <w:t>综上，由于本工程施工作业具有流动性和间歇性的特点，且本工程涉及场地不大，</w:t>
            </w:r>
            <w:r>
              <w:rPr>
                <w:rFonts w:hint="default" w:ascii="Times New Roman" w:hAnsi="Times New Roman" w:cs="Times New Roman"/>
              </w:rPr>
              <w:t>扬尘产生有限。通过洒水降尘、合理规划运输路线等措施，工程的实施对周边空气环境不会有明显的影响。</w:t>
            </w:r>
          </w:p>
          <w:p>
            <w:pPr>
              <w:pStyle w:val="3"/>
              <w:pageBreakBefore w:val="0"/>
              <w:numPr>
                <w:ilvl w:val="0"/>
                <w:numId w:val="0"/>
              </w:numPr>
              <w:wordWrap w:val="0"/>
              <w:bidi w:val="0"/>
              <w:spacing w:before="156" w:after="156"/>
              <w:outlineLvl w:val="1"/>
              <w:rPr>
                <w:rFonts w:hint="default" w:ascii="Times New Roman" w:hAnsi="Times New Roman" w:cs="Times New Roman"/>
              </w:rPr>
            </w:pPr>
            <w:r>
              <w:rPr>
                <w:rFonts w:hint="default" w:ascii="Times New Roman" w:hAnsi="Times New Roman" w:cs="Times New Roman"/>
                <w:b/>
                <w:kern w:val="2"/>
                <w:sz w:val="24"/>
                <w:szCs w:val="24"/>
                <w:lang w:val="en-US" w:eastAsia="zh-CN" w:bidi="ar-SA"/>
              </w:rPr>
              <w:t>3</w:t>
            </w:r>
            <w:r>
              <w:rPr>
                <w:rFonts w:hint="default" w:ascii="Times New Roman" w:hAnsi="Times New Roman" w:eastAsia="宋体" w:cs="Times New Roman"/>
                <w:b/>
                <w:kern w:val="2"/>
                <w:sz w:val="24"/>
                <w:szCs w:val="24"/>
                <w:lang w:val="en-US" w:eastAsia="zh-CN" w:bidi="ar-SA"/>
              </w:rPr>
              <w:t>.</w:t>
            </w:r>
            <w:r>
              <w:rPr>
                <w:rFonts w:hint="default" w:ascii="Times New Roman" w:hAnsi="Times New Roman" w:cs="Times New Roman"/>
              </w:rPr>
              <w:t>施工期水环境影响分析</w:t>
            </w:r>
          </w:p>
          <w:p>
            <w:pPr>
              <w:pageBreakBefore w:val="0"/>
              <w:wordWrap w:val="0"/>
              <w:bidi w:val="0"/>
              <w:ind w:firstLine="480"/>
            </w:pPr>
            <w:r>
              <w:rPr>
                <w:rFonts w:hint="eastAsia"/>
              </w:rPr>
              <w:t>施工期</w:t>
            </w:r>
            <w:r>
              <w:t>废水主要为施工生产废水和施工人员生活污水。</w:t>
            </w:r>
          </w:p>
          <w:p>
            <w:pPr>
              <w:pageBreakBefore w:val="0"/>
              <w:wordWrap w:val="0"/>
              <w:bidi w:val="0"/>
              <w:ind w:left="0" w:leftChars="0" w:firstLine="482" w:firstLineChars="200"/>
              <w:rPr>
                <w:rFonts w:hint="default" w:eastAsia="宋体"/>
                <w:b/>
                <w:bCs/>
                <w:lang w:val="en-US" w:eastAsia="zh-CN"/>
              </w:rPr>
            </w:pPr>
            <w:r>
              <w:rPr>
                <w:rFonts w:hint="eastAsia"/>
                <w:b/>
                <w:bCs/>
                <w:lang w:val="en-US" w:eastAsia="zh-CN"/>
              </w:rPr>
              <w:t>3.1施工废水环境影响</w:t>
            </w:r>
          </w:p>
          <w:p>
            <w:pPr>
              <w:pageBreakBefore w:val="0"/>
              <w:wordWrap w:val="0"/>
              <w:bidi w:val="0"/>
              <w:ind w:firstLine="480"/>
            </w:pPr>
            <w:r>
              <w:t>施工生产废水主要为施工机械和车辆</w:t>
            </w:r>
            <w:r>
              <w:rPr>
                <w:rFonts w:hint="eastAsia"/>
                <w:lang w:eastAsia="zh-CN"/>
              </w:rPr>
              <w:t>清洗</w:t>
            </w:r>
            <w:r>
              <w:t>过程中产生的清洗废水。在施工机械、车辆维修和冲洗场所周边设排水沟，收集污水进入</w:t>
            </w:r>
            <w:r>
              <w:rPr>
                <w:rFonts w:hint="eastAsia"/>
                <w:lang w:eastAsia="zh-CN"/>
              </w:rPr>
              <w:t>隔油</w:t>
            </w:r>
            <w:r>
              <w:rPr>
                <w:highlight w:val="none"/>
              </w:rPr>
              <w:t>沉淀池</w:t>
            </w:r>
            <w:r>
              <w:t>，</w:t>
            </w:r>
            <w:r>
              <w:rPr>
                <w:rFonts w:hint="eastAsia"/>
                <w:lang w:eastAsia="zh-CN"/>
              </w:rPr>
              <w:t>沉淀后</w:t>
            </w:r>
            <w:r>
              <w:t>去除悬浮物，回用于道路洒水和车辆冲洗，不外排，对周边水环境影响较小。</w:t>
            </w:r>
          </w:p>
          <w:p>
            <w:pPr>
              <w:pageBreakBefore w:val="0"/>
              <w:wordWrap w:val="0"/>
              <w:bidi w:val="0"/>
              <w:ind w:left="0" w:leftChars="0" w:firstLine="482" w:firstLineChars="200"/>
              <w:rPr>
                <w:rFonts w:hint="default" w:eastAsia="宋体"/>
                <w:b/>
                <w:bCs/>
                <w:lang w:val="en-US" w:eastAsia="zh-CN"/>
              </w:rPr>
            </w:pPr>
            <w:r>
              <w:rPr>
                <w:rFonts w:hint="eastAsia"/>
                <w:b/>
                <w:bCs/>
                <w:lang w:val="en-US" w:eastAsia="zh-CN"/>
              </w:rPr>
              <w:t>3.2生活污水环境影响</w:t>
            </w:r>
          </w:p>
          <w:p>
            <w:pPr>
              <w:pStyle w:val="4"/>
              <w:pageBreakBefore w:val="0"/>
              <w:numPr>
                <w:ilvl w:val="1"/>
                <w:numId w:val="0"/>
              </w:numPr>
              <w:wordWrap w:val="0"/>
              <w:bidi w:val="0"/>
              <w:spacing w:line="360" w:lineRule="auto"/>
              <w:ind w:left="0" w:leftChars="0" w:firstLine="480" w:firstLineChars="200"/>
              <w:rPr>
                <w:rFonts w:hint="eastAsia" w:ascii="Times New Roman" w:hAnsi="Times New Roman" w:eastAsia="宋体" w:cstheme="minorBidi"/>
                <w:b w:val="0"/>
                <w:kern w:val="2"/>
                <w:sz w:val="24"/>
                <w:szCs w:val="24"/>
                <w:lang w:val="en-US" w:eastAsia="zh-CN" w:bidi="ar-SA"/>
              </w:rPr>
            </w:pPr>
            <w:r>
              <w:rPr>
                <w:rFonts w:ascii="Times New Roman" w:hAnsi="Times New Roman" w:eastAsia="宋体" w:cstheme="minorBidi"/>
                <w:b w:val="0"/>
                <w:kern w:val="2"/>
                <w:sz w:val="24"/>
                <w:szCs w:val="24"/>
                <w:lang w:val="en-US" w:eastAsia="zh-CN" w:bidi="ar-SA"/>
              </w:rPr>
              <w:t>生活污水影响分析本项目施工期高峰施工人数约</w:t>
            </w:r>
            <w:r>
              <w:rPr>
                <w:rFonts w:hint="eastAsia" w:ascii="Times New Roman" w:hAnsi="Times New Roman" w:eastAsia="宋体" w:cstheme="minorBidi"/>
                <w:b w:val="0"/>
                <w:kern w:val="2"/>
                <w:sz w:val="24"/>
                <w:szCs w:val="24"/>
                <w:lang w:val="en-US" w:eastAsia="zh-CN" w:bidi="ar-SA"/>
              </w:rPr>
              <w:t>20</w:t>
            </w:r>
            <w:r>
              <w:rPr>
                <w:rFonts w:ascii="Times New Roman" w:hAnsi="Times New Roman" w:eastAsia="宋体" w:cstheme="minorBidi"/>
                <w:b w:val="0"/>
                <w:kern w:val="2"/>
                <w:sz w:val="24"/>
                <w:szCs w:val="24"/>
                <w:lang w:val="en-US" w:eastAsia="zh-CN" w:bidi="ar-SA"/>
              </w:rPr>
              <w:t>人，</w:t>
            </w:r>
            <w:r>
              <w:rPr>
                <w:rFonts w:hint="eastAsia" w:ascii="Times New Roman" w:hAnsi="Times New Roman" w:eastAsia="宋体" w:cstheme="minorBidi"/>
                <w:b w:val="0"/>
                <w:kern w:val="2"/>
                <w:sz w:val="24"/>
                <w:szCs w:val="24"/>
                <w:lang w:val="en-US" w:eastAsia="zh-CN" w:bidi="ar-SA"/>
              </w:rPr>
              <w:t>生活污水产生量为0.64m</w:t>
            </w:r>
            <w:r>
              <w:rPr>
                <w:rFonts w:hint="eastAsia" w:ascii="Times New Roman" w:hAnsi="Times New Roman" w:eastAsia="宋体" w:cstheme="minorBidi"/>
                <w:b w:val="0"/>
                <w:kern w:val="2"/>
                <w:sz w:val="24"/>
                <w:szCs w:val="24"/>
                <w:vertAlign w:val="superscript"/>
                <w:lang w:val="en-US" w:eastAsia="zh-CN" w:bidi="ar-SA"/>
              </w:rPr>
              <w:t>3</w:t>
            </w:r>
            <w:r>
              <w:rPr>
                <w:rFonts w:hint="eastAsia" w:ascii="Times New Roman" w:hAnsi="Times New Roman" w:eastAsia="宋体" w:cstheme="minorBidi"/>
                <w:b w:val="0"/>
                <w:kern w:val="2"/>
                <w:sz w:val="24"/>
                <w:szCs w:val="24"/>
                <w:lang w:val="en-US" w:eastAsia="zh-CN" w:bidi="ar-SA"/>
              </w:rPr>
              <w:t>/d，其主要污染物为COD、BOD</w:t>
            </w:r>
            <w:r>
              <w:rPr>
                <w:rFonts w:hint="eastAsia" w:ascii="Times New Roman" w:hAnsi="Times New Roman" w:eastAsia="宋体" w:cstheme="minorBidi"/>
                <w:b w:val="0"/>
                <w:kern w:val="2"/>
                <w:sz w:val="24"/>
                <w:szCs w:val="24"/>
                <w:vertAlign w:val="subscript"/>
                <w:lang w:val="en-US" w:eastAsia="zh-CN" w:bidi="ar-SA"/>
              </w:rPr>
              <w:t>5</w:t>
            </w:r>
            <w:r>
              <w:rPr>
                <w:rFonts w:hint="eastAsia" w:ascii="Times New Roman" w:hAnsi="Times New Roman" w:eastAsia="宋体" w:cstheme="minorBidi"/>
                <w:b w:val="0"/>
                <w:kern w:val="2"/>
                <w:sz w:val="24"/>
                <w:szCs w:val="24"/>
                <w:lang w:val="en-US" w:eastAsia="zh-CN" w:bidi="ar-SA"/>
              </w:rPr>
              <w:t>、SS、NH</w:t>
            </w:r>
            <w:r>
              <w:rPr>
                <w:rFonts w:hint="eastAsia" w:ascii="Times New Roman" w:hAnsi="Times New Roman" w:eastAsia="宋体" w:cstheme="minorBidi"/>
                <w:b w:val="0"/>
                <w:kern w:val="2"/>
                <w:sz w:val="24"/>
                <w:szCs w:val="24"/>
                <w:vertAlign w:val="subscript"/>
                <w:lang w:val="en-US" w:eastAsia="zh-CN" w:bidi="ar-SA"/>
              </w:rPr>
              <w:t>3</w:t>
            </w:r>
            <w:r>
              <w:rPr>
                <w:rFonts w:hint="eastAsia" w:ascii="Times New Roman" w:hAnsi="Times New Roman" w:eastAsia="宋体" w:cstheme="minorBidi"/>
                <w:b w:val="0"/>
                <w:kern w:val="2"/>
                <w:sz w:val="24"/>
                <w:szCs w:val="24"/>
                <w:lang w:val="en-US" w:eastAsia="zh-CN" w:bidi="ar-SA"/>
              </w:rPr>
              <w:t>-N。</w:t>
            </w:r>
            <w:r>
              <w:rPr>
                <w:rFonts w:hint="eastAsia" w:cstheme="minorBidi"/>
                <w:b w:val="0"/>
                <w:kern w:val="2"/>
                <w:sz w:val="24"/>
                <w:szCs w:val="24"/>
                <w:lang w:val="en-US" w:eastAsia="zh-CN" w:bidi="ar-SA"/>
              </w:rPr>
              <w:t>施工场地安装移动式环保厕所，</w:t>
            </w:r>
            <w:r>
              <w:rPr>
                <w:rFonts w:ascii="Times New Roman" w:hAnsi="Times New Roman" w:eastAsia="宋体" w:cstheme="minorBidi"/>
                <w:b w:val="0"/>
                <w:kern w:val="2"/>
                <w:sz w:val="24"/>
                <w:szCs w:val="24"/>
                <w:lang w:val="en-US" w:eastAsia="zh-CN" w:bidi="ar-SA"/>
              </w:rPr>
              <w:t>施工人员生活污水</w:t>
            </w:r>
            <w:r>
              <w:rPr>
                <w:rFonts w:hint="eastAsia" w:cstheme="minorBidi"/>
                <w:b w:val="0"/>
                <w:kern w:val="2"/>
                <w:sz w:val="24"/>
                <w:szCs w:val="24"/>
                <w:lang w:val="en-US" w:eastAsia="zh-CN" w:bidi="ar-SA"/>
              </w:rPr>
              <w:t>排入环保厕所</w:t>
            </w:r>
            <w:r>
              <w:rPr>
                <w:rFonts w:hint="eastAsia" w:ascii="Times New Roman" w:hAnsi="Times New Roman" w:eastAsia="宋体" w:cstheme="minorBidi"/>
                <w:b w:val="0"/>
                <w:kern w:val="2"/>
                <w:sz w:val="24"/>
                <w:szCs w:val="24"/>
                <w:lang w:val="en-US" w:eastAsia="zh-CN" w:bidi="ar-SA"/>
              </w:rPr>
              <w:t>，定期委托个人由吸污泵车拉运至</w:t>
            </w:r>
            <w:r>
              <w:rPr>
                <w:rFonts w:hint="eastAsia" w:cstheme="minorBidi"/>
                <w:b w:val="0"/>
                <w:kern w:val="2"/>
                <w:sz w:val="24"/>
                <w:szCs w:val="24"/>
                <w:lang w:val="en-US" w:eastAsia="zh-CN" w:bidi="ar-SA"/>
              </w:rPr>
              <w:t>托克逊</w:t>
            </w:r>
            <w:r>
              <w:rPr>
                <w:rFonts w:hint="eastAsia" w:ascii="Times New Roman" w:hAnsi="Times New Roman" w:eastAsia="宋体" w:cstheme="minorBidi"/>
                <w:b w:val="0"/>
                <w:kern w:val="2"/>
                <w:sz w:val="24"/>
                <w:szCs w:val="24"/>
                <w:lang w:val="en-US" w:eastAsia="zh-CN" w:bidi="ar-SA"/>
              </w:rPr>
              <w:t>县污水处理厂处置。不会对项目周边水体水质造成不利影响。</w:t>
            </w:r>
          </w:p>
          <w:p>
            <w:pPr>
              <w:pageBreakBefore w:val="0"/>
              <w:kinsoku/>
              <w:wordWrap w:val="0"/>
              <w:overflowPunct/>
              <w:topLinePunct w:val="0"/>
              <w:autoSpaceDE/>
              <w:autoSpaceDN/>
              <w:bidi w:val="0"/>
              <w:adjustRightInd/>
              <w:snapToGrid/>
              <w:spacing w:line="360" w:lineRule="auto"/>
              <w:ind w:firstLine="480" w:firstLineChars="200"/>
              <w:jc w:val="both"/>
              <w:textAlignment w:val="auto"/>
            </w:pPr>
            <w:r>
              <w:rPr>
                <w:color w:val="000000"/>
                <w:kern w:val="0"/>
              </w:rPr>
              <w:t>项目施工期生活污水和生产废水严禁直接排放，</w:t>
            </w:r>
            <w:r>
              <w:rPr>
                <w:color w:val="000000"/>
              </w:rPr>
              <w:t>所在区域评价范围内无集中式饮用水源保护区存在。在采取相应的环保措施后，施工期生产废水、生活污水</w:t>
            </w:r>
            <w:r>
              <w:rPr>
                <w:color w:val="000000"/>
                <w:kern w:val="0"/>
              </w:rPr>
              <w:t>不会对当地的水环境质量产生影响。</w:t>
            </w:r>
          </w:p>
          <w:p>
            <w:pPr>
              <w:pStyle w:val="3"/>
              <w:pageBreakBefore w:val="0"/>
              <w:numPr>
                <w:ilvl w:val="0"/>
                <w:numId w:val="0"/>
              </w:numPr>
              <w:kinsoku/>
              <w:wordWrap w:val="0"/>
              <w:overflowPunct/>
              <w:topLinePunct w:val="0"/>
              <w:autoSpaceDE/>
              <w:autoSpaceDN/>
              <w:bidi w:val="0"/>
              <w:adjustRightInd/>
              <w:snapToGrid/>
              <w:spacing w:beforeLines="0" w:afterLines="0" w:line="360" w:lineRule="auto"/>
              <w:textAlignment w:val="auto"/>
              <w:outlineLvl w:val="1"/>
            </w:pPr>
            <w:r>
              <w:rPr>
                <w:rFonts w:hint="eastAsia" w:ascii="宋体" w:hAnsi="宋体" w:cs="宋体"/>
                <w:b/>
                <w:kern w:val="2"/>
                <w:sz w:val="24"/>
                <w:szCs w:val="24"/>
                <w:lang w:val="en-US" w:eastAsia="zh-CN" w:bidi="ar-SA"/>
              </w:rPr>
              <w:t>4</w:t>
            </w:r>
            <w:r>
              <w:rPr>
                <w:rFonts w:hint="default" w:ascii="宋体" w:hAnsi="宋体" w:eastAsia="宋体" w:cs="宋体"/>
                <w:b/>
                <w:kern w:val="2"/>
                <w:sz w:val="24"/>
                <w:szCs w:val="24"/>
                <w:lang w:val="en-US" w:eastAsia="zh-CN" w:bidi="ar-SA"/>
              </w:rPr>
              <w:t>.</w:t>
            </w:r>
            <w:r>
              <w:rPr>
                <w:rFonts w:hint="eastAsia"/>
              </w:rPr>
              <w:t>施工期声环境影响分析</w:t>
            </w:r>
          </w:p>
          <w:p>
            <w:pPr>
              <w:pageBreakBefore w:val="0"/>
              <w:kinsoku/>
              <w:wordWrap w:val="0"/>
              <w:overflowPunct/>
              <w:topLinePunct w:val="0"/>
              <w:autoSpaceDE/>
              <w:autoSpaceDN/>
              <w:bidi w:val="0"/>
              <w:adjustRightInd/>
              <w:snapToGrid/>
              <w:spacing w:line="360" w:lineRule="auto"/>
              <w:ind w:firstLine="480" w:firstLineChars="200"/>
              <w:textAlignment w:val="auto"/>
            </w:pPr>
            <w:r>
              <w:rPr>
                <w:color w:val="000000"/>
              </w:rPr>
              <w:t>施工期噪声源主要由两部分组成，一是各类交通运输车辆；二是施工区各类生产机械设备。交通运输噪声呈带状间歇影响</w:t>
            </w:r>
            <w:r>
              <w:rPr>
                <w:rFonts w:hint="eastAsia"/>
                <w:color w:val="000000"/>
              </w:rPr>
              <w:t>，</w:t>
            </w:r>
            <w:r>
              <w:rPr>
                <w:color w:val="000000"/>
              </w:rPr>
              <w:t>施工机械噪声较为集中和连续</w:t>
            </w:r>
            <w:r>
              <w:rPr>
                <w:rFonts w:hint="eastAsia"/>
                <w:color w:val="000000"/>
              </w:rPr>
              <w:t>，</w:t>
            </w:r>
            <w:r>
              <w:rPr>
                <w:color w:val="000000"/>
              </w:rPr>
              <w:t>噪声影响的主要对象为施工区周围及运输道路沿线的居民。</w:t>
            </w:r>
          </w:p>
          <w:p>
            <w:pPr>
              <w:pStyle w:val="20"/>
              <w:pageBreakBefore w:val="0"/>
              <w:widowControl/>
              <w:kinsoku/>
              <w:wordWrap w:val="0"/>
              <w:overflowPunct/>
              <w:topLinePunct w:val="0"/>
              <w:autoSpaceDE/>
              <w:autoSpaceDN/>
              <w:bidi w:val="0"/>
              <w:adjustRightInd/>
              <w:snapToGrid/>
              <w:spacing w:beforeAutospacing="0" w:afterAutospacing="0" w:line="360" w:lineRule="auto"/>
              <w:ind w:firstLine="480"/>
              <w:textAlignment w:val="auto"/>
              <w:rPr>
                <w:rFonts w:ascii="Times New Roman" w:hAnsi="Times New Roman" w:eastAsia="宋体" w:cstheme="minorBidi"/>
                <w:kern w:val="2"/>
                <w:sz w:val="24"/>
                <w:szCs w:val="24"/>
                <w:lang w:val="en-US" w:eastAsia="zh-CN" w:bidi="ar-SA"/>
              </w:rPr>
            </w:pPr>
            <w:r>
              <w:rPr>
                <w:rFonts w:ascii="Times New Roman" w:hAnsi="Times New Roman" w:eastAsia="宋体" w:cstheme="minorBidi"/>
                <w:kern w:val="2"/>
                <w:sz w:val="24"/>
                <w:szCs w:val="24"/>
                <w:lang w:val="en-US" w:eastAsia="zh-CN" w:bidi="ar-SA"/>
              </w:rPr>
              <w:t>（1）噪声源强分析</w:t>
            </w:r>
          </w:p>
          <w:p>
            <w:pPr>
              <w:pageBreakBefore w:val="0"/>
              <w:wordWrap w:val="0"/>
              <w:bidi w:val="0"/>
              <w:adjustRightInd w:val="0"/>
              <w:snapToGrid w:val="0"/>
              <w:ind w:firstLine="420"/>
              <w:rPr>
                <w:rFonts w:hint="default" w:ascii="Times New Roman" w:hAnsi="Times New Roman" w:eastAsia="宋体" w:cstheme="minorBidi"/>
                <w:kern w:val="2"/>
                <w:sz w:val="24"/>
                <w:szCs w:val="24"/>
                <w:lang w:val="en-US" w:eastAsia="zh-CN" w:bidi="ar-SA"/>
              </w:rPr>
            </w:pPr>
            <w:r>
              <w:rPr>
                <w:rFonts w:hint="default" w:ascii="Times New Roman" w:hAnsi="Times New Roman" w:eastAsia="宋体" w:cstheme="minorBidi"/>
                <w:kern w:val="2"/>
                <w:sz w:val="24"/>
                <w:szCs w:val="24"/>
                <w:lang w:val="en-US" w:eastAsia="zh-CN" w:bidi="ar-SA"/>
              </w:rPr>
              <w:t>施工设备噪声主要是推土机、空压机、挖掘机、平地机、振捣机等施工机械设备，距离设备10m处的噪声源强一般在60~82dB(A)。根据有关资料，主要施工机械的噪声状况列于表4-</w:t>
            </w:r>
            <w:r>
              <w:rPr>
                <w:rFonts w:hint="eastAsia" w:ascii="Times New Roman" w:hAnsi="Times New Roman" w:eastAsia="宋体" w:cstheme="minorBidi"/>
                <w:kern w:val="2"/>
                <w:sz w:val="24"/>
                <w:szCs w:val="24"/>
                <w:lang w:val="en-US" w:eastAsia="zh-CN" w:bidi="ar-SA"/>
              </w:rPr>
              <w:t>2</w:t>
            </w:r>
            <w:r>
              <w:rPr>
                <w:rFonts w:hint="default" w:ascii="Times New Roman" w:hAnsi="Times New Roman" w:eastAsia="宋体" w:cstheme="minorBidi"/>
                <w:kern w:val="2"/>
                <w:sz w:val="24"/>
                <w:szCs w:val="24"/>
                <w:lang w:val="en-US" w:eastAsia="zh-CN" w:bidi="ar-SA"/>
              </w:rPr>
              <w:t>。</w:t>
            </w:r>
          </w:p>
          <w:p>
            <w:pPr>
              <w:pageBreakBefore w:val="0"/>
              <w:wordWrap w:val="0"/>
              <w:bidi w:val="0"/>
              <w:snapToGrid w:val="0"/>
              <w:spacing w:line="240" w:lineRule="auto"/>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表4-</w:t>
            </w:r>
            <w:r>
              <w:rPr>
                <w:rFonts w:hint="default" w:ascii="Times New Roman" w:hAnsi="Times New Roman" w:eastAsia="宋体" w:cs="Times New Roman"/>
                <w:b/>
                <w:bCs/>
                <w:color w:val="auto"/>
                <w:sz w:val="21"/>
                <w:szCs w:val="21"/>
                <w:lang w:val="en-US" w:eastAsia="zh-CN"/>
              </w:rPr>
              <w:t xml:space="preserve">2  </w:t>
            </w:r>
            <w:r>
              <w:rPr>
                <w:rFonts w:hint="default" w:ascii="Times New Roman" w:hAnsi="Times New Roman" w:eastAsia="宋体" w:cs="Times New Roman"/>
                <w:b/>
                <w:bCs/>
                <w:color w:val="auto"/>
                <w:sz w:val="21"/>
                <w:szCs w:val="21"/>
              </w:rPr>
              <w:t>主要施工机械设备噪声</w:t>
            </w:r>
          </w:p>
          <w:tbl>
            <w:tblPr>
              <w:tblStyle w:val="23"/>
              <w:tblW w:w="5000" w:type="pct"/>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2976"/>
              <w:gridCol w:w="4802"/>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13" w:type="pct"/>
                  <w:vAlign w:val="center"/>
                </w:tcPr>
                <w:p>
                  <w:pPr>
                    <w:pageBreakBefore w:val="0"/>
                    <w:wordWrap w:val="0"/>
                    <w:bidi w:val="0"/>
                    <w:adjustRightInd w:val="0"/>
                    <w:snapToGrid w:val="0"/>
                    <w:spacing w:line="240" w:lineRule="auto"/>
                    <w:ind w:firstLine="0" w:firstLineChars="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施工设备名称</w:t>
                  </w:r>
                </w:p>
              </w:tc>
              <w:tc>
                <w:tcPr>
                  <w:tcW w:w="3087" w:type="pct"/>
                  <w:vAlign w:val="center"/>
                </w:tcPr>
                <w:p>
                  <w:pPr>
                    <w:pageBreakBefore w:val="0"/>
                    <w:wordWrap w:val="0"/>
                    <w:bidi w:val="0"/>
                    <w:adjustRightInd w:val="0"/>
                    <w:snapToGrid w:val="0"/>
                    <w:spacing w:line="240" w:lineRule="auto"/>
                    <w:ind w:firstLine="0" w:firstLineChars="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距设备10m处平均A声级dB（A）</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75" w:type="dxa"/>
                  <w:vAlign w:val="top"/>
                </w:tcPr>
                <w:p>
                  <w:pPr>
                    <w:pStyle w:val="46"/>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空压机</w:t>
                  </w:r>
                </w:p>
              </w:tc>
              <w:tc>
                <w:tcPr>
                  <w:tcW w:w="3087" w:type="pct"/>
                  <w:vAlign w:val="center"/>
                </w:tcPr>
                <w:p>
                  <w:pPr>
                    <w:pStyle w:val="46"/>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82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75" w:type="dxa"/>
                  <w:vAlign w:val="top"/>
                </w:tcPr>
                <w:p>
                  <w:pPr>
                    <w:pStyle w:val="46"/>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推土机</w:t>
                  </w:r>
                </w:p>
              </w:tc>
              <w:tc>
                <w:tcPr>
                  <w:tcW w:w="3087" w:type="pct"/>
                  <w:vAlign w:val="center"/>
                </w:tcPr>
                <w:p>
                  <w:pPr>
                    <w:pStyle w:val="46"/>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80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75" w:type="dxa"/>
                  <w:vAlign w:val="top"/>
                </w:tcPr>
                <w:p>
                  <w:pPr>
                    <w:pStyle w:val="46"/>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全液压挖掘机</w:t>
                  </w:r>
                </w:p>
              </w:tc>
              <w:tc>
                <w:tcPr>
                  <w:tcW w:w="3087" w:type="pct"/>
                  <w:vAlign w:val="center"/>
                </w:tcPr>
                <w:p>
                  <w:pPr>
                    <w:pStyle w:val="46"/>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75" w:type="dxa"/>
                  <w:vAlign w:val="top"/>
                </w:tcPr>
                <w:p>
                  <w:pPr>
                    <w:pStyle w:val="46"/>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平地机</w:t>
                  </w:r>
                </w:p>
              </w:tc>
              <w:tc>
                <w:tcPr>
                  <w:tcW w:w="3087" w:type="pct"/>
                  <w:vAlign w:val="center"/>
                </w:tcPr>
                <w:p>
                  <w:pPr>
                    <w:pStyle w:val="46"/>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75" w:type="dxa"/>
                  <w:vAlign w:val="top"/>
                </w:tcPr>
                <w:p>
                  <w:pPr>
                    <w:pStyle w:val="46"/>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振捣机</w:t>
                  </w:r>
                </w:p>
              </w:tc>
              <w:tc>
                <w:tcPr>
                  <w:tcW w:w="3087" w:type="pct"/>
                  <w:vAlign w:val="center"/>
                </w:tcPr>
                <w:p>
                  <w:pPr>
                    <w:pStyle w:val="46"/>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75</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75" w:type="dxa"/>
                  <w:vAlign w:val="top"/>
                </w:tcPr>
                <w:p>
                  <w:pPr>
                    <w:pStyle w:val="46"/>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运输车辆</w:t>
                  </w:r>
                </w:p>
              </w:tc>
              <w:tc>
                <w:tcPr>
                  <w:tcW w:w="3087" w:type="pct"/>
                  <w:vAlign w:val="center"/>
                </w:tcPr>
                <w:p>
                  <w:pPr>
                    <w:pStyle w:val="46"/>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65</w:t>
                  </w:r>
                </w:p>
              </w:tc>
            </w:tr>
          </w:tbl>
          <w:p>
            <w:pPr>
              <w:pageBreakBefore w:val="0"/>
              <w:wordWrap w:val="0"/>
              <w:bidi w:val="0"/>
              <w:ind w:firstLine="480"/>
            </w:pPr>
            <w:r>
              <w:t>本工程仅在昼间进行施工，夜间不施工</w:t>
            </w:r>
            <w:r>
              <w:rPr>
                <w:rFonts w:hint="eastAsia"/>
                <w:lang w:eastAsia="zh-CN"/>
              </w:rPr>
              <w:t>。</w:t>
            </w:r>
            <w:r>
              <w:t>施工单位应严格按照《中华人民共和国环境噪声污染防治法》和《</w:t>
            </w:r>
            <w:r>
              <w:rPr>
                <w:rFonts w:hint="eastAsia"/>
              </w:rPr>
              <w:t>建筑施工场界环境噪声排放标准</w:t>
            </w:r>
            <w:r>
              <w:t>》（GB12523-2011），通过合理安排施工方式和时间；在施工过程中，选用低噪音、低振动的机械设备和运输车辆；施工现场将机械设施分散合理布置，高噪声设备尽量远离声环境敏感点；施工期间合理安排施工车辆行驶线路和时间，设立限速</w:t>
            </w:r>
            <w:r>
              <w:rPr>
                <w:rFonts w:hint="eastAsia"/>
              </w:rPr>
              <w:t>标志</w:t>
            </w:r>
            <w:r>
              <w:t>、禁止高音鸣号，行驶路线避开居民密集区及声环境敏感点；在施工场界处设置移动式隔声屏</w:t>
            </w:r>
            <w:r>
              <w:rPr>
                <w:rFonts w:hint="eastAsia"/>
                <w:lang w:val="en-US" w:eastAsia="zh-CN"/>
              </w:rPr>
              <w:t>障</w:t>
            </w:r>
            <w:r>
              <w:t>，可有效减小施工设备噪声的影响。</w:t>
            </w:r>
          </w:p>
          <w:p>
            <w:pPr>
              <w:pageBreakBefore w:val="0"/>
              <w:wordWrap w:val="0"/>
              <w:bidi w:val="0"/>
              <w:ind w:firstLine="480"/>
            </w:pPr>
            <w:r>
              <w:t>总体来说，工程施工</w:t>
            </w:r>
            <w:r>
              <w:rPr>
                <w:rFonts w:hint="eastAsia"/>
                <w:lang w:val="en-US" w:eastAsia="zh-CN"/>
              </w:rPr>
              <w:t>在采取相应措施后</w:t>
            </w:r>
            <w:r>
              <w:t>，机械噪声和振动影响范围不大。施工单位结合施工布置，通过选用低噪音、低振动的机械设备和运输车辆，合理安排施工活动，在施工场界处设置移动式隔声屏等</w:t>
            </w:r>
            <w:r>
              <w:rPr>
                <w:rFonts w:hint="eastAsia"/>
              </w:rPr>
              <w:t>降噪</w:t>
            </w:r>
            <w:r>
              <w:t>措施，进一步减少了对周边声环境的影响。因此，本项目施工期间对周边声环境产生影响</w:t>
            </w:r>
            <w:r>
              <w:rPr>
                <w:rFonts w:hint="eastAsia"/>
                <w:lang w:val="en-US" w:eastAsia="zh-CN"/>
              </w:rPr>
              <w:t>较小</w:t>
            </w:r>
            <w:r>
              <w:t>。</w:t>
            </w:r>
          </w:p>
          <w:p>
            <w:pPr>
              <w:pStyle w:val="3"/>
              <w:pageBreakBefore w:val="0"/>
              <w:numPr>
                <w:ilvl w:val="0"/>
                <w:numId w:val="0"/>
              </w:numPr>
              <w:wordWrap w:val="0"/>
              <w:bidi w:val="0"/>
              <w:spacing w:before="156" w:after="156"/>
              <w:outlineLvl w:val="1"/>
            </w:pPr>
            <w:r>
              <w:rPr>
                <w:rFonts w:hint="eastAsia" w:ascii="宋体" w:hAnsi="宋体" w:cs="宋体"/>
                <w:b/>
                <w:kern w:val="2"/>
                <w:sz w:val="24"/>
                <w:szCs w:val="24"/>
                <w:lang w:val="en-US" w:eastAsia="zh-CN" w:bidi="ar-SA"/>
              </w:rPr>
              <w:t>5</w:t>
            </w:r>
            <w:r>
              <w:rPr>
                <w:rFonts w:hint="default" w:ascii="宋体" w:hAnsi="宋体" w:eastAsia="宋体" w:cs="宋体"/>
                <w:b/>
                <w:kern w:val="2"/>
                <w:sz w:val="24"/>
                <w:szCs w:val="24"/>
                <w:lang w:val="en-US" w:eastAsia="zh-CN" w:bidi="ar-SA"/>
              </w:rPr>
              <w:t>.</w:t>
            </w:r>
            <w:r>
              <w:rPr>
                <w:rFonts w:hint="eastAsia"/>
              </w:rPr>
              <w:t>施工期固体废物影响分析</w:t>
            </w:r>
          </w:p>
          <w:p>
            <w:pPr>
              <w:pageBreakBefore w:val="0"/>
              <w:wordWrap w:val="0"/>
              <w:bidi w:val="0"/>
              <w:ind w:firstLine="480"/>
            </w:pPr>
            <w:r>
              <w:t>本工程施工期固体废物主要为施工过程中产生的</w:t>
            </w:r>
            <w:r>
              <w:rPr>
                <w:rFonts w:hint="eastAsia"/>
                <w:lang w:val="en-US" w:eastAsia="zh-CN"/>
              </w:rPr>
              <w:t>施工</w:t>
            </w:r>
            <w:r>
              <w:t>垃圾、施工人员生活垃圾等。</w:t>
            </w:r>
          </w:p>
          <w:p>
            <w:pPr>
              <w:pageBreakBefore w:val="0"/>
              <w:numPr>
                <w:ilvl w:val="0"/>
                <w:numId w:val="0"/>
              </w:numPr>
              <w:wordWrap w:val="0"/>
              <w:bidi w:val="0"/>
              <w:spacing w:line="360" w:lineRule="auto"/>
              <w:ind w:firstLine="480" w:firstLineChars="200"/>
            </w:pPr>
            <w:r>
              <w:rPr>
                <w:rFonts w:ascii="Times New Roman" w:hAnsi="Times New Roman" w:eastAsia="宋体" w:cstheme="minorBidi"/>
                <w:kern w:val="2"/>
                <w:sz w:val="24"/>
                <w:szCs w:val="24"/>
                <w:lang w:val="en-US" w:eastAsia="zh-CN" w:bidi="ar-SA"/>
              </w:rPr>
              <w:t>（1）</w:t>
            </w:r>
            <w:r>
              <w:rPr>
                <w:rFonts w:hint="eastAsia" w:cstheme="minorBidi"/>
                <w:kern w:val="2"/>
                <w:sz w:val="24"/>
                <w:szCs w:val="24"/>
                <w:lang w:val="en-US" w:eastAsia="zh-CN" w:bidi="ar-SA"/>
              </w:rPr>
              <w:t>施工</w:t>
            </w:r>
            <w:r>
              <w:t>垃圾</w:t>
            </w:r>
          </w:p>
          <w:p>
            <w:pPr>
              <w:pageBreakBefore w:val="0"/>
              <w:wordWrap w:val="0"/>
              <w:bidi w:val="0"/>
              <w:adjustRightInd w:val="0"/>
              <w:snapToGrid w:val="0"/>
              <w:spacing w:line="360" w:lineRule="auto"/>
              <w:ind w:firstLine="480" w:firstLineChars="200"/>
              <w:rPr>
                <w:color w:val="000000"/>
              </w:rPr>
            </w:pPr>
            <w:r>
              <w:rPr>
                <w:color w:val="000000"/>
              </w:rPr>
              <w:t>项目施工产生的</w:t>
            </w:r>
            <w:r>
              <w:rPr>
                <w:rFonts w:hint="eastAsia"/>
                <w:color w:val="000000"/>
                <w:lang w:val="en-US" w:eastAsia="zh-CN"/>
              </w:rPr>
              <w:t>施工</w:t>
            </w:r>
            <w:r>
              <w:rPr>
                <w:color w:val="000000"/>
              </w:rPr>
              <w:t>垃圾约为</w:t>
            </w:r>
            <w:r>
              <w:rPr>
                <w:rFonts w:hint="eastAsia"/>
                <w:color w:val="000000"/>
                <w:lang w:val="en-US" w:eastAsia="zh-CN"/>
              </w:rPr>
              <w:t>1</w:t>
            </w:r>
            <w:r>
              <w:rPr>
                <w:color w:val="000000"/>
              </w:rPr>
              <w:t>t，</w:t>
            </w:r>
            <w:r>
              <w:rPr>
                <w:rFonts w:hint="eastAsia"/>
                <w:color w:val="000000"/>
                <w:lang w:val="en-US" w:eastAsia="zh-CN"/>
              </w:rPr>
              <w:t>施工</w:t>
            </w:r>
            <w:r>
              <w:rPr>
                <w:color w:val="000000"/>
              </w:rPr>
              <w:t>垃圾的成分有木板、钢筋、各种辅助工程的包装箱、包装袋等。建筑垃圾能够回收利用的进行回收利用，不能回收利用的规范收集后</w:t>
            </w:r>
            <w:r>
              <w:rPr>
                <w:rFonts w:hint="eastAsia"/>
                <w:color w:val="000000"/>
                <w:lang w:eastAsia="zh-CN"/>
              </w:rPr>
              <w:t>运往</w:t>
            </w:r>
            <w:r>
              <w:rPr>
                <w:color w:val="000000"/>
              </w:rPr>
              <w:t>一般固体废物处置场处置。</w:t>
            </w:r>
          </w:p>
          <w:p>
            <w:pPr>
              <w:pageBreakBefore w:val="0"/>
              <w:numPr>
                <w:ilvl w:val="0"/>
                <w:numId w:val="0"/>
              </w:numPr>
              <w:wordWrap w:val="0"/>
              <w:bidi w:val="0"/>
              <w:ind w:firstLine="480" w:firstLineChars="200"/>
            </w:pPr>
            <w:r>
              <w:rPr>
                <w:rFonts w:ascii="Times New Roman" w:hAnsi="Times New Roman" w:eastAsia="宋体" w:cstheme="minorBidi"/>
                <w:kern w:val="2"/>
                <w:sz w:val="24"/>
                <w:szCs w:val="24"/>
                <w:lang w:val="en-US" w:eastAsia="zh-CN" w:bidi="ar-SA"/>
              </w:rPr>
              <w:t>（</w:t>
            </w:r>
            <w:r>
              <w:rPr>
                <w:rFonts w:hint="eastAsia" w:cstheme="minorBidi"/>
                <w:kern w:val="2"/>
                <w:sz w:val="24"/>
                <w:szCs w:val="24"/>
                <w:lang w:val="en-US" w:eastAsia="zh-CN" w:bidi="ar-SA"/>
              </w:rPr>
              <w:t>2</w:t>
            </w:r>
            <w:r>
              <w:rPr>
                <w:rFonts w:ascii="Times New Roman" w:hAnsi="Times New Roman" w:eastAsia="宋体" w:cstheme="minorBidi"/>
                <w:kern w:val="2"/>
                <w:sz w:val="24"/>
                <w:szCs w:val="24"/>
                <w:lang w:val="en-US" w:eastAsia="zh-CN" w:bidi="ar-SA"/>
              </w:rPr>
              <w:t>）</w:t>
            </w:r>
            <w:r>
              <w:t>生活垃圾</w:t>
            </w:r>
          </w:p>
          <w:p>
            <w:pPr>
              <w:pageBreakBefore w:val="0"/>
              <w:wordWrap w:val="0"/>
              <w:bidi w:val="0"/>
              <w:ind w:firstLine="480"/>
            </w:pPr>
            <w:r>
              <w:t>施工高峰期施工人员按</w:t>
            </w:r>
            <w:r>
              <w:rPr>
                <w:rFonts w:hint="eastAsia"/>
                <w:lang w:val="en-US" w:eastAsia="zh-CN"/>
              </w:rPr>
              <w:t>20</w:t>
            </w:r>
            <w:r>
              <w:t>人计，</w:t>
            </w:r>
            <w:r>
              <w:rPr>
                <w:color w:val="000000"/>
              </w:rPr>
              <w:t>项目施工人员生活垃圾以平均每人每天产生0.5kg计算，施工人员的平均生活垃圾产生量为</w:t>
            </w:r>
            <w:r>
              <w:rPr>
                <w:rFonts w:hint="eastAsia"/>
                <w:color w:val="000000"/>
                <w:lang w:val="en-US" w:eastAsia="zh-CN"/>
              </w:rPr>
              <w:t>10</w:t>
            </w:r>
            <w:r>
              <w:rPr>
                <w:color w:val="000000"/>
              </w:rPr>
              <w:t>kg/d。生活垃圾设置垃圾桶集中收集，然后运至附近生活垃圾收集点处置。</w:t>
            </w:r>
          </w:p>
          <w:p>
            <w:pPr>
              <w:pageBreakBefore w:val="0"/>
              <w:wordWrap w:val="0"/>
              <w:bidi w:val="0"/>
              <w:ind w:firstLine="480"/>
            </w:pPr>
            <w:r>
              <w:t>综上所述，经采取一定措施后，施工期产生的固体废物对工程及</w:t>
            </w:r>
            <w:r>
              <w:rPr>
                <w:rFonts w:hint="eastAsia"/>
              </w:rPr>
              <w:t>周边环境产生不利影响</w:t>
            </w:r>
            <w:r>
              <w:rPr>
                <w:rFonts w:hint="eastAsia"/>
                <w:lang w:val="en-US" w:eastAsia="zh-CN"/>
              </w:rPr>
              <w:t>较小</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645" w:type="dxa"/>
            <w:vAlign w:val="center"/>
          </w:tcPr>
          <w:p>
            <w:pPr>
              <w:pStyle w:val="31"/>
              <w:pageBreakBefore w:val="0"/>
              <w:wordWrap w:val="0"/>
              <w:bidi w:val="0"/>
              <w:rPr>
                <w:rFonts w:hint="default"/>
              </w:rPr>
            </w:pPr>
            <w:r>
              <w:t>运营期生态环境影响分析</w:t>
            </w:r>
          </w:p>
        </w:tc>
        <w:tc>
          <w:tcPr>
            <w:tcW w:w="7874" w:type="dxa"/>
            <w:vAlign w:val="center"/>
          </w:tcPr>
          <w:p>
            <w:pPr>
              <w:pageBreakBefore w:val="0"/>
              <w:wordWrap w:val="0"/>
              <w:bidi w:val="0"/>
              <w:ind w:left="0" w:leftChars="0" w:firstLine="0" w:firstLineChars="0"/>
              <w:rPr>
                <w:rFonts w:hint="eastAsia"/>
                <w:b/>
                <w:bCs/>
                <w:szCs w:val="32"/>
                <w:lang w:eastAsia="zh-CN"/>
              </w:rPr>
            </w:pPr>
            <w:r>
              <w:rPr>
                <w:rFonts w:hint="eastAsia"/>
                <w:b/>
                <w:bCs/>
                <w:szCs w:val="32"/>
                <w:lang w:eastAsia="zh-CN"/>
              </w:rPr>
              <w:t>1、大气环境</w:t>
            </w:r>
          </w:p>
          <w:p>
            <w:pPr>
              <w:pageBreakBefore w:val="0"/>
              <w:wordWrap w:val="0"/>
              <w:bidi w:val="0"/>
              <w:ind w:left="0" w:leftChars="0" w:firstLine="482" w:firstLineChars="200"/>
              <w:rPr>
                <w:rFonts w:hint="eastAsia"/>
                <w:b/>
                <w:bCs/>
                <w:szCs w:val="32"/>
                <w:lang w:eastAsia="zh-CN"/>
              </w:rPr>
            </w:pPr>
            <w:r>
              <w:rPr>
                <w:rFonts w:hint="eastAsia"/>
                <w:b/>
                <w:bCs/>
                <w:szCs w:val="32"/>
                <w:lang w:eastAsia="zh-CN"/>
              </w:rPr>
              <w:t>1.1废气产排情况</w:t>
            </w:r>
          </w:p>
          <w:p>
            <w:pPr>
              <w:pageBreakBefore w:val="0"/>
              <w:wordWrap w:val="0"/>
              <w:bidi w:val="0"/>
              <w:ind w:firstLine="480"/>
              <w:rPr>
                <w:rFonts w:hint="eastAsia"/>
                <w:szCs w:val="32"/>
                <w:lang w:val="en-US" w:eastAsia="zh-CN"/>
              </w:rPr>
            </w:pPr>
            <w:r>
              <w:rPr>
                <w:rFonts w:hint="eastAsia"/>
                <w:szCs w:val="32"/>
                <w:lang w:val="en-US" w:eastAsia="zh-CN"/>
              </w:rPr>
              <w:t>本项目运营期废气主要分为无组织粉尘，主要为开采粉尘、筛分粉尘、运输扬尘、装卸堆料场粉尘及食堂油烟废气等。</w:t>
            </w:r>
          </w:p>
          <w:p>
            <w:pPr>
              <w:pStyle w:val="59"/>
              <w:keepNext w:val="0"/>
              <w:keepLines w:val="0"/>
              <w:pageBreakBefore w:val="0"/>
              <w:widowControl w:val="0"/>
              <w:kinsoku/>
              <w:wordWrap w:val="0"/>
              <w:overflowPunct/>
              <w:topLinePunct w:val="0"/>
              <w:autoSpaceDE/>
              <w:autoSpaceDN/>
              <w:bidi w:val="0"/>
              <w:snapToGrid/>
              <w:ind w:left="0" w:right="0" w:firstLine="420"/>
              <w:rPr>
                <w:rFonts w:hint="default" w:ascii="Times New Roman" w:hAnsi="Times New Roman" w:eastAsia="宋体" w:cs="Times New Roman"/>
                <w:b/>
                <w:bCs/>
                <w:color w:val="auto"/>
                <w:kern w:val="0"/>
                <w:sz w:val="24"/>
                <w:szCs w:val="24"/>
                <w:lang w:val="en-US" w:eastAsia="zh-CN" w:bidi="ar-SA"/>
              </w:rPr>
            </w:pPr>
            <w:r>
              <w:rPr>
                <w:rFonts w:hint="default" w:ascii="Times New Roman" w:hAnsi="Times New Roman" w:eastAsia="宋体" w:cs="Times New Roman"/>
                <w:b/>
                <w:bCs/>
                <w:color w:val="auto"/>
                <w:kern w:val="0"/>
                <w:sz w:val="24"/>
                <w:szCs w:val="24"/>
                <w:lang w:val="en-US" w:eastAsia="zh-CN" w:bidi="ar-SA"/>
              </w:rPr>
              <w:t>（1）开采粉尘</w:t>
            </w:r>
          </w:p>
          <w:p>
            <w:pPr>
              <w:pStyle w:val="59"/>
              <w:keepNext w:val="0"/>
              <w:keepLines w:val="0"/>
              <w:pageBreakBefore w:val="0"/>
              <w:widowControl w:val="0"/>
              <w:kinsoku/>
              <w:wordWrap w:val="0"/>
              <w:overflowPunct/>
              <w:topLinePunct w:val="0"/>
              <w:autoSpaceDE/>
              <w:autoSpaceDN/>
              <w:bidi w:val="0"/>
              <w:snapToGrid/>
              <w:ind w:left="0" w:right="0" w:firstLine="420"/>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露天开采扬尘参照《第二次全国污染源普查工业源系数手册》中《1019粘土及其他土砂石开采行业系数手册》中给出的产污系数为0.082kg/t。</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right="0" w:rightChars="0" w:firstLine="480" w:firstLineChars="200"/>
              <w:jc w:val="left"/>
              <w:textAlignment w:val="auto"/>
              <w:rPr>
                <w:rFonts w:hint="eastAsia"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本项目开采量为</w:t>
            </w:r>
            <w:r>
              <w:rPr>
                <w:rFonts w:hint="eastAsia" w:ascii="Times New Roman" w:hAnsi="Times New Roman" w:eastAsia="宋体" w:cs="Times New Roman"/>
                <w:color w:val="auto"/>
                <w:kern w:val="0"/>
                <w:sz w:val="24"/>
                <w:szCs w:val="24"/>
                <w:lang w:val="en-US" w:eastAsia="zh-CN" w:bidi="ar-SA"/>
              </w:rPr>
              <w:t>9</w:t>
            </w:r>
            <w:r>
              <w:rPr>
                <w:rFonts w:hint="default" w:ascii="Times New Roman" w:hAnsi="Times New Roman" w:eastAsia="宋体" w:cs="Times New Roman"/>
                <w:color w:val="auto"/>
                <w:kern w:val="0"/>
                <w:sz w:val="24"/>
                <w:szCs w:val="24"/>
                <w:lang w:val="en-US" w:eastAsia="zh-CN" w:bidi="ar-SA"/>
              </w:rPr>
              <w:t>万t/a，经计算，本项目开采起尘量约为</w:t>
            </w:r>
            <w:r>
              <w:rPr>
                <w:rFonts w:hint="eastAsia" w:ascii="Times New Roman" w:hAnsi="Times New Roman" w:eastAsia="宋体" w:cs="Times New Roman"/>
                <w:color w:val="auto"/>
                <w:kern w:val="0"/>
                <w:sz w:val="24"/>
                <w:szCs w:val="24"/>
                <w:lang w:val="en-US" w:eastAsia="zh-CN" w:bidi="ar-SA"/>
              </w:rPr>
              <w:t>7.38</w:t>
            </w:r>
            <w:r>
              <w:rPr>
                <w:rFonts w:hint="default" w:ascii="Times New Roman" w:hAnsi="Times New Roman" w:eastAsia="宋体" w:cs="Times New Roman"/>
                <w:color w:val="auto"/>
                <w:kern w:val="0"/>
                <w:sz w:val="24"/>
                <w:szCs w:val="24"/>
                <w:lang w:val="en-US" w:eastAsia="zh-CN" w:bidi="ar-SA"/>
              </w:rPr>
              <w:t>t/a。开采作业时，企业主要采取湿式作业的方式来降低粉尘的产生量，可实现抑尘率达</w:t>
            </w:r>
            <w:r>
              <w:rPr>
                <w:rFonts w:hint="eastAsia" w:ascii="Times New Roman" w:hAnsi="Times New Roman" w:eastAsia="宋体" w:cs="Times New Roman"/>
                <w:color w:val="auto"/>
                <w:kern w:val="0"/>
                <w:sz w:val="24"/>
                <w:szCs w:val="24"/>
                <w:lang w:val="en-US" w:eastAsia="zh-CN" w:bidi="ar-SA"/>
              </w:rPr>
              <w:t>74</w:t>
            </w:r>
            <w:r>
              <w:rPr>
                <w:rFonts w:hint="default" w:ascii="Times New Roman" w:hAnsi="Times New Roman" w:eastAsia="宋体" w:cs="Times New Roman"/>
                <w:color w:val="auto"/>
                <w:kern w:val="0"/>
                <w:sz w:val="24"/>
                <w:szCs w:val="24"/>
                <w:lang w:val="en-US" w:eastAsia="zh-CN" w:bidi="ar-SA"/>
              </w:rPr>
              <w:t>%，则开采时扬尘的产生量为</w:t>
            </w:r>
            <w:r>
              <w:rPr>
                <w:rFonts w:hint="eastAsia" w:ascii="Times New Roman" w:hAnsi="Times New Roman" w:eastAsia="宋体" w:cs="Times New Roman"/>
                <w:color w:val="auto"/>
                <w:kern w:val="0"/>
                <w:sz w:val="24"/>
                <w:szCs w:val="24"/>
                <w:lang w:val="en-US" w:eastAsia="zh-CN" w:bidi="ar-SA"/>
              </w:rPr>
              <w:t>1.92</w:t>
            </w:r>
            <w:r>
              <w:rPr>
                <w:rFonts w:hint="default" w:ascii="Times New Roman" w:hAnsi="Times New Roman" w:eastAsia="宋体" w:cs="Times New Roman"/>
                <w:color w:val="auto"/>
                <w:kern w:val="0"/>
                <w:sz w:val="24"/>
                <w:szCs w:val="24"/>
                <w:lang w:val="en-US" w:eastAsia="zh-CN" w:bidi="ar-SA"/>
              </w:rPr>
              <w:t>t/a</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right="0" w:rightChars="0" w:firstLine="482" w:firstLineChars="200"/>
              <w:jc w:val="left"/>
              <w:textAlignment w:val="auto"/>
              <w:rPr>
                <w:rFonts w:hint="eastAsia"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（2）</w:t>
            </w:r>
            <w:r>
              <w:rPr>
                <w:rFonts w:hint="default" w:ascii="Times New Roman" w:hAnsi="Times New Roman" w:eastAsia="宋体" w:cs="Times New Roman"/>
                <w:b/>
                <w:bCs/>
                <w:color w:val="auto"/>
                <w:sz w:val="24"/>
                <w:szCs w:val="24"/>
                <w:lang w:val="en-US" w:eastAsia="zh-CN"/>
              </w:rPr>
              <w:t>砂石料堆场</w:t>
            </w:r>
            <w:r>
              <w:rPr>
                <w:rFonts w:hint="eastAsia" w:ascii="Times New Roman" w:hAnsi="Times New Roman" w:eastAsia="宋体" w:cs="Times New Roman"/>
                <w:b/>
                <w:bCs/>
                <w:color w:val="auto"/>
                <w:sz w:val="24"/>
                <w:szCs w:val="24"/>
                <w:lang w:val="en-US" w:eastAsia="zh-CN"/>
              </w:rPr>
              <w:t>扬尘</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right="0" w:rightChars="0" w:firstLine="422" w:firstLineChars="200"/>
              <w:jc w:val="left"/>
              <w:textAlignment w:val="auto"/>
              <w:rPr>
                <w:rFonts w:hint="default" w:ascii="Times New Roman" w:hAnsi="Times New Roman" w:eastAsia="宋体" w:cs="Times New Roman"/>
                <w:b/>
                <w:bCs/>
                <w:color w:val="auto"/>
                <w:kern w:val="0"/>
                <w:sz w:val="24"/>
                <w:szCs w:val="24"/>
                <w:lang w:val="en-US" w:eastAsia="zh-CN"/>
              </w:rPr>
            </w:pPr>
            <w:r>
              <w:rPr>
                <w:rFonts w:hint="default" w:ascii="Calibri" w:hAnsi="Calibri" w:eastAsia="宋体" w:cs="Calibri"/>
                <w:b/>
                <w:bCs/>
                <w:color w:val="auto"/>
                <w:kern w:val="0"/>
                <w:sz w:val="21"/>
                <w:szCs w:val="21"/>
                <w:lang w:val="en-US" w:eastAsia="zh-CN"/>
              </w:rPr>
              <w:t>①</w:t>
            </w:r>
            <w:r>
              <w:rPr>
                <w:rFonts w:hint="eastAsia" w:ascii="Calibri" w:hAnsi="Calibri" w:cs="Calibri"/>
                <w:b/>
                <w:bCs/>
                <w:color w:val="auto"/>
                <w:kern w:val="0"/>
                <w:sz w:val="24"/>
                <w:szCs w:val="24"/>
                <w:lang w:val="en-US" w:eastAsia="zh-CN"/>
              </w:rPr>
              <w:t>砂石料</w:t>
            </w:r>
            <w:r>
              <w:rPr>
                <w:rFonts w:hint="eastAsia" w:cs="Times New Roman"/>
                <w:b/>
                <w:bCs/>
                <w:color w:val="auto"/>
                <w:kern w:val="0"/>
                <w:sz w:val="24"/>
                <w:szCs w:val="24"/>
                <w:lang w:val="en-US" w:eastAsia="zh-CN"/>
              </w:rPr>
              <w:t>装卸堆存粉尘产生量</w:t>
            </w:r>
          </w:p>
          <w:p>
            <w:pPr>
              <w:keepNext w:val="0"/>
              <w:keepLines w:val="0"/>
              <w:pageBreakBefore w:val="0"/>
              <w:kinsoku/>
              <w:wordWrap w:val="0"/>
              <w:overflowPunct/>
              <w:topLinePunct w:val="0"/>
              <w:bidi w:val="0"/>
              <w:adjustRightInd/>
              <w:snapToGrid/>
              <w:spacing w:line="360" w:lineRule="auto"/>
              <w:ind w:left="0" w:leftChars="0"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eastAsia="宋体" w:cs="Times New Roman"/>
                <w:color w:val="auto"/>
                <w:kern w:val="0"/>
                <w:sz w:val="24"/>
                <w:szCs w:val="24"/>
                <w:lang w:val="en-US" w:eastAsia="zh-CN"/>
              </w:rPr>
              <w:t>本项目</w:t>
            </w:r>
            <w:r>
              <w:rPr>
                <w:rFonts w:hint="eastAsia" w:cs="Times New Roman"/>
                <w:color w:val="auto"/>
                <w:kern w:val="0"/>
                <w:sz w:val="24"/>
                <w:szCs w:val="24"/>
                <w:lang w:val="en-US" w:eastAsia="zh-CN"/>
              </w:rPr>
              <w:t>堆场</w:t>
            </w:r>
            <w:r>
              <w:rPr>
                <w:rFonts w:hint="default" w:ascii="Times New Roman" w:hAnsi="Times New Roman" w:eastAsia="宋体" w:cs="Times New Roman"/>
                <w:color w:val="auto"/>
                <w:kern w:val="0"/>
                <w:sz w:val="24"/>
                <w:szCs w:val="24"/>
                <w:lang w:val="en-US" w:eastAsia="zh-CN"/>
              </w:rPr>
              <w:t>占地面积</w:t>
            </w:r>
            <w:r>
              <w:rPr>
                <w:rFonts w:hint="eastAsia" w:cs="Times New Roman"/>
                <w:color w:val="auto"/>
                <w:kern w:val="0"/>
                <w:sz w:val="24"/>
                <w:szCs w:val="24"/>
                <w:lang w:val="en-US" w:eastAsia="zh-CN"/>
              </w:rPr>
              <w:t>10000</w:t>
            </w:r>
            <w:r>
              <w:rPr>
                <w:rFonts w:hint="default" w:ascii="Times New Roman" w:hAnsi="Times New Roman" w:eastAsia="宋体" w:cs="Times New Roman"/>
                <w:color w:val="auto"/>
                <w:kern w:val="0"/>
                <w:sz w:val="24"/>
                <w:szCs w:val="24"/>
                <w:lang w:val="en-US" w:eastAsia="zh-CN"/>
              </w:rPr>
              <w:t>m</w:t>
            </w:r>
            <w:r>
              <w:rPr>
                <w:rFonts w:hint="default" w:ascii="Times New Roman" w:hAnsi="Times New Roman" w:eastAsia="宋体" w:cs="Times New Roman"/>
                <w:color w:val="auto"/>
                <w:kern w:val="0"/>
                <w:sz w:val="24"/>
                <w:szCs w:val="24"/>
                <w:vertAlign w:val="superscript"/>
                <w:lang w:val="en-US" w:eastAsia="zh-CN"/>
              </w:rPr>
              <w:t>2</w:t>
            </w:r>
            <w:r>
              <w:rPr>
                <w:rFonts w:hint="default" w:ascii="Times New Roman" w:hAnsi="Times New Roman" w:eastAsia="宋体" w:cs="Times New Roman"/>
                <w:color w:val="auto"/>
                <w:kern w:val="0"/>
                <w:sz w:val="24"/>
                <w:szCs w:val="24"/>
                <w:lang w:val="en-US" w:eastAsia="zh-CN"/>
              </w:rPr>
              <w:t>，</w:t>
            </w:r>
            <w:r>
              <w:rPr>
                <w:rFonts w:hint="default" w:ascii="Times New Roman" w:hAnsi="Times New Roman" w:cs="Times New Roman"/>
                <w:color w:val="auto"/>
                <w:sz w:val="24"/>
                <w:szCs w:val="24"/>
                <w:lang w:eastAsia="zh-CN"/>
              </w:rPr>
              <w:t>根据生态环境部《排放源统计调查产排污核算方法和系数手册》</w:t>
            </w:r>
            <w:r>
              <w:rPr>
                <w:rFonts w:hint="default" w:ascii="Times New Roman" w:hAnsi="Times New Roman" w:cs="Times New Roman"/>
                <w:color w:val="auto"/>
                <w:sz w:val="24"/>
                <w:szCs w:val="24"/>
                <w:lang w:val="en-US" w:eastAsia="zh-CN"/>
              </w:rPr>
              <w:t>中《</w:t>
            </w:r>
            <w:r>
              <w:rPr>
                <w:rFonts w:hint="default" w:ascii="Times New Roman" w:hAnsi="Times New Roman" w:cs="Times New Roman"/>
                <w:color w:val="auto"/>
                <w:sz w:val="24"/>
                <w:szCs w:val="24"/>
                <w:lang w:eastAsia="zh-CN"/>
              </w:rPr>
              <w:t>固体物料堆存颗粒物产排污核算系数手册</w:t>
            </w:r>
            <w:r>
              <w:rPr>
                <w:rFonts w:hint="default" w:ascii="Times New Roman" w:hAnsi="Times New Roman" w:cs="Times New Roman"/>
                <w:color w:val="auto"/>
                <w:sz w:val="24"/>
                <w:szCs w:val="24"/>
                <w:lang w:val="en-US" w:eastAsia="zh-CN"/>
              </w:rPr>
              <w:t>》，工业企业固体物料堆存颗粒物包括装卸</w:t>
            </w:r>
            <w:r>
              <w:rPr>
                <w:rFonts w:hint="eastAsia" w:cs="Times New Roman"/>
                <w:color w:val="auto"/>
                <w:sz w:val="24"/>
                <w:szCs w:val="24"/>
                <w:lang w:val="en-US" w:eastAsia="zh-CN"/>
              </w:rPr>
              <w:t>扬</w:t>
            </w:r>
            <w:r>
              <w:rPr>
                <w:rFonts w:hint="default" w:ascii="Times New Roman" w:hAnsi="Times New Roman" w:cs="Times New Roman"/>
                <w:color w:val="auto"/>
                <w:sz w:val="24"/>
                <w:szCs w:val="24"/>
                <w:lang w:val="en-US" w:eastAsia="zh-CN"/>
              </w:rPr>
              <w:t>尘和风蚀扬尘，颗粒物产生量核算公式如下：</w:t>
            </w:r>
          </w:p>
          <w:p>
            <w:pPr>
              <w:keepNext w:val="0"/>
              <w:keepLines w:val="0"/>
              <w:pageBreakBefore w:val="0"/>
              <w:kinsoku/>
              <w:wordWrap w:val="0"/>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drawing>
                <wp:inline distT="0" distB="0" distL="114300" distR="114300">
                  <wp:extent cx="4092575" cy="264160"/>
                  <wp:effectExtent l="0" t="0" r="6985" b="10160"/>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10"/>
                          <a:stretch>
                            <a:fillRect/>
                          </a:stretch>
                        </pic:blipFill>
                        <pic:spPr>
                          <a:xfrm>
                            <a:off x="0" y="0"/>
                            <a:ext cx="4092575" cy="264160"/>
                          </a:xfrm>
                          <a:prstGeom prst="rect">
                            <a:avLst/>
                          </a:prstGeom>
                          <a:noFill/>
                          <a:ln>
                            <a:noFill/>
                          </a:ln>
                        </pic:spPr>
                      </pic:pic>
                    </a:graphicData>
                  </a:graphic>
                </wp:inline>
              </w:drawing>
            </w:r>
          </w:p>
          <w:p>
            <w:pPr>
              <w:keepNext w:val="0"/>
              <w:keepLines w:val="0"/>
              <w:pageBreakBefore w:val="0"/>
              <w:kinsoku/>
              <w:wordWrap w:val="0"/>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式中：P指颗粒物产生量（单位：吨）；</w:t>
            </w:r>
          </w:p>
          <w:p>
            <w:pPr>
              <w:keepNext w:val="0"/>
              <w:keepLines w:val="0"/>
              <w:pageBreakBefore w:val="0"/>
              <w:kinsoku/>
              <w:wordWrap w:val="0"/>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ZCy指装卸扬尘产生量（单位：吨）；</w:t>
            </w:r>
          </w:p>
          <w:p>
            <w:pPr>
              <w:keepNext w:val="0"/>
              <w:keepLines w:val="0"/>
              <w:pageBreakBefore w:val="0"/>
              <w:kinsoku/>
              <w:wordWrap w:val="0"/>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FCy指风蚀扬尘产生量（单位：吨）；</w:t>
            </w:r>
          </w:p>
          <w:p>
            <w:pPr>
              <w:keepNext w:val="0"/>
              <w:keepLines w:val="0"/>
              <w:pageBreakBefore w:val="0"/>
              <w:kinsoku/>
              <w:wordWrap w:val="0"/>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Nc指年物料运载车次（单位：车），</w:t>
            </w:r>
            <w:r>
              <w:rPr>
                <w:rFonts w:hint="eastAsia" w:cs="Times New Roman"/>
                <w:color w:val="auto"/>
                <w:sz w:val="24"/>
                <w:szCs w:val="24"/>
                <w:highlight w:val="none"/>
                <w:lang w:val="en-US" w:eastAsia="zh-CN"/>
              </w:rPr>
              <w:t>取3600次车</w:t>
            </w:r>
            <w:r>
              <w:rPr>
                <w:rFonts w:hint="default" w:ascii="Times New Roman" w:hAnsi="Times New Roman" w:cs="Times New Roman"/>
                <w:color w:val="auto"/>
                <w:sz w:val="24"/>
                <w:szCs w:val="24"/>
                <w:highlight w:val="none"/>
                <w:lang w:val="en-US" w:eastAsia="zh-CN"/>
              </w:rPr>
              <w:t>；</w:t>
            </w:r>
          </w:p>
          <w:p>
            <w:pPr>
              <w:keepNext w:val="0"/>
              <w:keepLines w:val="0"/>
              <w:pageBreakBefore w:val="0"/>
              <w:kinsoku/>
              <w:wordWrap w:val="0"/>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D指单车平均运载量（单位：吨/车），本项目取</w:t>
            </w:r>
            <w:r>
              <w:rPr>
                <w:rFonts w:hint="eastAsia" w:cs="Times New Roman"/>
                <w:color w:val="auto"/>
                <w:sz w:val="24"/>
                <w:szCs w:val="24"/>
                <w:highlight w:val="none"/>
                <w:lang w:val="en-US" w:eastAsia="zh-CN"/>
              </w:rPr>
              <w:t>25</w:t>
            </w:r>
            <w:r>
              <w:rPr>
                <w:rFonts w:hint="default" w:ascii="Times New Roman" w:hAnsi="Times New Roman" w:cs="Times New Roman"/>
                <w:color w:val="auto"/>
                <w:sz w:val="24"/>
                <w:szCs w:val="24"/>
                <w:highlight w:val="none"/>
                <w:lang w:val="en-US" w:eastAsia="zh-CN"/>
              </w:rPr>
              <w:t>吨/车；</w:t>
            </w:r>
          </w:p>
          <w:p>
            <w:pPr>
              <w:keepNext w:val="0"/>
              <w:keepLines w:val="0"/>
              <w:pageBreakBefore w:val="0"/>
              <w:kinsoku/>
              <w:wordWrap w:val="0"/>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（a/b）指装卸扬尘概化系数（单位：千克/吨），a指各省风速概化系数，根据附录1，新疆a取值0.0011，b指物料含水率概化系数，根据附录2，各种石灰石产品b取值0.0017；</w:t>
            </w:r>
          </w:p>
          <w:p>
            <w:pPr>
              <w:keepNext w:val="0"/>
              <w:keepLines w:val="0"/>
              <w:pageBreakBefore w:val="0"/>
              <w:kinsoku/>
              <w:wordWrap w:val="0"/>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Ef指堆场风蚀扬尘概化系数，本次取0（单位：千克/平方米）；</w:t>
            </w:r>
          </w:p>
          <w:p>
            <w:pPr>
              <w:keepNext w:val="0"/>
              <w:keepLines w:val="0"/>
              <w:pageBreakBefore w:val="0"/>
              <w:kinsoku/>
              <w:wordWrap w:val="0"/>
              <w:overflowPunct/>
              <w:topLinePunct w:val="0"/>
              <w:bidi w:val="0"/>
              <w:adjustRightInd/>
              <w:snapToGrid/>
              <w:spacing w:line="360" w:lineRule="auto"/>
              <w:ind w:firstLine="480" w:firstLineChars="200"/>
              <w:jc w:val="left"/>
              <w:textAlignment w:val="auto"/>
              <w:rPr>
                <w:rFonts w:hint="eastAsia" w:cs="Times New Roman"/>
                <w:b/>
                <w:bCs/>
                <w:color w:val="auto"/>
                <w:sz w:val="24"/>
                <w:szCs w:val="24"/>
                <w:lang w:val="en-US" w:eastAsia="zh-CN"/>
              </w:rPr>
            </w:pPr>
            <w:r>
              <w:rPr>
                <w:rFonts w:hint="default" w:ascii="Times New Roman" w:hAnsi="Times New Roman" w:cs="Times New Roman"/>
                <w:color w:val="auto"/>
                <w:sz w:val="24"/>
                <w:szCs w:val="24"/>
                <w:lang w:val="en-US" w:eastAsia="zh-CN"/>
              </w:rPr>
              <w:t>S指堆场占地面积（单位：平方米）</w:t>
            </w:r>
            <w:r>
              <w:rPr>
                <w:rFonts w:hint="default" w:ascii="Times New Roman" w:hAnsi="Times New Roman" w:cs="Times New Roman"/>
                <w:color w:val="auto"/>
                <w:sz w:val="24"/>
                <w:szCs w:val="24"/>
                <w:highlight w:val="none"/>
                <w:lang w:val="en-US" w:eastAsia="zh-CN"/>
              </w:rPr>
              <w:t>，</w:t>
            </w:r>
            <w:r>
              <w:rPr>
                <w:rFonts w:hint="eastAsia" w:cs="Times New Roman"/>
                <w:color w:val="auto"/>
                <w:kern w:val="0"/>
                <w:sz w:val="24"/>
                <w:szCs w:val="24"/>
                <w:lang w:val="en-US" w:eastAsia="zh-CN"/>
              </w:rPr>
              <w:t>10000</w:t>
            </w:r>
            <w:r>
              <w:rPr>
                <w:rFonts w:hint="default" w:ascii="Times New Roman" w:hAnsi="Times New Roman" w:eastAsia="宋体" w:cs="Times New Roman"/>
                <w:color w:val="auto"/>
                <w:kern w:val="0"/>
                <w:sz w:val="24"/>
                <w:szCs w:val="24"/>
                <w:lang w:val="en-US" w:eastAsia="zh-CN"/>
              </w:rPr>
              <w:t>m</w:t>
            </w:r>
            <w:r>
              <w:rPr>
                <w:rFonts w:hint="default" w:ascii="Times New Roman" w:hAnsi="Times New Roman" w:eastAsia="宋体" w:cs="Times New Roman"/>
                <w:color w:val="auto"/>
                <w:kern w:val="0"/>
                <w:sz w:val="24"/>
                <w:szCs w:val="24"/>
                <w:vertAlign w:val="superscript"/>
                <w:lang w:val="en-US" w:eastAsia="zh-CN"/>
              </w:rPr>
              <w:t>2</w:t>
            </w:r>
            <w:r>
              <w:rPr>
                <w:rFonts w:hint="eastAsia" w:ascii="Times New Roman" w:hAnsi="Times New Roman" w:eastAsia="宋体" w:cs="Times New Roman"/>
                <w:color w:val="auto"/>
                <w:kern w:val="0"/>
                <w:sz w:val="24"/>
                <w:szCs w:val="24"/>
                <w:vertAlign w:val="baseline"/>
                <w:lang w:val="en-US" w:eastAsia="zh-CN"/>
              </w:rPr>
              <w:t>。</w:t>
            </w:r>
            <w:r>
              <w:rPr>
                <w:rFonts w:hint="eastAsia" w:cs="Times New Roman"/>
                <w:b/>
                <w:bCs/>
                <w:color w:val="auto"/>
                <w:sz w:val="24"/>
                <w:szCs w:val="24"/>
                <w:lang w:val="en-US" w:eastAsia="zh-CN"/>
              </w:rPr>
              <w:t xml:space="preserve"> </w:t>
            </w:r>
          </w:p>
          <w:p>
            <w:pPr>
              <w:keepNext w:val="0"/>
              <w:keepLines w:val="0"/>
              <w:pageBreakBefore w:val="0"/>
              <w:kinsoku/>
              <w:wordWrap w:val="0"/>
              <w:overflowPunct/>
              <w:topLinePunct w:val="0"/>
              <w:bidi w:val="0"/>
              <w:adjustRightInd/>
              <w:snapToGrid/>
              <w:spacing w:line="360" w:lineRule="auto"/>
              <w:textAlignment w:val="auto"/>
              <w:rPr>
                <w:rFonts w:hint="default" w:ascii="Times New Roman" w:hAnsi="Times New Roman" w:cs="Times New Roman"/>
                <w:b w:val="0"/>
                <w:bCs w:val="0"/>
                <w:color w:val="auto"/>
                <w:sz w:val="24"/>
                <w:szCs w:val="24"/>
                <w:lang w:val="en-US" w:eastAsia="zh-CN"/>
              </w:rPr>
            </w:pPr>
            <w:r>
              <w:rPr>
                <w:rFonts w:hint="eastAsia" w:cs="Times New Roman"/>
                <w:b w:val="0"/>
                <w:bCs w:val="0"/>
                <w:color w:val="auto"/>
                <w:sz w:val="24"/>
                <w:szCs w:val="24"/>
                <w:lang w:val="en-US" w:eastAsia="zh-CN"/>
              </w:rPr>
              <w:t>综上，</w:t>
            </w:r>
            <w:r>
              <w:rPr>
                <w:rFonts w:hint="default" w:ascii="Times New Roman" w:hAnsi="Times New Roman" w:cs="Times New Roman"/>
                <w:b w:val="0"/>
                <w:bCs w:val="0"/>
                <w:color w:val="auto"/>
                <w:sz w:val="24"/>
                <w:szCs w:val="24"/>
                <w:lang w:val="en-US" w:eastAsia="zh-CN"/>
              </w:rPr>
              <w:t>项目砂石料堆场扬尘产生量为</w:t>
            </w:r>
            <w:r>
              <w:rPr>
                <w:rFonts w:hint="eastAsia" w:cs="Times New Roman"/>
                <w:b w:val="0"/>
                <w:bCs w:val="0"/>
                <w:color w:val="auto"/>
                <w:sz w:val="24"/>
                <w:szCs w:val="24"/>
                <w:lang w:val="en-US" w:eastAsia="zh-CN"/>
              </w:rPr>
              <w:t>58.2</w:t>
            </w:r>
            <w:r>
              <w:rPr>
                <w:rFonts w:hint="default" w:ascii="Times New Roman" w:hAnsi="Times New Roman" w:cs="Times New Roman"/>
                <w:b w:val="0"/>
                <w:bCs w:val="0"/>
                <w:color w:val="auto"/>
                <w:sz w:val="24"/>
                <w:szCs w:val="24"/>
                <w:highlight w:val="none"/>
                <w:lang w:val="en-US" w:eastAsia="zh-CN"/>
              </w:rPr>
              <w:t>t/a</w:t>
            </w:r>
            <w:r>
              <w:rPr>
                <w:rFonts w:hint="default" w:ascii="Times New Roman" w:hAnsi="Times New Roman" w:cs="Times New Roman"/>
                <w:b w:val="0"/>
                <w:bCs w:val="0"/>
                <w:color w:val="auto"/>
                <w:sz w:val="24"/>
                <w:szCs w:val="24"/>
                <w:lang w:val="en-US" w:eastAsia="zh-CN"/>
              </w:rPr>
              <w:t>。</w:t>
            </w:r>
          </w:p>
          <w:p>
            <w:pPr>
              <w:keepNext w:val="0"/>
              <w:keepLines w:val="0"/>
              <w:pageBreakBefore w:val="0"/>
              <w:kinsoku/>
              <w:wordWrap w:val="0"/>
              <w:overflowPunct/>
              <w:topLinePunct w:val="0"/>
              <w:bidi w:val="0"/>
              <w:adjustRightInd/>
              <w:snapToGrid/>
              <w:spacing w:line="360" w:lineRule="auto"/>
              <w:ind w:firstLine="422" w:firstLineChars="200"/>
              <w:textAlignment w:val="auto"/>
              <w:rPr>
                <w:rFonts w:hint="default" w:ascii="Times New Roman" w:hAnsi="Times New Roman" w:cs="Times New Roman"/>
                <w:b/>
                <w:bCs/>
                <w:color w:val="auto"/>
                <w:sz w:val="24"/>
                <w:szCs w:val="24"/>
                <w:lang w:val="en-US" w:eastAsia="zh-CN"/>
              </w:rPr>
            </w:pPr>
            <w:r>
              <w:rPr>
                <w:rFonts w:hint="default" w:ascii="Calibri" w:hAnsi="Calibri" w:cs="Calibri"/>
                <w:b/>
                <w:bCs/>
                <w:color w:val="auto"/>
                <w:sz w:val="21"/>
                <w:szCs w:val="21"/>
                <w:lang w:val="en-US" w:eastAsia="zh-CN"/>
              </w:rPr>
              <w:t>②</w:t>
            </w:r>
            <w:r>
              <w:rPr>
                <w:rFonts w:hint="eastAsia" w:cs="Times New Roman"/>
                <w:b/>
                <w:bCs/>
                <w:color w:val="auto"/>
                <w:sz w:val="24"/>
                <w:szCs w:val="24"/>
                <w:lang w:val="en-US" w:eastAsia="zh-CN"/>
              </w:rPr>
              <w:t>砂石料</w:t>
            </w:r>
            <w:r>
              <w:rPr>
                <w:rFonts w:hint="default" w:ascii="Times New Roman" w:hAnsi="Times New Roman" w:cs="Times New Roman"/>
                <w:b/>
                <w:bCs/>
                <w:color w:val="auto"/>
                <w:sz w:val="24"/>
                <w:szCs w:val="24"/>
                <w:lang w:val="en-US" w:eastAsia="zh-CN"/>
              </w:rPr>
              <w:t>装卸、堆存粉尘排放量</w:t>
            </w:r>
          </w:p>
          <w:p>
            <w:pPr>
              <w:keepNext w:val="0"/>
              <w:keepLines w:val="0"/>
              <w:pageBreakBefore w:val="0"/>
              <w:kinsoku/>
              <w:wordWrap w:val="0"/>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工业企业固体物料堆场颗粒物排放量核算公式如下：</w:t>
            </w:r>
          </w:p>
          <w:p>
            <w:pPr>
              <w:keepNext w:val="0"/>
              <w:keepLines w:val="0"/>
              <w:pageBreakBefore w:val="0"/>
              <w:kinsoku/>
              <w:wordWrap w:val="0"/>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inline distT="0" distB="0" distL="114300" distR="114300">
                  <wp:extent cx="2538730" cy="323215"/>
                  <wp:effectExtent l="0" t="0" r="6350" b="12065"/>
                  <wp:docPr id="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
                          <pic:cNvPicPr>
                            <a:picLocks noChangeAspect="1"/>
                          </pic:cNvPicPr>
                        </pic:nvPicPr>
                        <pic:blipFill>
                          <a:blip r:embed="rId11"/>
                          <a:stretch>
                            <a:fillRect/>
                          </a:stretch>
                        </pic:blipFill>
                        <pic:spPr>
                          <a:xfrm>
                            <a:off x="0" y="0"/>
                            <a:ext cx="2538730" cy="323215"/>
                          </a:xfrm>
                          <a:prstGeom prst="rect">
                            <a:avLst/>
                          </a:prstGeom>
                          <a:noFill/>
                          <a:ln>
                            <a:noFill/>
                          </a:ln>
                        </pic:spPr>
                      </pic:pic>
                    </a:graphicData>
                  </a:graphic>
                </wp:inline>
              </w:drawing>
            </w:r>
          </w:p>
          <w:p>
            <w:pPr>
              <w:keepNext w:val="0"/>
              <w:keepLines w:val="0"/>
              <w:pageBreakBefore w:val="0"/>
              <w:kinsoku/>
              <w:wordWrap w:val="0"/>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式中：P指颗粒物产生量（单位：吨）；</w:t>
            </w:r>
          </w:p>
          <w:p>
            <w:pPr>
              <w:keepNext w:val="0"/>
              <w:keepLines w:val="0"/>
              <w:pageBreakBefore w:val="0"/>
              <w:kinsoku/>
              <w:wordWrap w:val="0"/>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Uc指颗粒物排放量（单位：吨）；</w:t>
            </w:r>
          </w:p>
          <w:p>
            <w:pPr>
              <w:keepNext w:val="0"/>
              <w:keepLines w:val="0"/>
              <w:pageBreakBefore w:val="0"/>
              <w:kinsoku/>
              <w:wordWrap w:val="0"/>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lang w:val="en-US" w:eastAsia="zh-CN"/>
              </w:rPr>
              <w:t>Cm指颗粒物控制措施控制效率（单位：%）</w:t>
            </w:r>
            <w:r>
              <w:rPr>
                <w:rFonts w:hint="eastAsia" w:cs="Times New Roman"/>
                <w:color w:val="auto"/>
                <w:sz w:val="24"/>
                <w:szCs w:val="24"/>
                <w:lang w:val="en-US" w:eastAsia="zh-CN"/>
              </w:rPr>
              <w:t>，防尘网</w:t>
            </w:r>
            <w:r>
              <w:rPr>
                <w:rFonts w:hint="eastAsia" w:cs="Times New Roman"/>
                <w:color w:val="auto"/>
                <w:sz w:val="24"/>
                <w:szCs w:val="24"/>
                <w:highlight w:val="none"/>
                <w:lang w:val="en-US" w:eastAsia="zh-CN"/>
              </w:rPr>
              <w:t>覆盖86%</w:t>
            </w:r>
            <w:r>
              <w:rPr>
                <w:rFonts w:hint="default" w:ascii="Times New Roman" w:hAnsi="Times New Roman" w:cs="Times New Roman"/>
                <w:color w:val="auto"/>
                <w:sz w:val="24"/>
                <w:szCs w:val="24"/>
                <w:highlight w:val="none"/>
                <w:lang w:val="en-US" w:eastAsia="zh-CN"/>
              </w:rPr>
              <w:t>；</w:t>
            </w:r>
          </w:p>
          <w:p>
            <w:pPr>
              <w:keepNext w:val="0"/>
              <w:keepLines w:val="0"/>
              <w:pageBreakBefore w:val="0"/>
              <w:kinsoku/>
              <w:wordWrap w:val="0"/>
              <w:overflowPunct/>
              <w:topLinePunct w:val="0"/>
              <w:bidi w:val="0"/>
              <w:adjustRightInd/>
              <w:snapToGrid/>
              <w:spacing w:line="360" w:lineRule="auto"/>
              <w:ind w:firstLine="480" w:firstLineChars="200"/>
              <w:textAlignment w:val="auto"/>
              <w:rPr>
                <w:rFonts w:hint="default"/>
                <w:color w:val="auto"/>
                <w:lang w:val="en-US" w:eastAsia="zh-CN"/>
              </w:rPr>
            </w:pPr>
            <w:r>
              <w:rPr>
                <w:rFonts w:hint="default" w:ascii="Times New Roman" w:hAnsi="Times New Roman" w:cs="Times New Roman"/>
                <w:color w:val="auto"/>
                <w:sz w:val="24"/>
                <w:szCs w:val="24"/>
                <w:highlight w:val="none"/>
                <w:lang w:val="en-US" w:eastAsia="zh-CN"/>
              </w:rPr>
              <w:t>Tm指堆场类型控制效率（单位：%），</w:t>
            </w:r>
            <w:r>
              <w:rPr>
                <w:rFonts w:hint="eastAsia" w:cs="Times New Roman"/>
                <w:color w:val="auto"/>
                <w:sz w:val="24"/>
                <w:szCs w:val="24"/>
                <w:highlight w:val="none"/>
                <w:lang w:val="en-US" w:eastAsia="zh-CN"/>
              </w:rPr>
              <w:t>0</w:t>
            </w:r>
            <w:r>
              <w:rPr>
                <w:rFonts w:hint="default"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w:t>
            </w:r>
          </w:p>
          <w:p>
            <w:pPr>
              <w:keepNext w:val="0"/>
              <w:keepLines w:val="0"/>
              <w:pageBreakBefore w:val="0"/>
              <w:kinsoku/>
              <w:wordWrap w:val="0"/>
              <w:overflowPunct/>
              <w:topLinePunct w:val="0"/>
              <w:bidi w:val="0"/>
              <w:adjustRightInd/>
              <w:snapToGrid/>
              <w:spacing w:line="360" w:lineRule="auto"/>
              <w:ind w:firstLine="480" w:firstLineChars="200"/>
              <w:textAlignment w:val="auto"/>
              <w:rPr>
                <w:rFonts w:hint="eastAsia"/>
                <w:color w:val="FF0000"/>
                <w:szCs w:val="32"/>
                <w:lang w:eastAsia="zh-CN"/>
              </w:rPr>
            </w:pPr>
            <w:r>
              <w:rPr>
                <w:rFonts w:hint="eastAsia" w:cs="Times New Roman"/>
                <w:b w:val="0"/>
                <w:bCs w:val="0"/>
                <w:color w:val="auto"/>
                <w:sz w:val="24"/>
                <w:szCs w:val="24"/>
                <w:lang w:val="en-US" w:eastAsia="zh-CN"/>
              </w:rPr>
              <w:t>综上，</w:t>
            </w:r>
            <w:r>
              <w:rPr>
                <w:rFonts w:hint="default" w:ascii="Times New Roman" w:hAnsi="Times New Roman" w:cs="Times New Roman"/>
                <w:b w:val="0"/>
                <w:bCs w:val="0"/>
                <w:color w:val="auto"/>
                <w:sz w:val="24"/>
                <w:szCs w:val="24"/>
                <w:lang w:val="en-US" w:eastAsia="zh-CN"/>
              </w:rPr>
              <w:t>项目砂石料堆场</w:t>
            </w:r>
            <w:r>
              <w:rPr>
                <w:rFonts w:hint="default" w:ascii="Times New Roman" w:hAnsi="Times New Roman" w:cs="Times New Roman"/>
                <w:b w:val="0"/>
                <w:bCs w:val="0"/>
                <w:color w:val="auto"/>
                <w:sz w:val="24"/>
                <w:szCs w:val="24"/>
                <w:highlight w:val="none"/>
                <w:lang w:eastAsia="zh-CN"/>
              </w:rPr>
              <w:t>扬尘</w:t>
            </w:r>
            <w:r>
              <w:rPr>
                <w:rFonts w:hint="eastAsia" w:cs="Times New Roman"/>
                <w:b w:val="0"/>
                <w:bCs w:val="0"/>
                <w:color w:val="auto"/>
                <w:sz w:val="24"/>
                <w:szCs w:val="24"/>
                <w:highlight w:val="none"/>
                <w:lang w:val="en-US" w:eastAsia="zh-CN"/>
              </w:rPr>
              <w:t>无组织</w:t>
            </w:r>
            <w:r>
              <w:rPr>
                <w:rFonts w:hint="default" w:ascii="Times New Roman" w:hAnsi="Times New Roman" w:cs="Times New Roman"/>
                <w:b w:val="0"/>
                <w:bCs w:val="0"/>
                <w:color w:val="auto"/>
                <w:sz w:val="24"/>
                <w:szCs w:val="24"/>
                <w:highlight w:val="none"/>
                <w:lang w:val="en-US" w:eastAsia="zh-CN"/>
              </w:rPr>
              <w:t>排放量为</w:t>
            </w:r>
            <w:r>
              <w:rPr>
                <w:rFonts w:hint="eastAsia" w:cs="Times New Roman"/>
                <w:b w:val="0"/>
                <w:bCs w:val="0"/>
                <w:color w:val="auto"/>
                <w:sz w:val="24"/>
                <w:szCs w:val="24"/>
                <w:highlight w:val="none"/>
                <w:lang w:val="en-US" w:eastAsia="zh-CN"/>
              </w:rPr>
              <w:t>8.15</w:t>
            </w:r>
            <w:r>
              <w:rPr>
                <w:rFonts w:hint="default" w:ascii="Times New Roman" w:hAnsi="Times New Roman" w:cs="Times New Roman"/>
                <w:b w:val="0"/>
                <w:bCs w:val="0"/>
                <w:color w:val="auto"/>
                <w:sz w:val="24"/>
                <w:szCs w:val="24"/>
                <w:highlight w:val="none"/>
                <w:lang w:val="en-US" w:eastAsia="zh-CN"/>
              </w:rPr>
              <w:t>t/a。</w:t>
            </w:r>
          </w:p>
          <w:p>
            <w:pPr>
              <w:pageBreakBefore w:val="0"/>
              <w:wordWrap w:val="0"/>
              <w:bidi w:val="0"/>
              <w:ind w:firstLine="480"/>
              <w:rPr>
                <w:rFonts w:hint="eastAsia"/>
                <w:b/>
                <w:bCs/>
                <w:szCs w:val="32"/>
                <w:lang w:eastAsia="zh-CN"/>
              </w:rPr>
            </w:pPr>
            <w:r>
              <w:rPr>
                <w:rFonts w:hint="eastAsia"/>
                <w:b/>
                <w:bCs/>
                <w:szCs w:val="32"/>
                <w:lang w:val="en-US" w:eastAsia="zh-CN"/>
              </w:rPr>
              <w:t>（3）</w:t>
            </w:r>
            <w:r>
              <w:rPr>
                <w:rFonts w:hint="eastAsia"/>
                <w:b/>
                <w:bCs/>
                <w:szCs w:val="32"/>
                <w:lang w:eastAsia="zh-CN"/>
              </w:rPr>
              <w:t>筛分粉尘</w:t>
            </w:r>
          </w:p>
          <w:p>
            <w:pPr>
              <w:pageBreakBefore w:val="0"/>
              <w:wordWrap w:val="0"/>
              <w:bidi w:val="0"/>
              <w:ind w:firstLine="480"/>
              <w:rPr>
                <w:rFonts w:hint="eastAsia"/>
                <w:szCs w:val="32"/>
                <w:lang w:eastAsia="zh-CN"/>
              </w:rPr>
            </w:pPr>
            <w:r>
              <w:rPr>
                <w:rFonts w:hint="eastAsia"/>
                <w:szCs w:val="32"/>
                <w:lang w:eastAsia="zh-CN"/>
              </w:rPr>
              <w:t>根据《</w:t>
            </w:r>
            <w:r>
              <w:rPr>
                <w:rFonts w:ascii="宋体" w:hAnsi="宋体" w:eastAsia="宋体" w:cs="宋体"/>
                <w:sz w:val="24"/>
                <w:szCs w:val="24"/>
              </w:rPr>
              <w:t>排放源统计调查产排污核算方法和系数手册</w:t>
            </w:r>
            <w:r>
              <w:rPr>
                <w:rFonts w:hint="eastAsia"/>
                <w:szCs w:val="32"/>
                <w:lang w:eastAsia="zh-CN"/>
              </w:rPr>
              <w:t>》中《1</w:t>
            </w:r>
            <w:r>
              <w:rPr>
                <w:rFonts w:hint="eastAsia"/>
                <w:szCs w:val="32"/>
                <w:lang w:val="en-US" w:eastAsia="zh-CN"/>
              </w:rPr>
              <w:t>011石灰石石膏开采</w:t>
            </w:r>
            <w:r>
              <w:rPr>
                <w:rFonts w:hint="eastAsia"/>
                <w:szCs w:val="32"/>
                <w:lang w:eastAsia="zh-CN"/>
              </w:rPr>
              <w:t>行业系数手册》筛分工序的产污系数为</w:t>
            </w:r>
            <w:r>
              <w:rPr>
                <w:rFonts w:hint="eastAsia"/>
                <w:szCs w:val="32"/>
                <w:lang w:val="en-US" w:eastAsia="zh-CN"/>
              </w:rPr>
              <w:t>0.4</w:t>
            </w:r>
            <w:r>
              <w:rPr>
                <w:rFonts w:hint="eastAsia"/>
                <w:szCs w:val="32"/>
                <w:lang w:eastAsia="zh-CN"/>
              </w:rPr>
              <w:t>千克/吨</w:t>
            </w:r>
            <w:r>
              <w:rPr>
                <w:rFonts w:hint="eastAsia"/>
                <w:szCs w:val="32"/>
                <w:lang w:val="en-US" w:eastAsia="zh-CN"/>
              </w:rPr>
              <w:t>-</w:t>
            </w:r>
            <w:r>
              <w:rPr>
                <w:rFonts w:hint="eastAsia"/>
                <w:szCs w:val="32"/>
                <w:lang w:eastAsia="zh-CN"/>
              </w:rPr>
              <w:t>破碎料。本项目年产量为</w:t>
            </w:r>
            <w:r>
              <w:rPr>
                <w:rFonts w:hint="eastAsia"/>
                <w:szCs w:val="32"/>
                <w:lang w:val="en-US" w:eastAsia="zh-CN"/>
              </w:rPr>
              <w:t>9万t产品</w:t>
            </w:r>
            <w:r>
              <w:rPr>
                <w:rFonts w:hint="eastAsia"/>
                <w:szCs w:val="32"/>
                <w:lang w:eastAsia="zh-CN"/>
              </w:rPr>
              <w:t>，所以筛分工序产生颗粒物为</w:t>
            </w:r>
            <w:r>
              <w:rPr>
                <w:rFonts w:hint="eastAsia"/>
                <w:szCs w:val="32"/>
                <w:lang w:val="en-US" w:eastAsia="zh-CN"/>
              </w:rPr>
              <w:t>36</w:t>
            </w:r>
            <w:r>
              <w:rPr>
                <w:rFonts w:hint="eastAsia"/>
                <w:szCs w:val="32"/>
                <w:lang w:eastAsia="zh-CN"/>
              </w:rPr>
              <w:t>t/a。</w:t>
            </w:r>
          </w:p>
          <w:p>
            <w:pPr>
              <w:pageBreakBefore w:val="0"/>
              <w:wordWrap w:val="0"/>
              <w:bidi w:val="0"/>
              <w:ind w:firstLine="480"/>
              <w:rPr>
                <w:rFonts w:hint="eastAsia"/>
                <w:color w:val="auto"/>
                <w:szCs w:val="32"/>
                <w:lang w:eastAsia="zh-CN"/>
              </w:rPr>
            </w:pPr>
            <w:r>
              <w:rPr>
                <w:rFonts w:hint="eastAsia"/>
                <w:szCs w:val="32"/>
                <w:lang w:eastAsia="zh-CN"/>
              </w:rPr>
              <w:t>筛分粉尘采取集气罩（</w:t>
            </w:r>
            <w:r>
              <w:rPr>
                <w:rFonts w:hint="eastAsia"/>
                <w:szCs w:val="32"/>
                <w:lang w:val="en-US" w:eastAsia="zh-CN"/>
              </w:rPr>
              <w:t>95</w:t>
            </w:r>
            <w:r>
              <w:rPr>
                <w:rFonts w:hint="eastAsia"/>
                <w:szCs w:val="32"/>
                <w:lang w:eastAsia="zh-CN"/>
              </w:rPr>
              <w:t>%）+风机（风量</w:t>
            </w:r>
            <w:r>
              <w:rPr>
                <w:rFonts w:hint="eastAsia"/>
                <w:szCs w:val="32"/>
                <w:lang w:val="en-US" w:eastAsia="zh-CN"/>
              </w:rPr>
              <w:t>1</w:t>
            </w:r>
            <w:r>
              <w:rPr>
                <w:rFonts w:hint="eastAsia"/>
                <w:szCs w:val="32"/>
                <w:lang w:eastAsia="zh-CN"/>
              </w:rPr>
              <w:t>0000m</w:t>
            </w:r>
            <w:r>
              <w:rPr>
                <w:rFonts w:hint="eastAsia"/>
                <w:szCs w:val="32"/>
                <w:vertAlign w:val="superscript"/>
                <w:lang w:eastAsia="zh-CN"/>
              </w:rPr>
              <w:t>3</w:t>
            </w:r>
            <w:r>
              <w:rPr>
                <w:rFonts w:hint="eastAsia"/>
                <w:szCs w:val="32"/>
                <w:lang w:eastAsia="zh-CN"/>
              </w:rPr>
              <w:t>/h）+布袋除尘器（99%）+15m排气筒的措施进行有组织收集并处理，具体如下：筛分设备上方安装集气罩，设置独立半封闭厂房，风机风量不小于</w:t>
            </w:r>
            <w:r>
              <w:rPr>
                <w:rFonts w:hint="eastAsia"/>
                <w:szCs w:val="32"/>
                <w:lang w:val="en-US" w:eastAsia="zh-CN"/>
              </w:rPr>
              <w:t>1</w:t>
            </w:r>
            <w:r>
              <w:rPr>
                <w:rFonts w:hint="eastAsia"/>
                <w:szCs w:val="32"/>
                <w:lang w:eastAsia="zh-CN"/>
              </w:rPr>
              <w:t>0000m</w:t>
            </w:r>
            <w:r>
              <w:rPr>
                <w:rFonts w:hint="eastAsia"/>
                <w:szCs w:val="32"/>
                <w:vertAlign w:val="superscript"/>
                <w:lang w:eastAsia="zh-CN"/>
              </w:rPr>
              <w:t>3</w:t>
            </w:r>
            <w:r>
              <w:rPr>
                <w:rFonts w:hint="eastAsia"/>
                <w:szCs w:val="32"/>
                <w:lang w:eastAsia="zh-CN"/>
              </w:rPr>
              <w:t>/h，收集效率按</w:t>
            </w:r>
            <w:r>
              <w:rPr>
                <w:rFonts w:hint="eastAsia"/>
                <w:szCs w:val="32"/>
                <w:lang w:val="en-US" w:eastAsia="zh-CN"/>
              </w:rPr>
              <w:t>95</w:t>
            </w:r>
            <w:r>
              <w:rPr>
                <w:rFonts w:hint="eastAsia"/>
                <w:szCs w:val="32"/>
                <w:lang w:eastAsia="zh-CN"/>
              </w:rPr>
              <w:t>%计</w:t>
            </w:r>
            <w:r>
              <w:rPr>
                <w:rFonts w:hint="eastAsia"/>
                <w:color w:val="auto"/>
                <w:szCs w:val="32"/>
                <w:lang w:eastAsia="zh-CN"/>
              </w:rPr>
              <w:t>，并设置1套处理效率不小于99%的布袋除尘器，将粉尘处理达标后经1根15m高的排气筒排放。</w:t>
            </w:r>
          </w:p>
          <w:p>
            <w:pPr>
              <w:pageBreakBefore w:val="0"/>
              <w:wordWrap w:val="0"/>
              <w:bidi w:val="0"/>
              <w:ind w:firstLine="480"/>
              <w:rPr>
                <w:rFonts w:hint="eastAsia"/>
                <w:color w:val="auto"/>
                <w:szCs w:val="32"/>
                <w:lang w:eastAsia="zh-CN"/>
              </w:rPr>
            </w:pPr>
            <w:r>
              <w:rPr>
                <w:rFonts w:hint="eastAsia"/>
                <w:color w:val="auto"/>
                <w:szCs w:val="32"/>
                <w:lang w:eastAsia="zh-CN"/>
              </w:rPr>
              <w:t>经收集处理后，本项目筛分产生的有组织粉尘排放总量约为</w:t>
            </w:r>
            <w:r>
              <w:rPr>
                <w:rFonts w:hint="eastAsia"/>
                <w:color w:val="auto"/>
                <w:szCs w:val="32"/>
                <w:lang w:val="en-US" w:eastAsia="zh-CN"/>
              </w:rPr>
              <w:t>0.342t</w:t>
            </w:r>
            <w:r>
              <w:rPr>
                <w:rFonts w:hint="eastAsia"/>
                <w:color w:val="auto"/>
                <w:szCs w:val="32"/>
                <w:lang w:eastAsia="zh-CN"/>
              </w:rPr>
              <w:t>/a(</w:t>
            </w:r>
            <w:r>
              <w:rPr>
                <w:rFonts w:hint="eastAsia"/>
                <w:color w:val="auto"/>
                <w:szCs w:val="32"/>
                <w:lang w:val="en-US" w:eastAsia="zh-CN"/>
              </w:rPr>
              <w:t>0.171</w:t>
            </w:r>
            <w:r>
              <w:rPr>
                <w:rFonts w:hint="eastAsia"/>
                <w:color w:val="auto"/>
                <w:szCs w:val="32"/>
                <w:lang w:eastAsia="zh-CN"/>
              </w:rPr>
              <w:t>kg/h)，粉尘排放浓度约为</w:t>
            </w:r>
            <w:r>
              <w:rPr>
                <w:rFonts w:hint="eastAsia"/>
                <w:color w:val="auto"/>
                <w:szCs w:val="32"/>
                <w:lang w:val="en-US" w:eastAsia="zh-CN"/>
              </w:rPr>
              <w:t>17.1</w:t>
            </w:r>
            <w:r>
              <w:rPr>
                <w:rFonts w:hint="eastAsia"/>
                <w:color w:val="auto"/>
                <w:szCs w:val="32"/>
                <w:lang w:eastAsia="zh-CN"/>
              </w:rPr>
              <w:t>mg/m</w:t>
            </w:r>
            <w:r>
              <w:rPr>
                <w:rFonts w:hint="eastAsia"/>
                <w:color w:val="auto"/>
                <w:szCs w:val="32"/>
                <w:vertAlign w:val="superscript"/>
                <w:lang w:eastAsia="zh-CN"/>
              </w:rPr>
              <w:t>3</w:t>
            </w:r>
            <w:r>
              <w:rPr>
                <w:rFonts w:hint="eastAsia"/>
                <w:color w:val="auto"/>
                <w:szCs w:val="32"/>
                <w:lang w:eastAsia="zh-CN"/>
              </w:rPr>
              <w:t>。</w:t>
            </w:r>
          </w:p>
          <w:p>
            <w:pPr>
              <w:pageBreakBefore w:val="0"/>
              <w:wordWrap w:val="0"/>
              <w:bidi w:val="0"/>
              <w:ind w:firstLine="480"/>
              <w:rPr>
                <w:rFonts w:hint="eastAsia"/>
                <w:color w:val="auto"/>
                <w:szCs w:val="32"/>
                <w:lang w:eastAsia="zh-CN"/>
              </w:rPr>
            </w:pPr>
            <w:r>
              <w:rPr>
                <w:rFonts w:hint="eastAsia"/>
                <w:color w:val="auto"/>
                <w:szCs w:val="32"/>
                <w:lang w:eastAsia="zh-CN"/>
              </w:rPr>
              <w:t>未收集的</w:t>
            </w:r>
            <w:r>
              <w:rPr>
                <w:rFonts w:hint="eastAsia"/>
                <w:color w:val="auto"/>
                <w:szCs w:val="32"/>
                <w:lang w:val="en-US" w:eastAsia="zh-CN"/>
              </w:rPr>
              <w:t>5</w:t>
            </w:r>
            <w:r>
              <w:rPr>
                <w:rFonts w:hint="eastAsia"/>
                <w:color w:val="auto"/>
                <w:szCs w:val="32"/>
                <w:lang w:eastAsia="zh-CN"/>
              </w:rPr>
              <w:t>%的无组织逸散粉尘量为</w:t>
            </w:r>
            <w:r>
              <w:rPr>
                <w:rFonts w:hint="eastAsia"/>
                <w:color w:val="auto"/>
                <w:szCs w:val="32"/>
                <w:lang w:val="en-US" w:eastAsia="zh-CN"/>
              </w:rPr>
              <w:t>1.8</w:t>
            </w:r>
            <w:r>
              <w:rPr>
                <w:rFonts w:hint="eastAsia"/>
                <w:color w:val="auto"/>
                <w:szCs w:val="32"/>
                <w:lang w:eastAsia="zh-CN"/>
              </w:rPr>
              <w:t>t/a，半封闭厂房抑尘率为</w:t>
            </w:r>
            <w:r>
              <w:rPr>
                <w:rFonts w:hint="eastAsia"/>
                <w:color w:val="auto"/>
                <w:szCs w:val="32"/>
                <w:lang w:val="en-US" w:eastAsia="zh-CN"/>
              </w:rPr>
              <w:t>60%</w:t>
            </w:r>
            <w:r>
              <w:rPr>
                <w:rFonts w:hint="eastAsia"/>
                <w:color w:val="auto"/>
                <w:szCs w:val="32"/>
                <w:lang w:eastAsia="zh-CN"/>
              </w:rPr>
              <w:t>，则粉尘无组织排放量为</w:t>
            </w:r>
            <w:r>
              <w:rPr>
                <w:rFonts w:hint="eastAsia"/>
                <w:color w:val="auto"/>
                <w:szCs w:val="32"/>
                <w:lang w:val="en-US" w:eastAsia="zh-CN"/>
              </w:rPr>
              <w:t>0.72t/a</w:t>
            </w:r>
            <w:r>
              <w:rPr>
                <w:rFonts w:hint="eastAsia"/>
                <w:color w:val="auto"/>
                <w:szCs w:val="32"/>
                <w:lang w:eastAsia="zh-CN"/>
              </w:rPr>
              <w:t>。</w:t>
            </w:r>
          </w:p>
          <w:p>
            <w:pPr>
              <w:pageBreakBefore w:val="0"/>
              <w:wordWrap w:val="0"/>
              <w:bidi w:val="0"/>
              <w:ind w:firstLine="480"/>
              <w:rPr>
                <w:rFonts w:hint="eastAsia"/>
                <w:b/>
                <w:bCs/>
                <w:szCs w:val="32"/>
                <w:lang w:eastAsia="zh-CN"/>
              </w:rPr>
            </w:pPr>
            <w:r>
              <w:rPr>
                <w:rFonts w:hint="eastAsia"/>
                <w:b/>
                <w:bCs/>
                <w:szCs w:val="32"/>
                <w:lang w:eastAsia="zh-CN"/>
              </w:rPr>
              <w:t>（</w:t>
            </w:r>
            <w:r>
              <w:rPr>
                <w:rFonts w:hint="eastAsia"/>
                <w:b/>
                <w:bCs/>
                <w:szCs w:val="32"/>
                <w:lang w:val="en-US" w:eastAsia="zh-CN"/>
              </w:rPr>
              <w:t>4</w:t>
            </w:r>
            <w:r>
              <w:rPr>
                <w:rFonts w:hint="eastAsia"/>
                <w:b/>
                <w:bCs/>
                <w:szCs w:val="32"/>
                <w:lang w:eastAsia="zh-CN"/>
              </w:rPr>
              <w:t>）皮带输送粉尘</w:t>
            </w:r>
          </w:p>
          <w:p>
            <w:pPr>
              <w:pageBreakBefore w:val="0"/>
              <w:wordWrap w:val="0"/>
              <w:bidi w:val="0"/>
              <w:ind w:firstLine="480"/>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生产过程中砂石料均通过</w:t>
            </w:r>
            <w:r>
              <w:rPr>
                <w:rFonts w:hint="eastAsia" w:cs="Times New Roman"/>
                <w:color w:val="auto"/>
                <w:kern w:val="0"/>
                <w:sz w:val="24"/>
                <w:szCs w:val="24"/>
                <w:lang w:val="en-US" w:eastAsia="zh-CN" w:bidi="ar-SA"/>
              </w:rPr>
              <w:t>皮带输送</w:t>
            </w:r>
            <w:r>
              <w:rPr>
                <w:rFonts w:hint="eastAsia" w:ascii="Times New Roman" w:hAnsi="Times New Roman" w:eastAsia="宋体" w:cs="Times New Roman"/>
                <w:color w:val="auto"/>
                <w:kern w:val="0"/>
                <w:sz w:val="24"/>
                <w:szCs w:val="24"/>
                <w:lang w:val="en-US" w:eastAsia="zh-CN" w:bidi="ar-SA"/>
              </w:rPr>
              <w:t>将筛分</w:t>
            </w:r>
            <w:r>
              <w:rPr>
                <w:rFonts w:hint="eastAsia" w:cs="Times New Roman"/>
                <w:color w:val="auto"/>
                <w:kern w:val="0"/>
                <w:sz w:val="24"/>
                <w:szCs w:val="24"/>
                <w:lang w:val="en-US" w:eastAsia="zh-CN" w:bidi="ar-SA"/>
              </w:rPr>
              <w:t>、水洗后</w:t>
            </w:r>
            <w:r>
              <w:rPr>
                <w:rFonts w:hint="eastAsia" w:ascii="Times New Roman" w:hAnsi="Times New Roman" w:eastAsia="宋体" w:cs="Times New Roman"/>
                <w:color w:val="auto"/>
                <w:kern w:val="0"/>
                <w:sz w:val="24"/>
                <w:szCs w:val="24"/>
                <w:lang w:val="en-US" w:eastAsia="zh-CN" w:bidi="ar-SA"/>
              </w:rPr>
              <w:t>的成品运输至堆场，</w:t>
            </w:r>
            <w:r>
              <w:rPr>
                <w:rFonts w:hint="eastAsia" w:cs="Times New Roman"/>
                <w:color w:val="auto"/>
                <w:kern w:val="0"/>
                <w:sz w:val="24"/>
                <w:szCs w:val="24"/>
                <w:lang w:val="en-US" w:eastAsia="zh-CN" w:bidi="ar-SA"/>
              </w:rPr>
              <w:t>本项目砂石经水洗后处于湿式状态，且在输送带两侧安装喷雾抑尘装置，抑尘效率为74%，可有效降低粉尘排放量，</w:t>
            </w:r>
            <w:r>
              <w:rPr>
                <w:rFonts w:hint="eastAsia" w:ascii="Times New Roman" w:hAnsi="Times New Roman" w:eastAsia="宋体" w:cs="Times New Roman"/>
                <w:color w:val="auto"/>
                <w:kern w:val="0"/>
                <w:sz w:val="24"/>
                <w:szCs w:val="24"/>
                <w:lang w:val="en-US" w:eastAsia="zh-CN" w:bidi="ar-SA"/>
              </w:rPr>
              <w:t>输送过程产生的粉尘</w:t>
            </w:r>
            <w:r>
              <w:rPr>
                <w:rFonts w:hint="eastAsia" w:cs="Times New Roman"/>
                <w:color w:val="auto"/>
                <w:kern w:val="0"/>
                <w:sz w:val="24"/>
                <w:szCs w:val="24"/>
                <w:lang w:val="en-US" w:eastAsia="zh-CN" w:bidi="ar-SA"/>
              </w:rPr>
              <w:t>量较少，</w:t>
            </w:r>
            <w:r>
              <w:rPr>
                <w:rFonts w:hint="eastAsia" w:ascii="Times New Roman" w:hAnsi="Times New Roman" w:eastAsia="宋体" w:cs="Times New Roman"/>
                <w:color w:val="auto"/>
                <w:kern w:val="0"/>
                <w:sz w:val="24"/>
                <w:szCs w:val="24"/>
                <w:lang w:val="en-US" w:eastAsia="zh-CN" w:bidi="ar-SA"/>
              </w:rPr>
              <w:t>对环境影响程度较小，</w:t>
            </w:r>
            <w:r>
              <w:rPr>
                <w:rFonts w:hint="eastAsia" w:cs="Times New Roman"/>
                <w:color w:val="auto"/>
                <w:kern w:val="0"/>
                <w:sz w:val="24"/>
                <w:szCs w:val="24"/>
                <w:lang w:val="en-US" w:eastAsia="zh-CN" w:bidi="ar-SA"/>
              </w:rPr>
              <w:t>故</w:t>
            </w:r>
            <w:r>
              <w:rPr>
                <w:rFonts w:hint="eastAsia" w:ascii="Times New Roman" w:hAnsi="Times New Roman" w:eastAsia="宋体" w:cs="Times New Roman"/>
                <w:color w:val="auto"/>
                <w:kern w:val="0"/>
                <w:sz w:val="24"/>
                <w:szCs w:val="24"/>
                <w:lang w:val="en-US" w:eastAsia="zh-CN" w:bidi="ar-SA"/>
              </w:rPr>
              <w:t>本次环评不进行</w:t>
            </w:r>
            <w:r>
              <w:rPr>
                <w:rFonts w:hint="eastAsia" w:cs="Times New Roman"/>
                <w:color w:val="auto"/>
                <w:kern w:val="0"/>
                <w:sz w:val="24"/>
                <w:szCs w:val="24"/>
                <w:lang w:val="en-US" w:eastAsia="zh-CN" w:bidi="ar-SA"/>
              </w:rPr>
              <w:t>定</w:t>
            </w:r>
            <w:r>
              <w:rPr>
                <w:rFonts w:hint="eastAsia" w:ascii="Times New Roman" w:hAnsi="Times New Roman" w:eastAsia="宋体" w:cs="Times New Roman"/>
                <w:color w:val="auto"/>
                <w:kern w:val="0"/>
                <w:sz w:val="24"/>
                <w:szCs w:val="24"/>
                <w:lang w:val="en-US" w:eastAsia="zh-CN" w:bidi="ar-SA"/>
              </w:rPr>
              <w:t>量分析。</w:t>
            </w:r>
          </w:p>
          <w:p>
            <w:pPr>
              <w:pageBreakBefore w:val="0"/>
              <w:wordWrap w:val="0"/>
              <w:bidi w:val="0"/>
              <w:ind w:firstLine="480"/>
              <w:rPr>
                <w:rFonts w:hint="eastAsia"/>
                <w:b/>
                <w:bCs/>
                <w:szCs w:val="32"/>
                <w:lang w:eastAsia="zh-CN"/>
              </w:rPr>
            </w:pPr>
            <w:r>
              <w:rPr>
                <w:rFonts w:hint="eastAsia"/>
                <w:b/>
                <w:bCs/>
                <w:szCs w:val="32"/>
                <w:lang w:eastAsia="zh-CN"/>
              </w:rPr>
              <w:t>（</w:t>
            </w:r>
            <w:r>
              <w:rPr>
                <w:rFonts w:hint="eastAsia"/>
                <w:b/>
                <w:bCs/>
                <w:szCs w:val="32"/>
                <w:lang w:val="en-US" w:eastAsia="zh-CN"/>
              </w:rPr>
              <w:t>5</w:t>
            </w:r>
            <w:r>
              <w:rPr>
                <w:rFonts w:hint="eastAsia"/>
                <w:b/>
                <w:bCs/>
                <w:szCs w:val="32"/>
                <w:lang w:eastAsia="zh-CN"/>
              </w:rPr>
              <w:t>）车辆运输扬尘</w:t>
            </w:r>
          </w:p>
          <w:p>
            <w:pPr>
              <w:pageBreakBefore w:val="0"/>
              <w:wordWrap w:val="0"/>
              <w:bidi w:val="0"/>
              <w:ind w:firstLine="480"/>
              <w:rPr>
                <w:rFonts w:hint="eastAsia"/>
                <w:szCs w:val="32"/>
                <w:lang w:eastAsia="zh-CN"/>
              </w:rPr>
            </w:pPr>
            <w:r>
              <w:rPr>
                <w:rFonts w:hint="eastAsia"/>
                <w:szCs w:val="32"/>
                <w:lang w:eastAsia="zh-CN"/>
              </w:rPr>
              <w:t>汽车运输时由于碾压产生的扬尘对道路两侧一定范围内会造成污染。扬尘量的大小与车流量、道路状况、气候条件、汽车行驶速度等均有关系。根据汽车道路扬尘扩散规律，在大气干燥和地面风速低于4m/s条件下，汽车行驶时路面扬尘量与汽车速度、汽车质量、道路表面扬尘量成正比，项目汽车扬尘根据启程运输扬尘，可按下列经验公式计算：</w:t>
            </w:r>
          </w:p>
          <w:p>
            <w:pPr>
              <w:pageBreakBefore w:val="0"/>
              <w:wordWrap w:val="0"/>
              <w:bidi w:val="0"/>
              <w:ind w:firstLine="1440" w:firstLineChars="600"/>
              <w:rPr>
                <w:rFonts w:hint="eastAsia"/>
                <w:szCs w:val="32"/>
                <w:lang w:eastAsia="zh-CN"/>
              </w:rPr>
            </w:pPr>
            <w:r>
              <w:rPr>
                <w:rFonts w:hint="eastAsia"/>
                <w:szCs w:val="32"/>
                <w:lang w:eastAsia="zh-CN"/>
              </w:rPr>
              <w:object>
                <v:shape id="_x0000_i1025" o:spt="75" type="#_x0000_t75" style="height:57pt;width:224.55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p>
          <w:p>
            <w:pPr>
              <w:pageBreakBefore w:val="0"/>
              <w:wordWrap w:val="0"/>
              <w:bidi w:val="0"/>
              <w:ind w:firstLine="480"/>
              <w:rPr>
                <w:rFonts w:hint="eastAsia"/>
                <w:szCs w:val="32"/>
                <w:lang w:eastAsia="zh-CN"/>
              </w:rPr>
            </w:pPr>
            <w:r>
              <w:rPr>
                <w:rFonts w:hint="eastAsia"/>
                <w:szCs w:val="32"/>
                <w:lang w:eastAsia="zh-CN"/>
              </w:rPr>
              <w:t>式中：QP——道路扬尘量（kg/km·辆）；</w:t>
            </w:r>
          </w:p>
          <w:p>
            <w:pPr>
              <w:pageBreakBefore w:val="0"/>
              <w:wordWrap w:val="0"/>
              <w:bidi w:val="0"/>
              <w:ind w:firstLine="480"/>
              <w:rPr>
                <w:rFonts w:hint="eastAsia"/>
                <w:szCs w:val="32"/>
                <w:lang w:eastAsia="zh-CN"/>
              </w:rPr>
            </w:pPr>
            <w:r>
              <w:rPr>
                <w:rFonts w:hint="eastAsia"/>
                <w:szCs w:val="32"/>
                <w:lang w:eastAsia="zh-CN"/>
              </w:rPr>
              <w:t>QP1——总扬尘量（kg/a）；</w:t>
            </w:r>
          </w:p>
          <w:p>
            <w:pPr>
              <w:pageBreakBefore w:val="0"/>
              <w:wordWrap w:val="0"/>
              <w:bidi w:val="0"/>
              <w:ind w:firstLine="480"/>
              <w:rPr>
                <w:rFonts w:hint="eastAsia"/>
                <w:szCs w:val="32"/>
                <w:lang w:eastAsia="zh-CN"/>
              </w:rPr>
            </w:pPr>
            <w:r>
              <w:rPr>
                <w:rFonts w:hint="eastAsia"/>
                <w:szCs w:val="32"/>
                <w:lang w:eastAsia="zh-CN"/>
              </w:rPr>
              <w:t>V——车辆速度（km/h），本项目按5km/h计；</w:t>
            </w:r>
          </w:p>
          <w:p>
            <w:pPr>
              <w:pageBreakBefore w:val="0"/>
              <w:wordWrap w:val="0"/>
              <w:bidi w:val="0"/>
              <w:ind w:firstLine="480"/>
              <w:rPr>
                <w:rFonts w:hint="eastAsia"/>
                <w:szCs w:val="32"/>
                <w:lang w:eastAsia="zh-CN"/>
              </w:rPr>
            </w:pPr>
            <w:r>
              <w:rPr>
                <w:rFonts w:hint="eastAsia"/>
                <w:szCs w:val="32"/>
                <w:lang w:eastAsia="zh-CN"/>
              </w:rPr>
              <w:t>M——车辆载重（t/辆），本项目按</w:t>
            </w:r>
            <w:r>
              <w:rPr>
                <w:rFonts w:hint="eastAsia"/>
                <w:szCs w:val="32"/>
                <w:lang w:val="en-US" w:eastAsia="zh-CN"/>
              </w:rPr>
              <w:t>25</w:t>
            </w:r>
            <w:r>
              <w:rPr>
                <w:rFonts w:hint="eastAsia"/>
                <w:szCs w:val="32"/>
                <w:lang w:eastAsia="zh-CN"/>
              </w:rPr>
              <w:t>t计；</w:t>
            </w:r>
          </w:p>
          <w:p>
            <w:pPr>
              <w:pageBreakBefore w:val="0"/>
              <w:wordWrap w:val="0"/>
              <w:bidi w:val="0"/>
              <w:ind w:firstLine="480"/>
              <w:rPr>
                <w:rFonts w:hint="eastAsia"/>
                <w:szCs w:val="32"/>
                <w:lang w:eastAsia="zh-CN"/>
              </w:rPr>
            </w:pPr>
            <w:r>
              <w:rPr>
                <w:rFonts w:hint="eastAsia"/>
                <w:szCs w:val="32"/>
                <w:lang w:eastAsia="zh-CN"/>
              </w:rPr>
              <w:t>P——道路灰尘覆盖量（kg/m</w:t>
            </w:r>
            <w:r>
              <w:rPr>
                <w:rFonts w:hint="eastAsia"/>
                <w:szCs w:val="32"/>
                <w:vertAlign w:val="superscript"/>
                <w:lang w:eastAsia="zh-CN"/>
              </w:rPr>
              <w:t>2</w:t>
            </w:r>
            <w:r>
              <w:rPr>
                <w:rFonts w:hint="eastAsia"/>
                <w:szCs w:val="32"/>
                <w:lang w:eastAsia="zh-CN"/>
              </w:rPr>
              <w:t>），本项目按0.1kg/m</w:t>
            </w:r>
            <w:r>
              <w:rPr>
                <w:rFonts w:hint="eastAsia"/>
                <w:szCs w:val="32"/>
                <w:vertAlign w:val="superscript"/>
                <w:lang w:eastAsia="zh-CN"/>
              </w:rPr>
              <w:t>2</w:t>
            </w:r>
            <w:r>
              <w:rPr>
                <w:rFonts w:hint="eastAsia"/>
                <w:szCs w:val="32"/>
                <w:lang w:eastAsia="zh-CN"/>
              </w:rPr>
              <w:t>计（</w:t>
            </w:r>
            <w:r>
              <w:rPr>
                <w:rFonts w:hint="eastAsia"/>
                <w:szCs w:val="32"/>
                <w:lang w:val="en-US" w:eastAsia="zh-CN"/>
              </w:rPr>
              <w:t>道路</w:t>
            </w:r>
            <w:r>
              <w:rPr>
                <w:rFonts w:hint="eastAsia"/>
                <w:szCs w:val="32"/>
                <w:lang w:eastAsia="zh-CN"/>
              </w:rPr>
              <w:t>硬化）；</w:t>
            </w:r>
          </w:p>
          <w:p>
            <w:pPr>
              <w:pageBreakBefore w:val="0"/>
              <w:wordWrap w:val="0"/>
              <w:bidi w:val="0"/>
              <w:ind w:firstLine="480"/>
              <w:rPr>
                <w:rFonts w:hint="eastAsia"/>
                <w:szCs w:val="32"/>
                <w:lang w:eastAsia="zh-CN"/>
              </w:rPr>
            </w:pPr>
            <w:r>
              <w:rPr>
                <w:rFonts w:hint="eastAsia"/>
                <w:szCs w:val="32"/>
                <w:lang w:eastAsia="zh-CN"/>
              </w:rPr>
              <w:t>L——运输距离（km），本项目按0.1km计；</w:t>
            </w:r>
          </w:p>
          <w:p>
            <w:pPr>
              <w:pageBreakBefore w:val="0"/>
              <w:wordWrap w:val="0"/>
              <w:bidi w:val="0"/>
              <w:ind w:firstLine="480"/>
              <w:rPr>
                <w:rFonts w:hint="eastAsia"/>
                <w:szCs w:val="32"/>
                <w:lang w:eastAsia="zh-CN"/>
              </w:rPr>
            </w:pPr>
            <w:r>
              <w:rPr>
                <w:rFonts w:hint="eastAsia"/>
                <w:szCs w:val="32"/>
                <w:lang w:eastAsia="zh-CN"/>
              </w:rPr>
              <w:t>Q——运输量（t/a）。</w:t>
            </w:r>
          </w:p>
          <w:p>
            <w:pPr>
              <w:pageBreakBefore w:val="0"/>
              <w:wordWrap w:val="0"/>
              <w:bidi w:val="0"/>
              <w:ind w:firstLine="480"/>
              <w:rPr>
                <w:rFonts w:hint="eastAsia"/>
                <w:szCs w:val="32"/>
                <w:lang w:eastAsia="zh-CN"/>
              </w:rPr>
            </w:pPr>
            <w:r>
              <w:rPr>
                <w:rFonts w:hint="eastAsia"/>
                <w:szCs w:val="32"/>
                <w:lang w:eastAsia="zh-CN"/>
              </w:rPr>
              <w:t>本项目开采量</w:t>
            </w:r>
            <w:r>
              <w:rPr>
                <w:rFonts w:hint="eastAsia"/>
                <w:szCs w:val="32"/>
                <w:lang w:val="en-US" w:eastAsia="zh-CN"/>
              </w:rPr>
              <w:t>6</w:t>
            </w:r>
            <w:r>
              <w:rPr>
                <w:rFonts w:hint="eastAsia"/>
                <w:szCs w:val="32"/>
                <w:lang w:eastAsia="zh-CN"/>
              </w:rPr>
              <w:t>万m</w:t>
            </w:r>
            <w:r>
              <w:rPr>
                <w:rFonts w:hint="eastAsia"/>
                <w:szCs w:val="32"/>
                <w:vertAlign w:val="superscript"/>
                <w:lang w:eastAsia="zh-CN"/>
              </w:rPr>
              <w:t>3</w:t>
            </w:r>
            <w:r>
              <w:rPr>
                <w:rFonts w:hint="eastAsia"/>
                <w:szCs w:val="32"/>
                <w:lang w:eastAsia="zh-CN"/>
              </w:rPr>
              <w:t>/a(</w:t>
            </w:r>
            <w:r>
              <w:rPr>
                <w:rFonts w:hint="eastAsia"/>
                <w:szCs w:val="32"/>
                <w:lang w:val="en-US" w:eastAsia="zh-CN"/>
              </w:rPr>
              <w:t>9</w:t>
            </w:r>
            <w:r>
              <w:rPr>
                <w:rFonts w:hint="eastAsia"/>
                <w:szCs w:val="32"/>
                <w:lang w:eastAsia="zh-CN"/>
              </w:rPr>
              <w:t>万吨</w:t>
            </w:r>
            <w:r>
              <w:rPr>
                <w:rFonts w:hint="eastAsia"/>
                <w:szCs w:val="32"/>
                <w:lang w:val="en-US" w:eastAsia="zh-CN"/>
              </w:rPr>
              <w:t>/a</w:t>
            </w:r>
            <w:r>
              <w:rPr>
                <w:rFonts w:hint="eastAsia"/>
                <w:szCs w:val="32"/>
                <w:lang w:eastAsia="zh-CN"/>
              </w:rPr>
              <w:t>），按每辆车每次运输</w:t>
            </w:r>
            <w:r>
              <w:rPr>
                <w:rFonts w:hint="eastAsia"/>
                <w:szCs w:val="32"/>
                <w:lang w:val="en-US" w:eastAsia="zh-CN"/>
              </w:rPr>
              <w:t>25</w:t>
            </w:r>
            <w:r>
              <w:rPr>
                <w:rFonts w:hint="eastAsia"/>
                <w:szCs w:val="32"/>
                <w:lang w:eastAsia="zh-CN"/>
              </w:rPr>
              <w:t>t计，项目原材料、产品等物料共需运输</w:t>
            </w:r>
            <w:r>
              <w:rPr>
                <w:rFonts w:hint="eastAsia"/>
                <w:szCs w:val="32"/>
                <w:lang w:val="en-US" w:eastAsia="zh-CN"/>
              </w:rPr>
              <w:t>7200</w:t>
            </w:r>
            <w:r>
              <w:rPr>
                <w:rFonts w:hint="eastAsia"/>
                <w:szCs w:val="32"/>
                <w:lang w:eastAsia="zh-CN"/>
              </w:rPr>
              <w:t>次/a。项目厂内车辆运输距离按100m计。根据计算，车辆运输扬尘量按0.</w:t>
            </w:r>
            <w:r>
              <w:rPr>
                <w:rFonts w:hint="eastAsia"/>
                <w:szCs w:val="32"/>
                <w:lang w:val="en-US" w:eastAsia="zh-CN"/>
              </w:rPr>
              <w:t>19</w:t>
            </w:r>
            <w:r>
              <w:rPr>
                <w:rFonts w:hint="eastAsia"/>
                <w:szCs w:val="32"/>
                <w:lang w:eastAsia="zh-CN"/>
              </w:rPr>
              <w:t>kg/km辆计算，则厂区物料运输扬尘产生量为</w:t>
            </w:r>
            <w:r>
              <w:rPr>
                <w:rFonts w:hint="eastAsia"/>
                <w:szCs w:val="32"/>
                <w:lang w:val="en-US" w:eastAsia="zh-CN"/>
              </w:rPr>
              <w:t>0.14</w:t>
            </w:r>
            <w:r>
              <w:rPr>
                <w:rFonts w:hint="eastAsia"/>
                <w:szCs w:val="32"/>
                <w:lang w:eastAsia="zh-CN"/>
              </w:rPr>
              <w:t>t/a。</w:t>
            </w:r>
          </w:p>
          <w:p>
            <w:pPr>
              <w:pageBreakBefore w:val="0"/>
              <w:wordWrap w:val="0"/>
              <w:bidi w:val="0"/>
              <w:ind w:firstLine="480"/>
              <w:rPr>
                <w:rFonts w:hint="eastAsia"/>
                <w:szCs w:val="32"/>
                <w:lang w:eastAsia="zh-CN"/>
              </w:rPr>
            </w:pPr>
            <w:r>
              <w:rPr>
                <w:rFonts w:hint="eastAsia"/>
                <w:szCs w:val="32"/>
                <w:lang w:eastAsia="zh-CN"/>
              </w:rPr>
              <w:t>车辆运输过程中采取严格限制超载，车辆加盖苫布，减速慢行，对场内进行洒水抑尘，同时在厂区车辆进出口设置车辆冲洗台，对进出车辆进行冲洗。采取环评要求的降尘措施后，扬尘量减少约</w:t>
            </w:r>
            <w:r>
              <w:rPr>
                <w:rFonts w:hint="eastAsia"/>
                <w:szCs w:val="32"/>
                <w:lang w:val="en-US" w:eastAsia="zh-CN"/>
              </w:rPr>
              <w:t>8</w:t>
            </w:r>
            <w:r>
              <w:rPr>
                <w:rFonts w:hint="eastAsia"/>
                <w:szCs w:val="32"/>
                <w:lang w:eastAsia="zh-CN"/>
              </w:rPr>
              <w:t>0%，则运输扬尘排放量为</w:t>
            </w:r>
            <w:r>
              <w:rPr>
                <w:rFonts w:hint="eastAsia"/>
                <w:szCs w:val="32"/>
                <w:lang w:val="en-US" w:eastAsia="zh-CN"/>
              </w:rPr>
              <w:t>0.028</w:t>
            </w:r>
            <w:r>
              <w:rPr>
                <w:rFonts w:hint="eastAsia"/>
                <w:szCs w:val="32"/>
                <w:lang w:eastAsia="zh-CN"/>
              </w:rPr>
              <w:t>t/a。</w:t>
            </w:r>
          </w:p>
          <w:p>
            <w:pPr>
              <w:pageBreakBefore w:val="0"/>
              <w:wordWrap w:val="0"/>
              <w:bidi w:val="0"/>
              <w:ind w:firstLine="480"/>
              <w:rPr>
                <w:rFonts w:hint="eastAsia"/>
                <w:b/>
                <w:bCs/>
                <w:szCs w:val="32"/>
                <w:lang w:eastAsia="zh-CN"/>
              </w:rPr>
            </w:pPr>
            <w:r>
              <w:rPr>
                <w:rFonts w:hint="eastAsia"/>
                <w:b/>
                <w:bCs/>
                <w:szCs w:val="32"/>
                <w:lang w:eastAsia="zh-CN"/>
              </w:rPr>
              <w:t>(</w:t>
            </w:r>
            <w:r>
              <w:rPr>
                <w:rFonts w:hint="eastAsia"/>
                <w:b/>
                <w:bCs/>
                <w:szCs w:val="32"/>
                <w:lang w:val="en-US" w:eastAsia="zh-CN"/>
              </w:rPr>
              <w:t>6</w:t>
            </w:r>
            <w:r>
              <w:rPr>
                <w:rFonts w:hint="eastAsia"/>
                <w:b/>
                <w:bCs/>
                <w:szCs w:val="32"/>
                <w:lang w:eastAsia="zh-CN"/>
              </w:rPr>
              <w:t>)车辆废气</w:t>
            </w:r>
          </w:p>
          <w:p>
            <w:pPr>
              <w:pageBreakBefore w:val="0"/>
              <w:wordWrap w:val="0"/>
              <w:bidi w:val="0"/>
              <w:ind w:firstLine="480"/>
              <w:rPr>
                <w:rFonts w:hint="eastAsia"/>
                <w:szCs w:val="32"/>
                <w:lang w:eastAsia="zh-CN"/>
              </w:rPr>
            </w:pPr>
            <w:r>
              <w:rPr>
                <w:rFonts w:hint="eastAsia"/>
                <w:szCs w:val="32"/>
                <w:lang w:eastAsia="zh-CN"/>
              </w:rPr>
              <w:t>项目施工期、运营期施工机械和运输车辆在作业时会产生汽车尾气，主要污染物是CO、NOX和THC，通过按时保养，使用合格机油，尾气产生量较小，不再进行定量分析。</w:t>
            </w:r>
          </w:p>
          <w:p>
            <w:pPr>
              <w:pageBreakBefore w:val="0"/>
              <w:wordWrap w:val="0"/>
              <w:bidi w:val="0"/>
              <w:ind w:firstLine="480"/>
              <w:rPr>
                <w:rFonts w:hint="eastAsia"/>
                <w:b/>
                <w:bCs/>
                <w:szCs w:val="32"/>
                <w:lang w:eastAsia="zh-CN"/>
              </w:rPr>
            </w:pPr>
            <w:r>
              <w:rPr>
                <w:rFonts w:hint="eastAsia"/>
                <w:b/>
                <w:bCs/>
                <w:szCs w:val="32"/>
                <w:lang w:eastAsia="zh-CN"/>
              </w:rPr>
              <w:t>（</w:t>
            </w:r>
            <w:r>
              <w:rPr>
                <w:rFonts w:hint="eastAsia"/>
                <w:b/>
                <w:bCs/>
                <w:szCs w:val="32"/>
                <w:lang w:val="en-US" w:eastAsia="zh-CN"/>
              </w:rPr>
              <w:t>7</w:t>
            </w:r>
            <w:r>
              <w:rPr>
                <w:rFonts w:hint="eastAsia"/>
                <w:b/>
                <w:bCs/>
                <w:szCs w:val="32"/>
                <w:lang w:eastAsia="zh-CN"/>
              </w:rPr>
              <w:t>）油烟废气</w:t>
            </w:r>
          </w:p>
          <w:p>
            <w:pPr>
              <w:pageBreakBefore w:val="0"/>
              <w:wordWrap w:val="0"/>
              <w:bidi w:val="0"/>
              <w:spacing w:line="360" w:lineRule="auto"/>
              <w:ind w:firstLine="480"/>
              <w:rPr>
                <w:rFonts w:hint="eastAsia"/>
                <w:szCs w:val="32"/>
                <w:lang w:eastAsia="zh-CN"/>
              </w:rPr>
            </w:pPr>
            <w:r>
              <w:rPr>
                <w:rFonts w:hint="eastAsia"/>
                <w:szCs w:val="32"/>
                <w:lang w:eastAsia="zh-CN"/>
              </w:rPr>
              <w:t>项目厨房烹煮食物会产生油烟，本项目为小型食堂，根据居民炊事排污因子参考数据，食用油烹饪时产生油烟1.035kg/t，平衡膳食推荐食用油30g/人·d，项目厨房用餐人数为</w:t>
            </w:r>
            <w:r>
              <w:rPr>
                <w:rFonts w:hint="eastAsia"/>
                <w:szCs w:val="32"/>
                <w:lang w:val="en-US" w:eastAsia="zh-CN"/>
              </w:rPr>
              <w:t>13</w:t>
            </w:r>
            <w:r>
              <w:rPr>
                <w:rFonts w:hint="eastAsia"/>
                <w:szCs w:val="32"/>
                <w:lang w:eastAsia="zh-CN"/>
              </w:rPr>
              <w:t>人，所以食用油用量为0.</w:t>
            </w:r>
            <w:r>
              <w:rPr>
                <w:rFonts w:hint="eastAsia"/>
                <w:szCs w:val="32"/>
                <w:lang w:val="en-US" w:eastAsia="zh-CN"/>
              </w:rPr>
              <w:t>1</w:t>
            </w:r>
            <w:r>
              <w:rPr>
                <w:rFonts w:hint="eastAsia"/>
                <w:szCs w:val="32"/>
                <w:lang w:eastAsia="zh-CN"/>
              </w:rPr>
              <w:t>t/a，则油烟产生量为</w:t>
            </w:r>
            <w:r>
              <w:rPr>
                <w:rFonts w:hint="eastAsia"/>
                <w:szCs w:val="32"/>
                <w:lang w:val="en-US" w:eastAsia="zh-CN"/>
              </w:rPr>
              <w:t>0.104</w:t>
            </w:r>
            <w:r>
              <w:rPr>
                <w:rFonts w:hint="eastAsia"/>
                <w:szCs w:val="32"/>
                <w:lang w:eastAsia="zh-CN"/>
              </w:rPr>
              <w:t>kg/a，设置一套油烟净化系统，油烟净化效率为</w:t>
            </w:r>
            <w:r>
              <w:rPr>
                <w:rFonts w:hint="eastAsia"/>
                <w:szCs w:val="32"/>
                <w:lang w:val="en-US" w:eastAsia="zh-CN"/>
              </w:rPr>
              <w:t>75</w:t>
            </w:r>
            <w:r>
              <w:rPr>
                <w:rFonts w:hint="eastAsia"/>
                <w:szCs w:val="32"/>
                <w:lang w:eastAsia="zh-CN"/>
              </w:rPr>
              <w:t>%，时间按</w:t>
            </w:r>
            <w:r>
              <w:rPr>
                <w:rFonts w:hint="eastAsia"/>
                <w:szCs w:val="32"/>
                <w:lang w:val="en-US" w:eastAsia="zh-CN"/>
              </w:rPr>
              <w:t>3</w:t>
            </w:r>
            <w:r>
              <w:rPr>
                <w:rFonts w:hint="eastAsia"/>
                <w:szCs w:val="32"/>
                <w:lang w:eastAsia="zh-CN"/>
              </w:rPr>
              <w:t>h计算，厨房所排油烟的量为</w:t>
            </w:r>
            <w:r>
              <w:rPr>
                <w:rFonts w:hint="eastAsia"/>
                <w:szCs w:val="32"/>
                <w:lang w:val="en-US" w:eastAsia="zh-CN"/>
              </w:rPr>
              <w:t>0.026</w:t>
            </w:r>
            <w:r>
              <w:rPr>
                <w:rFonts w:hint="eastAsia"/>
                <w:szCs w:val="32"/>
                <w:lang w:eastAsia="zh-CN"/>
              </w:rPr>
              <w:t>kg/a，</w:t>
            </w:r>
            <w:r>
              <w:rPr>
                <w:rFonts w:hint="eastAsia"/>
                <w:szCs w:val="32"/>
                <w:lang w:val="en-US" w:eastAsia="zh-CN"/>
              </w:rPr>
              <w:t>0.013</w:t>
            </w:r>
            <w:r>
              <w:rPr>
                <w:rFonts w:hint="eastAsia"/>
                <w:szCs w:val="32"/>
                <w:lang w:eastAsia="zh-CN"/>
              </w:rPr>
              <w:t>g/h，项目厨房设置的风机风量为</w:t>
            </w:r>
            <w:r>
              <w:rPr>
                <w:rFonts w:hint="eastAsia"/>
                <w:szCs w:val="32"/>
                <w:lang w:val="en-US" w:eastAsia="zh-CN"/>
              </w:rPr>
              <w:t>500</w:t>
            </w:r>
            <w:r>
              <w:rPr>
                <w:rFonts w:hint="eastAsia"/>
                <w:szCs w:val="32"/>
                <w:lang w:eastAsia="zh-CN"/>
              </w:rPr>
              <w:t>m</w:t>
            </w:r>
            <w:r>
              <w:rPr>
                <w:rFonts w:hint="eastAsia"/>
                <w:szCs w:val="32"/>
                <w:vertAlign w:val="superscript"/>
                <w:lang w:eastAsia="zh-CN"/>
              </w:rPr>
              <w:t>3</w:t>
            </w:r>
            <w:r>
              <w:rPr>
                <w:rFonts w:hint="eastAsia"/>
                <w:szCs w:val="32"/>
                <w:lang w:eastAsia="zh-CN"/>
              </w:rPr>
              <w:t>/h，项目厨房油烟产生浓度为0.</w:t>
            </w:r>
            <w:r>
              <w:rPr>
                <w:rFonts w:hint="eastAsia"/>
                <w:szCs w:val="32"/>
                <w:lang w:val="en-US" w:eastAsia="zh-CN"/>
              </w:rPr>
              <w:t>026</w:t>
            </w:r>
            <w:r>
              <w:rPr>
                <w:rFonts w:hint="eastAsia"/>
                <w:szCs w:val="32"/>
                <w:lang w:eastAsia="zh-CN"/>
              </w:rPr>
              <w:t>mg/m</w:t>
            </w:r>
            <w:r>
              <w:rPr>
                <w:rFonts w:hint="eastAsia"/>
                <w:szCs w:val="32"/>
                <w:vertAlign w:val="superscript"/>
                <w:lang w:eastAsia="zh-CN"/>
              </w:rPr>
              <w:t>3</w:t>
            </w:r>
            <w:r>
              <w:rPr>
                <w:rFonts w:hint="eastAsia"/>
                <w:szCs w:val="32"/>
                <w:lang w:eastAsia="zh-CN"/>
              </w:rPr>
              <w:t>，经油烟净化器处理后通过屋顶的排气口外排，对周边大气环境影响较小。</w:t>
            </w:r>
          </w:p>
          <w:p>
            <w:pPr>
              <w:pStyle w:val="4"/>
              <w:pageBreakBefore w:val="0"/>
              <w:numPr>
                <w:ilvl w:val="1"/>
                <w:numId w:val="0"/>
              </w:numPr>
              <w:wordWrap w:val="0"/>
              <w:bidi w:val="0"/>
              <w:spacing w:line="360" w:lineRule="auto"/>
              <w:ind w:left="0" w:leftChars="0" w:firstLine="480" w:firstLineChars="200"/>
              <w:rPr>
                <w:rFonts w:hint="eastAsia"/>
                <w:b/>
                <w:sz w:val="21"/>
                <w:szCs w:val="21"/>
              </w:rPr>
            </w:pPr>
            <w:r>
              <w:rPr>
                <w:rFonts w:hint="eastAsia"/>
                <w:b w:val="0"/>
                <w:bCs w:val="0"/>
                <w:sz w:val="24"/>
              </w:rPr>
              <w:t>运营期间大气污染物产生量及排放量汇总如下表。</w:t>
            </w:r>
          </w:p>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center"/>
              <w:textAlignment w:val="auto"/>
              <w:rPr>
                <w:rFonts w:hint="eastAsia"/>
                <w:b/>
                <w:sz w:val="21"/>
                <w:szCs w:val="21"/>
              </w:rPr>
            </w:pPr>
            <w:r>
              <w:rPr>
                <w:rFonts w:hint="eastAsia"/>
                <w:b/>
                <w:sz w:val="21"/>
                <w:szCs w:val="21"/>
              </w:rPr>
              <w:t>表4-</w:t>
            </w:r>
            <w:r>
              <w:rPr>
                <w:rFonts w:hint="eastAsia"/>
                <w:b/>
                <w:sz w:val="21"/>
                <w:szCs w:val="21"/>
                <w:lang w:val="en-US" w:eastAsia="zh-CN"/>
              </w:rPr>
              <w:t xml:space="preserve">3  </w:t>
            </w:r>
            <w:r>
              <w:rPr>
                <w:rFonts w:hint="eastAsia"/>
                <w:b/>
                <w:sz w:val="21"/>
                <w:szCs w:val="21"/>
              </w:rPr>
              <w:t xml:space="preserve"> 运营期大气污染物排放一览表</w:t>
            </w:r>
          </w:p>
          <w:tbl>
            <w:tblPr>
              <w:tblStyle w:val="2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675"/>
              <w:gridCol w:w="829"/>
              <w:gridCol w:w="817"/>
              <w:gridCol w:w="1722"/>
              <w:gridCol w:w="733"/>
              <w:gridCol w:w="782"/>
              <w:gridCol w:w="837"/>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sz w:val="21"/>
                      <w:szCs w:val="21"/>
                    </w:rPr>
                  </w:pPr>
                  <w:r>
                    <w:rPr>
                      <w:b/>
                      <w:bCs/>
                      <w:sz w:val="21"/>
                      <w:szCs w:val="21"/>
                    </w:rPr>
                    <w:t>产排污环节</w:t>
                  </w:r>
                </w:p>
              </w:tc>
              <w:tc>
                <w:tcPr>
                  <w:tcW w:w="434"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b/>
                      <w:color w:val="000000"/>
                      <w:sz w:val="21"/>
                      <w:szCs w:val="21"/>
                    </w:rPr>
                  </w:pPr>
                  <w:r>
                    <w:rPr>
                      <w:b/>
                      <w:color w:val="000000"/>
                      <w:sz w:val="21"/>
                      <w:szCs w:val="21"/>
                    </w:rPr>
                    <w:t>污染物</w:t>
                  </w:r>
                </w:p>
              </w:tc>
              <w:tc>
                <w:tcPr>
                  <w:tcW w:w="533"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b/>
                      <w:color w:val="000000"/>
                      <w:sz w:val="21"/>
                      <w:szCs w:val="21"/>
                    </w:rPr>
                  </w:pPr>
                  <w:r>
                    <w:rPr>
                      <w:b/>
                      <w:color w:val="000000"/>
                      <w:sz w:val="21"/>
                      <w:szCs w:val="21"/>
                    </w:rPr>
                    <w:t>产生量</w:t>
                  </w:r>
                  <w:r>
                    <w:rPr>
                      <w:rFonts w:hint="eastAsia"/>
                      <w:b/>
                      <w:color w:val="000000"/>
                      <w:sz w:val="21"/>
                      <w:szCs w:val="21"/>
                    </w:rPr>
                    <w:t>（t/a）</w:t>
                  </w:r>
                </w:p>
              </w:tc>
              <w:tc>
                <w:tcPr>
                  <w:tcW w:w="525"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default"/>
                      <w:b/>
                      <w:color w:val="000000"/>
                      <w:sz w:val="21"/>
                      <w:szCs w:val="21"/>
                      <w:lang w:val="en-US" w:eastAsia="zh-CN"/>
                    </w:rPr>
                  </w:pPr>
                  <w:r>
                    <w:rPr>
                      <w:rFonts w:hint="eastAsia"/>
                      <w:b/>
                      <w:color w:val="000000"/>
                      <w:sz w:val="21"/>
                      <w:szCs w:val="21"/>
                      <w:lang w:val="en-US" w:eastAsia="zh-CN"/>
                    </w:rPr>
                    <w:t>产生浓度mg/m</w:t>
                  </w:r>
                  <w:r>
                    <w:rPr>
                      <w:rFonts w:hint="eastAsia"/>
                      <w:b/>
                      <w:color w:val="000000"/>
                      <w:sz w:val="21"/>
                      <w:szCs w:val="21"/>
                      <w:vertAlign w:val="superscript"/>
                      <w:lang w:val="en-US" w:eastAsia="zh-CN"/>
                    </w:rPr>
                    <w:t>3</w:t>
                  </w:r>
                </w:p>
              </w:tc>
              <w:tc>
                <w:tcPr>
                  <w:tcW w:w="1107"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b/>
                      <w:color w:val="000000"/>
                      <w:sz w:val="21"/>
                      <w:szCs w:val="21"/>
                    </w:rPr>
                  </w:pPr>
                  <w:r>
                    <w:rPr>
                      <w:b/>
                      <w:color w:val="000000"/>
                      <w:sz w:val="21"/>
                      <w:szCs w:val="21"/>
                    </w:rPr>
                    <w:t>治理措施</w:t>
                  </w:r>
                </w:p>
              </w:tc>
              <w:tc>
                <w:tcPr>
                  <w:tcW w:w="471"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eastAsia" w:eastAsia="宋体"/>
                      <w:b/>
                      <w:color w:val="000000"/>
                      <w:sz w:val="21"/>
                      <w:szCs w:val="21"/>
                      <w:lang w:eastAsia="zh-CN"/>
                    </w:rPr>
                  </w:pPr>
                  <w:r>
                    <w:rPr>
                      <w:rFonts w:hint="eastAsia"/>
                      <w:b/>
                      <w:color w:val="000000"/>
                      <w:sz w:val="21"/>
                      <w:szCs w:val="21"/>
                      <w:lang w:eastAsia="zh-CN"/>
                    </w:rPr>
                    <w:t>处理效率</w:t>
                  </w:r>
                </w:p>
              </w:tc>
              <w:tc>
                <w:tcPr>
                  <w:tcW w:w="503"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b/>
                      <w:color w:val="000000"/>
                      <w:sz w:val="21"/>
                      <w:szCs w:val="21"/>
                    </w:rPr>
                  </w:pPr>
                  <w:r>
                    <w:rPr>
                      <w:b/>
                      <w:color w:val="000000"/>
                      <w:sz w:val="21"/>
                      <w:szCs w:val="21"/>
                    </w:rPr>
                    <w:t>排放量</w:t>
                  </w:r>
                </w:p>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b/>
                      <w:color w:val="000000"/>
                      <w:sz w:val="21"/>
                      <w:szCs w:val="21"/>
                    </w:rPr>
                  </w:pPr>
                  <w:r>
                    <w:rPr>
                      <w:rFonts w:hint="eastAsia"/>
                      <w:b/>
                      <w:color w:val="000000"/>
                      <w:sz w:val="21"/>
                      <w:szCs w:val="21"/>
                    </w:rPr>
                    <w:t>（t/a）</w:t>
                  </w:r>
                </w:p>
              </w:tc>
              <w:tc>
                <w:tcPr>
                  <w:tcW w:w="538"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b/>
                      <w:color w:val="000000"/>
                      <w:sz w:val="21"/>
                      <w:szCs w:val="21"/>
                    </w:rPr>
                  </w:pPr>
                  <w:r>
                    <w:rPr>
                      <w:rFonts w:hint="eastAsia"/>
                      <w:b/>
                      <w:color w:val="000000"/>
                      <w:sz w:val="21"/>
                      <w:szCs w:val="21"/>
                      <w:lang w:val="en-US" w:eastAsia="zh-CN"/>
                    </w:rPr>
                    <w:t>排放浓度mg/m</w:t>
                  </w:r>
                  <w:r>
                    <w:rPr>
                      <w:rFonts w:hint="eastAsia"/>
                      <w:b/>
                      <w:color w:val="000000"/>
                      <w:sz w:val="21"/>
                      <w:szCs w:val="21"/>
                      <w:vertAlign w:val="superscript"/>
                      <w:lang w:val="en-US" w:eastAsia="zh-CN"/>
                    </w:rPr>
                    <w:t>3</w:t>
                  </w:r>
                </w:p>
              </w:tc>
              <w:tc>
                <w:tcPr>
                  <w:tcW w:w="427"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eastAsia"/>
                      <w:b/>
                      <w:color w:val="000000"/>
                      <w:sz w:val="21"/>
                      <w:szCs w:val="21"/>
                      <w:lang w:val="en-US" w:eastAsia="zh-CN"/>
                    </w:rPr>
                  </w:pPr>
                  <w:r>
                    <w:rPr>
                      <w:rFonts w:hint="eastAsia"/>
                      <w:b/>
                      <w:color w:val="000000"/>
                      <w:sz w:val="21"/>
                      <w:szCs w:val="21"/>
                      <w:lang w:val="en-US" w:eastAsia="zh-CN"/>
                    </w:rPr>
                    <w:t>排放方式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eastAsia" w:eastAsia="宋体"/>
                      <w:b/>
                      <w:bCs/>
                      <w:sz w:val="21"/>
                      <w:szCs w:val="21"/>
                      <w:lang w:eastAsia="zh-CN"/>
                    </w:rPr>
                  </w:pPr>
                  <w:r>
                    <w:rPr>
                      <w:rFonts w:hint="eastAsia"/>
                      <w:b w:val="0"/>
                      <w:bCs w:val="0"/>
                      <w:sz w:val="21"/>
                      <w:szCs w:val="21"/>
                      <w:lang w:eastAsia="zh-CN"/>
                    </w:rPr>
                    <w:t>开采</w:t>
                  </w:r>
                </w:p>
              </w:tc>
              <w:tc>
                <w:tcPr>
                  <w:tcW w:w="434" w:type="pct"/>
                  <w:vMerge w:val="restar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000000"/>
                      <w:sz w:val="21"/>
                      <w:szCs w:val="21"/>
                      <w:lang w:eastAsia="zh-CN"/>
                    </w:rPr>
                  </w:pPr>
                  <w:r>
                    <w:rPr>
                      <w:rFonts w:hint="eastAsia"/>
                      <w:color w:val="000000"/>
                      <w:sz w:val="21"/>
                      <w:szCs w:val="21"/>
                      <w:lang w:eastAsia="zh-CN"/>
                    </w:rPr>
                    <w:t>颗粒物</w:t>
                  </w:r>
                </w:p>
              </w:tc>
              <w:tc>
                <w:tcPr>
                  <w:tcW w:w="533"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default" w:eastAsia="宋体"/>
                      <w:b w:val="0"/>
                      <w:bCs/>
                      <w:color w:val="000000"/>
                      <w:sz w:val="21"/>
                      <w:szCs w:val="21"/>
                      <w:lang w:val="en-US" w:eastAsia="zh-CN"/>
                    </w:rPr>
                  </w:pPr>
                  <w:r>
                    <w:rPr>
                      <w:rFonts w:hint="eastAsia"/>
                      <w:b w:val="0"/>
                      <w:bCs/>
                      <w:color w:val="000000"/>
                      <w:sz w:val="21"/>
                      <w:szCs w:val="21"/>
                      <w:lang w:val="en-US" w:eastAsia="zh-CN"/>
                    </w:rPr>
                    <w:t>7.38</w:t>
                  </w:r>
                </w:p>
              </w:tc>
              <w:tc>
                <w:tcPr>
                  <w:tcW w:w="525"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default"/>
                      <w:b w:val="0"/>
                      <w:bCs/>
                      <w:color w:val="000000"/>
                      <w:sz w:val="21"/>
                      <w:szCs w:val="21"/>
                      <w:lang w:val="en-US" w:eastAsia="zh-CN"/>
                    </w:rPr>
                  </w:pPr>
                  <w:r>
                    <w:rPr>
                      <w:rFonts w:hint="eastAsia"/>
                      <w:b w:val="0"/>
                      <w:bCs/>
                      <w:color w:val="000000"/>
                      <w:sz w:val="21"/>
                      <w:szCs w:val="21"/>
                      <w:lang w:val="en-US" w:eastAsia="zh-CN"/>
                    </w:rPr>
                    <w:t>/</w:t>
                  </w:r>
                </w:p>
              </w:tc>
              <w:tc>
                <w:tcPr>
                  <w:tcW w:w="1107"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eastAsia" w:eastAsia="宋体"/>
                      <w:b w:val="0"/>
                      <w:bCs/>
                      <w:color w:val="000000"/>
                      <w:sz w:val="21"/>
                      <w:szCs w:val="21"/>
                      <w:lang w:eastAsia="zh-CN"/>
                    </w:rPr>
                  </w:pPr>
                  <w:r>
                    <w:rPr>
                      <w:rFonts w:hint="eastAsia"/>
                      <w:b w:val="0"/>
                      <w:bCs/>
                      <w:color w:val="000000"/>
                      <w:sz w:val="21"/>
                      <w:szCs w:val="21"/>
                      <w:lang w:eastAsia="zh-CN"/>
                    </w:rPr>
                    <w:t>湿式作业</w:t>
                  </w:r>
                </w:p>
              </w:tc>
              <w:tc>
                <w:tcPr>
                  <w:tcW w:w="471"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default"/>
                      <w:b w:val="0"/>
                      <w:bCs/>
                      <w:color w:val="000000"/>
                      <w:sz w:val="21"/>
                      <w:szCs w:val="21"/>
                      <w:lang w:val="en-US" w:eastAsia="zh-CN"/>
                    </w:rPr>
                  </w:pPr>
                  <w:r>
                    <w:rPr>
                      <w:rFonts w:hint="eastAsia"/>
                      <w:b w:val="0"/>
                      <w:bCs/>
                      <w:color w:val="000000"/>
                      <w:sz w:val="21"/>
                      <w:szCs w:val="21"/>
                      <w:lang w:val="en-US" w:eastAsia="zh-CN"/>
                    </w:rPr>
                    <w:t>74%</w:t>
                  </w:r>
                </w:p>
              </w:tc>
              <w:tc>
                <w:tcPr>
                  <w:tcW w:w="503"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default" w:eastAsia="宋体"/>
                      <w:b w:val="0"/>
                      <w:bCs/>
                      <w:color w:val="000000"/>
                      <w:sz w:val="21"/>
                      <w:szCs w:val="21"/>
                      <w:lang w:val="en-US" w:eastAsia="zh-CN"/>
                    </w:rPr>
                  </w:pPr>
                  <w:r>
                    <w:rPr>
                      <w:rFonts w:hint="eastAsia"/>
                      <w:b w:val="0"/>
                      <w:bCs/>
                      <w:color w:val="000000"/>
                      <w:sz w:val="21"/>
                      <w:szCs w:val="21"/>
                      <w:lang w:val="en-US" w:eastAsia="zh-CN"/>
                    </w:rPr>
                    <w:t>1.92</w:t>
                  </w:r>
                </w:p>
              </w:tc>
              <w:tc>
                <w:tcPr>
                  <w:tcW w:w="538"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default"/>
                      <w:b w:val="0"/>
                      <w:bCs/>
                      <w:color w:val="000000"/>
                      <w:sz w:val="21"/>
                      <w:szCs w:val="21"/>
                      <w:lang w:val="en-US" w:eastAsia="zh-CN"/>
                    </w:rPr>
                  </w:pPr>
                  <w:r>
                    <w:rPr>
                      <w:rFonts w:hint="eastAsia"/>
                      <w:b w:val="0"/>
                      <w:bCs/>
                      <w:color w:val="000000"/>
                      <w:sz w:val="21"/>
                      <w:szCs w:val="21"/>
                      <w:lang w:val="en-US" w:eastAsia="zh-CN"/>
                    </w:rPr>
                    <w:t>/</w:t>
                  </w:r>
                </w:p>
              </w:tc>
              <w:tc>
                <w:tcPr>
                  <w:tcW w:w="427"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eastAsia"/>
                      <w:b w:val="0"/>
                      <w:bCs/>
                      <w:color w:val="000000"/>
                      <w:sz w:val="21"/>
                      <w:szCs w:val="21"/>
                      <w:lang w:val="en-US" w:eastAsia="zh-CN"/>
                    </w:rPr>
                  </w:pPr>
                  <w:r>
                    <w:rPr>
                      <w:rFonts w:hint="eastAsia"/>
                      <w:b w:val="0"/>
                      <w:bCs/>
                      <w:color w:val="000000"/>
                      <w:sz w:val="21"/>
                      <w:szCs w:val="21"/>
                      <w:lang w:val="en-US"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58"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sz w:val="21"/>
                      <w:szCs w:val="21"/>
                    </w:rPr>
                  </w:pPr>
                  <w:r>
                    <w:rPr>
                      <w:rFonts w:hint="eastAsia"/>
                      <w:sz w:val="21"/>
                      <w:szCs w:val="21"/>
                    </w:rPr>
                    <w:t>堆场</w:t>
                  </w:r>
                  <w:r>
                    <w:rPr>
                      <w:rFonts w:hint="eastAsia"/>
                      <w:sz w:val="21"/>
                      <w:szCs w:val="21"/>
                      <w:lang w:eastAsia="zh-CN"/>
                    </w:rPr>
                    <w:t>装卸</w:t>
                  </w:r>
                </w:p>
              </w:tc>
              <w:tc>
                <w:tcPr>
                  <w:tcW w:w="434" w:type="pct"/>
                  <w:vMerge w:val="continue"/>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000000"/>
                      <w:sz w:val="21"/>
                      <w:szCs w:val="21"/>
                      <w:lang w:eastAsia="zh-CN"/>
                    </w:rPr>
                  </w:pPr>
                </w:p>
              </w:tc>
              <w:tc>
                <w:tcPr>
                  <w:tcW w:w="533"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default" w:eastAsia="宋体"/>
                      <w:color w:val="000000"/>
                      <w:sz w:val="21"/>
                      <w:szCs w:val="21"/>
                      <w:lang w:val="en-US" w:eastAsia="zh-CN"/>
                    </w:rPr>
                  </w:pPr>
                  <w:r>
                    <w:rPr>
                      <w:rFonts w:hint="eastAsia"/>
                      <w:color w:val="000000"/>
                      <w:sz w:val="21"/>
                      <w:szCs w:val="21"/>
                      <w:lang w:val="en-US" w:eastAsia="zh-CN"/>
                    </w:rPr>
                    <w:t>58.2</w:t>
                  </w:r>
                </w:p>
              </w:tc>
              <w:tc>
                <w:tcPr>
                  <w:tcW w:w="525"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default"/>
                      <w:color w:val="000000"/>
                      <w:sz w:val="21"/>
                      <w:szCs w:val="21"/>
                      <w:lang w:val="en-US" w:eastAsia="zh-CN"/>
                    </w:rPr>
                  </w:pPr>
                </w:p>
              </w:tc>
              <w:tc>
                <w:tcPr>
                  <w:tcW w:w="1107"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eastAsia="宋体"/>
                      <w:color w:val="000000"/>
                      <w:kern w:val="0"/>
                      <w:sz w:val="21"/>
                      <w:szCs w:val="21"/>
                      <w:lang w:val="en-US" w:eastAsia="zh-CN"/>
                    </w:rPr>
                  </w:pPr>
                  <w:r>
                    <w:rPr>
                      <w:rFonts w:hint="eastAsia"/>
                      <w:color w:val="000000"/>
                      <w:kern w:val="0"/>
                      <w:sz w:val="21"/>
                      <w:szCs w:val="21"/>
                      <w:lang w:val="en-US" w:eastAsia="zh-CN"/>
                    </w:rPr>
                    <w:t>防尘网覆盖，并定期洒水降尘。</w:t>
                  </w:r>
                  <w:r>
                    <w:rPr>
                      <w:rFonts w:hint="eastAsia"/>
                      <w:color w:val="000000"/>
                      <w:sz w:val="21"/>
                      <w:szCs w:val="21"/>
                      <w:lang w:eastAsia="zh-CN"/>
                    </w:rPr>
                    <w:t>物料</w:t>
                  </w:r>
                  <w:r>
                    <w:rPr>
                      <w:rFonts w:hint="eastAsia"/>
                      <w:color w:val="000000"/>
                      <w:sz w:val="21"/>
                      <w:szCs w:val="21"/>
                    </w:rPr>
                    <w:t>装卸时</w:t>
                  </w:r>
                  <w:r>
                    <w:rPr>
                      <w:rFonts w:hint="eastAsia"/>
                      <w:color w:val="000000"/>
                      <w:sz w:val="21"/>
                      <w:szCs w:val="21"/>
                      <w:lang w:eastAsia="zh-CN"/>
                    </w:rPr>
                    <w:t>洒水降尘</w:t>
                  </w:r>
                  <w:r>
                    <w:rPr>
                      <w:rFonts w:hint="eastAsia"/>
                      <w:color w:val="000000"/>
                      <w:sz w:val="21"/>
                      <w:szCs w:val="21"/>
                    </w:rPr>
                    <w:t>，湿法作业</w:t>
                  </w:r>
                  <w:r>
                    <w:rPr>
                      <w:rFonts w:hint="eastAsia"/>
                      <w:color w:val="000000"/>
                      <w:sz w:val="21"/>
                      <w:szCs w:val="21"/>
                      <w:lang w:eastAsia="zh-CN"/>
                    </w:rPr>
                    <w:t>。</w:t>
                  </w:r>
                </w:p>
              </w:tc>
              <w:tc>
                <w:tcPr>
                  <w:tcW w:w="471"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color w:val="000000"/>
                      <w:kern w:val="0"/>
                      <w:sz w:val="21"/>
                      <w:szCs w:val="21"/>
                      <w:lang w:val="en-US" w:eastAsia="zh-CN"/>
                    </w:rPr>
                  </w:pPr>
                  <w:r>
                    <w:rPr>
                      <w:rFonts w:hint="eastAsia"/>
                      <w:color w:val="000000"/>
                      <w:kern w:val="0"/>
                      <w:sz w:val="21"/>
                      <w:szCs w:val="21"/>
                      <w:lang w:val="en-US" w:eastAsia="zh-CN"/>
                    </w:rPr>
                    <w:t>86%</w:t>
                  </w:r>
                </w:p>
              </w:tc>
              <w:tc>
                <w:tcPr>
                  <w:tcW w:w="503"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default" w:eastAsia="宋体"/>
                      <w:color w:val="000000"/>
                      <w:sz w:val="21"/>
                      <w:szCs w:val="21"/>
                      <w:lang w:val="en-US" w:eastAsia="zh-CN"/>
                    </w:rPr>
                  </w:pPr>
                  <w:r>
                    <w:rPr>
                      <w:rFonts w:hint="eastAsia"/>
                      <w:color w:val="000000"/>
                      <w:sz w:val="21"/>
                      <w:szCs w:val="21"/>
                      <w:lang w:val="en-US" w:eastAsia="zh-CN"/>
                    </w:rPr>
                    <w:t>8.15</w:t>
                  </w:r>
                </w:p>
              </w:tc>
              <w:tc>
                <w:tcPr>
                  <w:tcW w:w="538"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default"/>
                      <w:color w:val="000000"/>
                      <w:sz w:val="21"/>
                      <w:szCs w:val="21"/>
                      <w:lang w:val="en-US" w:eastAsia="zh-CN"/>
                    </w:rPr>
                  </w:pPr>
                </w:p>
              </w:tc>
              <w:tc>
                <w:tcPr>
                  <w:tcW w:w="427"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default"/>
                      <w:color w:val="000000"/>
                      <w:sz w:val="21"/>
                      <w:szCs w:val="21"/>
                      <w:lang w:val="en-US" w:eastAsia="zh-CN"/>
                    </w:rPr>
                  </w:pPr>
                  <w:r>
                    <w:rPr>
                      <w:rFonts w:hint="eastAsia"/>
                      <w:b w:val="0"/>
                      <w:bCs/>
                      <w:color w:val="000000"/>
                      <w:sz w:val="21"/>
                      <w:szCs w:val="21"/>
                      <w:lang w:val="en-US"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458" w:type="pct"/>
                  <w:vMerge w:val="restar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color w:val="000000"/>
                      <w:sz w:val="21"/>
                      <w:szCs w:val="21"/>
                    </w:rPr>
                  </w:pPr>
                  <w:r>
                    <w:rPr>
                      <w:rFonts w:hint="eastAsia"/>
                      <w:color w:val="000000"/>
                      <w:sz w:val="21"/>
                      <w:szCs w:val="21"/>
                      <w:highlight w:val="none"/>
                    </w:rPr>
                    <w:t>筛分</w:t>
                  </w:r>
                </w:p>
              </w:tc>
              <w:tc>
                <w:tcPr>
                  <w:tcW w:w="434" w:type="pct"/>
                  <w:vMerge w:val="continue"/>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color w:val="000000"/>
                      <w:sz w:val="21"/>
                      <w:szCs w:val="21"/>
                    </w:rPr>
                  </w:pPr>
                </w:p>
              </w:tc>
              <w:tc>
                <w:tcPr>
                  <w:tcW w:w="533" w:type="pct"/>
                  <w:vMerge w:val="restar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default" w:eastAsia="宋体"/>
                      <w:color w:val="000000"/>
                      <w:sz w:val="21"/>
                      <w:szCs w:val="21"/>
                      <w:lang w:val="en-US" w:eastAsia="zh-CN"/>
                    </w:rPr>
                  </w:pPr>
                  <w:r>
                    <w:rPr>
                      <w:rFonts w:hint="eastAsia"/>
                      <w:color w:val="000000"/>
                      <w:sz w:val="21"/>
                      <w:szCs w:val="21"/>
                      <w:lang w:val="en-US" w:eastAsia="zh-CN"/>
                    </w:rPr>
                    <w:t>36</w:t>
                  </w:r>
                </w:p>
              </w:tc>
              <w:tc>
                <w:tcPr>
                  <w:tcW w:w="525" w:type="pct"/>
                  <w:vMerge w:val="restar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default"/>
                      <w:color w:val="000000"/>
                      <w:sz w:val="21"/>
                      <w:szCs w:val="21"/>
                      <w:lang w:val="en-US" w:eastAsia="zh-CN"/>
                    </w:rPr>
                  </w:pPr>
                  <w:r>
                    <w:rPr>
                      <w:rFonts w:hint="eastAsia"/>
                      <w:color w:val="000000"/>
                      <w:sz w:val="21"/>
                      <w:szCs w:val="21"/>
                      <w:lang w:val="en-US" w:eastAsia="zh-CN"/>
                    </w:rPr>
                    <w:t>/</w:t>
                  </w:r>
                </w:p>
              </w:tc>
              <w:tc>
                <w:tcPr>
                  <w:tcW w:w="1107"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color w:val="000000"/>
                      <w:sz w:val="21"/>
                      <w:szCs w:val="21"/>
                    </w:rPr>
                  </w:pPr>
                  <w:r>
                    <w:rPr>
                      <w:rFonts w:hint="eastAsia"/>
                      <w:color w:val="000000"/>
                      <w:sz w:val="21"/>
                      <w:szCs w:val="21"/>
                      <w:lang w:eastAsia="zh-CN"/>
                    </w:rPr>
                    <w:t>集气罩</w:t>
                  </w:r>
                  <w:r>
                    <w:rPr>
                      <w:color w:val="000000"/>
                      <w:sz w:val="21"/>
                      <w:szCs w:val="21"/>
                    </w:rPr>
                    <w:t>+布袋除尘器</w:t>
                  </w:r>
                </w:p>
              </w:tc>
              <w:tc>
                <w:tcPr>
                  <w:tcW w:w="471"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color w:val="000000"/>
                      <w:sz w:val="21"/>
                      <w:szCs w:val="21"/>
                    </w:rPr>
                  </w:pPr>
                  <w:r>
                    <w:rPr>
                      <w:rFonts w:hint="eastAsia"/>
                      <w:color w:val="000000"/>
                      <w:sz w:val="21"/>
                      <w:szCs w:val="21"/>
                      <w:lang w:val="en-US" w:eastAsia="zh-CN"/>
                    </w:rPr>
                    <w:t>95</w:t>
                  </w:r>
                  <w:r>
                    <w:rPr>
                      <w:color w:val="000000"/>
                      <w:sz w:val="21"/>
                      <w:szCs w:val="21"/>
                    </w:rPr>
                    <w:t>%</w:t>
                  </w:r>
                  <w:r>
                    <w:rPr>
                      <w:rFonts w:hint="eastAsia"/>
                      <w:color w:val="000000"/>
                      <w:sz w:val="21"/>
                      <w:szCs w:val="21"/>
                      <w:lang w:eastAsia="zh-CN"/>
                    </w:rPr>
                    <w:t>、</w:t>
                  </w:r>
                  <w:r>
                    <w:rPr>
                      <w:color w:val="000000"/>
                      <w:sz w:val="21"/>
                      <w:szCs w:val="21"/>
                    </w:rPr>
                    <w:t>9</w:t>
                  </w:r>
                  <w:r>
                    <w:rPr>
                      <w:rFonts w:hint="eastAsia"/>
                      <w:color w:val="000000"/>
                      <w:sz w:val="21"/>
                      <w:szCs w:val="21"/>
                      <w:lang w:val="en-US" w:eastAsia="zh-CN"/>
                    </w:rPr>
                    <w:t>9</w:t>
                  </w:r>
                  <w:r>
                    <w:rPr>
                      <w:color w:val="000000"/>
                      <w:sz w:val="21"/>
                      <w:szCs w:val="21"/>
                    </w:rPr>
                    <w:t>%</w:t>
                  </w:r>
                </w:p>
              </w:tc>
              <w:tc>
                <w:tcPr>
                  <w:tcW w:w="503"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default" w:eastAsia="宋体"/>
                      <w:color w:val="000000"/>
                      <w:sz w:val="21"/>
                      <w:szCs w:val="21"/>
                      <w:lang w:val="en-US" w:eastAsia="zh-CN"/>
                    </w:rPr>
                  </w:pPr>
                  <w:r>
                    <w:rPr>
                      <w:rFonts w:hint="eastAsia"/>
                      <w:color w:val="000000"/>
                      <w:sz w:val="21"/>
                      <w:szCs w:val="21"/>
                      <w:lang w:val="en-US" w:eastAsia="zh-CN"/>
                    </w:rPr>
                    <w:t>0.342</w:t>
                  </w:r>
                </w:p>
              </w:tc>
              <w:tc>
                <w:tcPr>
                  <w:tcW w:w="538"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default"/>
                      <w:color w:val="000000"/>
                      <w:sz w:val="21"/>
                      <w:szCs w:val="21"/>
                      <w:lang w:val="en-US" w:eastAsia="zh-CN"/>
                    </w:rPr>
                  </w:pPr>
                  <w:r>
                    <w:rPr>
                      <w:rFonts w:hint="default"/>
                      <w:color w:val="000000"/>
                      <w:sz w:val="21"/>
                      <w:szCs w:val="21"/>
                      <w:lang w:val="en-US" w:eastAsia="zh-CN"/>
                    </w:rPr>
                    <w:t>17.1</w:t>
                  </w:r>
                </w:p>
              </w:tc>
              <w:tc>
                <w:tcPr>
                  <w:tcW w:w="427"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default"/>
                      <w:color w:val="000000"/>
                      <w:sz w:val="21"/>
                      <w:szCs w:val="21"/>
                      <w:lang w:val="en-US" w:eastAsia="zh-CN"/>
                    </w:rPr>
                  </w:pPr>
                  <w:r>
                    <w:rPr>
                      <w:rFonts w:hint="eastAsia"/>
                      <w:b w:val="0"/>
                      <w:bCs/>
                      <w:color w:val="000000"/>
                      <w:sz w:val="21"/>
                      <w:szCs w:val="21"/>
                      <w:lang w:val="en-US" w:eastAsia="zh-CN"/>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458" w:type="pct"/>
                  <w:vMerge w:val="continue"/>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eastAsia"/>
                      <w:color w:val="000000"/>
                      <w:sz w:val="21"/>
                      <w:szCs w:val="21"/>
                      <w:highlight w:val="none"/>
                    </w:rPr>
                  </w:pPr>
                </w:p>
              </w:tc>
              <w:tc>
                <w:tcPr>
                  <w:tcW w:w="434" w:type="pct"/>
                  <w:vMerge w:val="continue"/>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color w:val="000000"/>
                      <w:sz w:val="21"/>
                      <w:szCs w:val="21"/>
                    </w:rPr>
                  </w:pPr>
                </w:p>
              </w:tc>
              <w:tc>
                <w:tcPr>
                  <w:tcW w:w="533" w:type="pct"/>
                  <w:vMerge w:val="continue"/>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eastAsia"/>
                      <w:color w:val="000000"/>
                      <w:sz w:val="21"/>
                      <w:szCs w:val="21"/>
                      <w:lang w:val="en-US" w:eastAsia="zh-CN"/>
                    </w:rPr>
                  </w:pPr>
                </w:p>
              </w:tc>
              <w:tc>
                <w:tcPr>
                  <w:tcW w:w="525" w:type="pct"/>
                  <w:vMerge w:val="continue"/>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eastAsia"/>
                      <w:color w:val="000000"/>
                      <w:sz w:val="21"/>
                      <w:szCs w:val="21"/>
                      <w:lang w:val="en-US" w:eastAsia="zh-CN"/>
                    </w:rPr>
                  </w:pPr>
                </w:p>
              </w:tc>
              <w:tc>
                <w:tcPr>
                  <w:tcW w:w="1107"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eastAsia" w:eastAsia="宋体"/>
                      <w:color w:val="000000"/>
                      <w:sz w:val="21"/>
                      <w:szCs w:val="21"/>
                      <w:lang w:eastAsia="zh-CN"/>
                    </w:rPr>
                  </w:pPr>
                  <w:r>
                    <w:rPr>
                      <w:rFonts w:hint="eastAsia"/>
                      <w:color w:val="000000"/>
                      <w:sz w:val="21"/>
                      <w:szCs w:val="21"/>
                      <w:lang w:eastAsia="zh-CN"/>
                    </w:rPr>
                    <w:t>全封闭车间</w:t>
                  </w:r>
                </w:p>
              </w:tc>
              <w:tc>
                <w:tcPr>
                  <w:tcW w:w="471"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default"/>
                      <w:color w:val="000000"/>
                      <w:sz w:val="21"/>
                      <w:szCs w:val="21"/>
                      <w:lang w:val="en-US" w:eastAsia="zh-CN"/>
                    </w:rPr>
                  </w:pPr>
                  <w:r>
                    <w:rPr>
                      <w:rFonts w:hint="eastAsia"/>
                      <w:color w:val="000000"/>
                      <w:sz w:val="21"/>
                      <w:szCs w:val="21"/>
                      <w:lang w:val="en-US" w:eastAsia="zh-CN"/>
                    </w:rPr>
                    <w:t>60%</w:t>
                  </w:r>
                </w:p>
              </w:tc>
              <w:tc>
                <w:tcPr>
                  <w:tcW w:w="503"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default"/>
                      <w:color w:val="000000"/>
                      <w:sz w:val="21"/>
                      <w:szCs w:val="21"/>
                      <w:lang w:val="en-US" w:eastAsia="zh-CN"/>
                    </w:rPr>
                  </w:pPr>
                  <w:r>
                    <w:rPr>
                      <w:rFonts w:hint="eastAsia"/>
                      <w:color w:val="000000"/>
                      <w:sz w:val="21"/>
                      <w:szCs w:val="21"/>
                      <w:lang w:val="en-US" w:eastAsia="zh-CN"/>
                    </w:rPr>
                    <w:t>0.72</w:t>
                  </w:r>
                </w:p>
              </w:tc>
              <w:tc>
                <w:tcPr>
                  <w:tcW w:w="538"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default"/>
                      <w:color w:val="000000"/>
                      <w:sz w:val="21"/>
                      <w:szCs w:val="21"/>
                      <w:lang w:val="en-US" w:eastAsia="zh-CN"/>
                    </w:rPr>
                  </w:pPr>
                  <w:r>
                    <w:rPr>
                      <w:rFonts w:hint="eastAsia"/>
                      <w:color w:val="000000"/>
                      <w:sz w:val="21"/>
                      <w:szCs w:val="21"/>
                      <w:lang w:val="en-US" w:eastAsia="zh-CN"/>
                    </w:rPr>
                    <w:t>/</w:t>
                  </w:r>
                </w:p>
              </w:tc>
              <w:tc>
                <w:tcPr>
                  <w:tcW w:w="427"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default"/>
                      <w:color w:val="000000"/>
                      <w:sz w:val="21"/>
                      <w:szCs w:val="21"/>
                      <w:lang w:val="en-US" w:eastAsia="zh-CN"/>
                    </w:rPr>
                  </w:pPr>
                  <w:r>
                    <w:rPr>
                      <w:rFonts w:hint="eastAsia"/>
                      <w:b w:val="0"/>
                      <w:bCs/>
                      <w:color w:val="000000"/>
                      <w:sz w:val="21"/>
                      <w:szCs w:val="21"/>
                      <w:lang w:val="en-US"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458"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color w:val="000000"/>
                      <w:sz w:val="21"/>
                      <w:szCs w:val="21"/>
                    </w:rPr>
                  </w:pPr>
                  <w:r>
                    <w:rPr>
                      <w:rFonts w:hint="eastAsia"/>
                      <w:color w:val="000000"/>
                      <w:sz w:val="21"/>
                      <w:szCs w:val="21"/>
                    </w:rPr>
                    <w:t>皮带输送粉尘</w:t>
                  </w:r>
                </w:p>
              </w:tc>
              <w:tc>
                <w:tcPr>
                  <w:tcW w:w="434" w:type="pct"/>
                  <w:vMerge w:val="continue"/>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color w:val="000000"/>
                      <w:sz w:val="21"/>
                      <w:szCs w:val="21"/>
                    </w:rPr>
                  </w:pPr>
                </w:p>
              </w:tc>
              <w:tc>
                <w:tcPr>
                  <w:tcW w:w="533"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default" w:eastAsia="宋体"/>
                      <w:color w:val="000000"/>
                      <w:sz w:val="21"/>
                      <w:szCs w:val="21"/>
                      <w:lang w:val="en-US" w:eastAsia="zh-CN"/>
                    </w:rPr>
                  </w:pPr>
                  <w:r>
                    <w:rPr>
                      <w:rFonts w:hint="eastAsia"/>
                      <w:color w:val="000000"/>
                      <w:sz w:val="21"/>
                      <w:szCs w:val="21"/>
                      <w:lang w:val="en-US" w:eastAsia="zh-CN"/>
                    </w:rPr>
                    <w:t>少量</w:t>
                  </w:r>
                </w:p>
              </w:tc>
              <w:tc>
                <w:tcPr>
                  <w:tcW w:w="525"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default"/>
                      <w:color w:val="000000"/>
                      <w:sz w:val="21"/>
                      <w:szCs w:val="21"/>
                      <w:lang w:val="en-US" w:eastAsia="zh-CN"/>
                    </w:rPr>
                  </w:pPr>
                  <w:r>
                    <w:rPr>
                      <w:rFonts w:hint="eastAsia"/>
                      <w:color w:val="000000"/>
                      <w:sz w:val="21"/>
                      <w:szCs w:val="21"/>
                      <w:lang w:val="en-US" w:eastAsia="zh-CN"/>
                    </w:rPr>
                    <w:t>/</w:t>
                  </w:r>
                </w:p>
              </w:tc>
              <w:tc>
                <w:tcPr>
                  <w:tcW w:w="1107"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eastAsia="宋体"/>
                      <w:color w:val="000000"/>
                      <w:sz w:val="21"/>
                      <w:szCs w:val="21"/>
                      <w:lang w:eastAsia="zh-CN"/>
                    </w:rPr>
                  </w:pPr>
                  <w:r>
                    <w:rPr>
                      <w:rFonts w:hint="eastAsia"/>
                      <w:color w:val="000000"/>
                      <w:sz w:val="21"/>
                      <w:szCs w:val="21"/>
                      <w:lang w:eastAsia="zh-CN"/>
                    </w:rPr>
                    <w:t>喷雾抑尘</w:t>
                  </w:r>
                </w:p>
              </w:tc>
              <w:tc>
                <w:tcPr>
                  <w:tcW w:w="471"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eastAsia="宋体"/>
                      <w:color w:val="000000"/>
                      <w:sz w:val="21"/>
                      <w:szCs w:val="21"/>
                      <w:lang w:val="en-US" w:eastAsia="zh-CN"/>
                    </w:rPr>
                  </w:pPr>
                  <w:r>
                    <w:rPr>
                      <w:rFonts w:hint="eastAsia"/>
                      <w:color w:val="000000"/>
                      <w:sz w:val="21"/>
                      <w:szCs w:val="21"/>
                      <w:lang w:val="en-US" w:eastAsia="zh-CN"/>
                    </w:rPr>
                    <w:t>74%</w:t>
                  </w:r>
                </w:p>
              </w:tc>
              <w:tc>
                <w:tcPr>
                  <w:tcW w:w="503"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eastAsia" w:eastAsia="宋体"/>
                      <w:color w:val="000000"/>
                      <w:sz w:val="21"/>
                      <w:szCs w:val="21"/>
                      <w:lang w:val="en-US" w:eastAsia="zh-CN"/>
                    </w:rPr>
                  </w:pPr>
                  <w:r>
                    <w:rPr>
                      <w:rFonts w:hint="eastAsia"/>
                      <w:color w:val="000000"/>
                      <w:sz w:val="21"/>
                      <w:szCs w:val="21"/>
                      <w:lang w:val="en-US" w:eastAsia="zh-CN"/>
                    </w:rPr>
                    <w:t>少量</w:t>
                  </w:r>
                </w:p>
              </w:tc>
              <w:tc>
                <w:tcPr>
                  <w:tcW w:w="538"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eastAsia" w:eastAsia="宋体"/>
                      <w:color w:val="000000"/>
                      <w:sz w:val="21"/>
                      <w:szCs w:val="21"/>
                      <w:lang w:val="en-US" w:eastAsia="zh-CN"/>
                    </w:rPr>
                  </w:pPr>
                  <w:r>
                    <w:rPr>
                      <w:rFonts w:hint="eastAsia"/>
                      <w:color w:val="000000"/>
                      <w:sz w:val="21"/>
                      <w:szCs w:val="21"/>
                      <w:lang w:val="en-US" w:eastAsia="zh-CN"/>
                    </w:rPr>
                    <w:t>/</w:t>
                  </w:r>
                </w:p>
              </w:tc>
              <w:tc>
                <w:tcPr>
                  <w:tcW w:w="427"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eastAsia"/>
                      <w:color w:val="000000"/>
                      <w:sz w:val="21"/>
                      <w:szCs w:val="21"/>
                      <w:lang w:val="en-US" w:eastAsia="zh-CN"/>
                    </w:rPr>
                  </w:pPr>
                  <w:r>
                    <w:rPr>
                      <w:rFonts w:hint="eastAsia"/>
                      <w:b w:val="0"/>
                      <w:bCs/>
                      <w:color w:val="000000"/>
                      <w:sz w:val="21"/>
                      <w:szCs w:val="21"/>
                      <w:lang w:val="en-US"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color w:val="000000"/>
                      <w:sz w:val="21"/>
                      <w:szCs w:val="21"/>
                    </w:rPr>
                  </w:pPr>
                  <w:r>
                    <w:rPr>
                      <w:color w:val="000000"/>
                      <w:sz w:val="21"/>
                      <w:szCs w:val="21"/>
                    </w:rPr>
                    <w:t>车辆运输扬尘</w:t>
                  </w:r>
                </w:p>
              </w:tc>
              <w:tc>
                <w:tcPr>
                  <w:tcW w:w="434" w:type="pct"/>
                  <w:vMerge w:val="continue"/>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color w:val="000000"/>
                      <w:sz w:val="21"/>
                      <w:szCs w:val="21"/>
                    </w:rPr>
                  </w:pPr>
                </w:p>
              </w:tc>
              <w:tc>
                <w:tcPr>
                  <w:tcW w:w="533"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default" w:eastAsia="宋体"/>
                      <w:color w:val="000000"/>
                      <w:sz w:val="21"/>
                      <w:szCs w:val="21"/>
                      <w:lang w:val="en-US" w:eastAsia="zh-CN"/>
                    </w:rPr>
                  </w:pPr>
                  <w:r>
                    <w:rPr>
                      <w:rFonts w:hint="eastAsia"/>
                      <w:color w:val="000000"/>
                      <w:sz w:val="21"/>
                      <w:szCs w:val="21"/>
                      <w:lang w:val="en-US" w:eastAsia="zh-CN"/>
                    </w:rPr>
                    <w:t>0.14</w:t>
                  </w:r>
                </w:p>
              </w:tc>
              <w:tc>
                <w:tcPr>
                  <w:tcW w:w="525"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default" w:eastAsia="宋体"/>
                      <w:color w:val="000000"/>
                      <w:sz w:val="21"/>
                      <w:szCs w:val="21"/>
                      <w:lang w:val="en-US" w:eastAsia="zh-CN"/>
                    </w:rPr>
                  </w:pPr>
                </w:p>
              </w:tc>
              <w:tc>
                <w:tcPr>
                  <w:tcW w:w="1107"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color w:val="000000"/>
                      <w:sz w:val="21"/>
                      <w:szCs w:val="21"/>
                    </w:rPr>
                  </w:pPr>
                  <w:r>
                    <w:rPr>
                      <w:rFonts w:hint="eastAsia"/>
                      <w:color w:val="000000"/>
                      <w:sz w:val="21"/>
                      <w:szCs w:val="21"/>
                      <w:lang w:eastAsia="zh-CN"/>
                    </w:rPr>
                    <w:t>对进出车辆进行冲洗，</w:t>
                  </w:r>
                  <w:r>
                    <w:rPr>
                      <w:rFonts w:hint="eastAsia"/>
                      <w:color w:val="000000"/>
                      <w:sz w:val="21"/>
                      <w:szCs w:val="21"/>
                    </w:rPr>
                    <w:t>限制超载，车辆加盖苫布，减速慢行，场内进行洒水抑尘。</w:t>
                  </w:r>
                </w:p>
              </w:tc>
              <w:tc>
                <w:tcPr>
                  <w:tcW w:w="471"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color w:val="000000"/>
                      <w:sz w:val="21"/>
                      <w:szCs w:val="21"/>
                      <w:lang w:val="en-US" w:eastAsia="zh-CN"/>
                    </w:rPr>
                  </w:pPr>
                  <w:r>
                    <w:rPr>
                      <w:rFonts w:hint="eastAsia"/>
                      <w:color w:val="000000"/>
                      <w:sz w:val="21"/>
                      <w:szCs w:val="21"/>
                      <w:lang w:val="en-US" w:eastAsia="zh-CN"/>
                    </w:rPr>
                    <w:t>80%</w:t>
                  </w:r>
                </w:p>
              </w:tc>
              <w:tc>
                <w:tcPr>
                  <w:tcW w:w="503"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default" w:eastAsia="宋体"/>
                      <w:color w:val="000000"/>
                      <w:sz w:val="21"/>
                      <w:szCs w:val="21"/>
                      <w:lang w:val="en-US" w:eastAsia="zh-CN"/>
                    </w:rPr>
                  </w:pPr>
                  <w:r>
                    <w:rPr>
                      <w:rFonts w:hint="eastAsia"/>
                      <w:color w:val="000000"/>
                      <w:sz w:val="21"/>
                      <w:szCs w:val="21"/>
                      <w:lang w:val="en-US" w:eastAsia="zh-CN"/>
                    </w:rPr>
                    <w:t>0.028</w:t>
                  </w:r>
                </w:p>
              </w:tc>
              <w:tc>
                <w:tcPr>
                  <w:tcW w:w="538"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default" w:eastAsia="宋体"/>
                      <w:color w:val="000000"/>
                      <w:sz w:val="21"/>
                      <w:szCs w:val="21"/>
                      <w:lang w:val="en-US" w:eastAsia="zh-CN"/>
                    </w:rPr>
                  </w:pPr>
                </w:p>
              </w:tc>
              <w:tc>
                <w:tcPr>
                  <w:tcW w:w="427"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eastAsia"/>
                      <w:color w:val="000000"/>
                      <w:sz w:val="21"/>
                      <w:szCs w:val="21"/>
                      <w:lang w:val="en-US" w:eastAsia="zh-CN"/>
                    </w:rPr>
                  </w:pPr>
                  <w:r>
                    <w:rPr>
                      <w:rFonts w:hint="eastAsia"/>
                      <w:b w:val="0"/>
                      <w:bCs/>
                      <w:color w:val="000000"/>
                      <w:sz w:val="21"/>
                      <w:szCs w:val="21"/>
                      <w:lang w:val="en-US"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color w:val="000000"/>
                      <w:sz w:val="21"/>
                      <w:szCs w:val="21"/>
                    </w:rPr>
                  </w:pPr>
                  <w:r>
                    <w:rPr>
                      <w:rFonts w:hint="eastAsia"/>
                      <w:color w:val="000000"/>
                      <w:sz w:val="21"/>
                      <w:szCs w:val="21"/>
                    </w:rPr>
                    <w:t>车辆废气</w:t>
                  </w:r>
                </w:p>
              </w:tc>
              <w:tc>
                <w:tcPr>
                  <w:tcW w:w="434"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color w:val="000000"/>
                      <w:sz w:val="21"/>
                      <w:szCs w:val="21"/>
                    </w:rPr>
                  </w:pPr>
                  <w:r>
                    <w:rPr>
                      <w:rFonts w:hint="eastAsia"/>
                      <w:color w:val="000000"/>
                      <w:sz w:val="21"/>
                      <w:szCs w:val="21"/>
                    </w:rPr>
                    <w:t>CO、NOX</w:t>
                  </w:r>
                  <w:r>
                    <w:rPr>
                      <w:rFonts w:hint="eastAsia"/>
                      <w:color w:val="000000"/>
                      <w:sz w:val="21"/>
                      <w:szCs w:val="21"/>
                      <w:lang w:eastAsia="zh-CN"/>
                    </w:rPr>
                    <w:t>、</w:t>
                  </w:r>
                  <w:r>
                    <w:rPr>
                      <w:rFonts w:hint="eastAsia"/>
                      <w:color w:val="000000"/>
                      <w:sz w:val="21"/>
                      <w:szCs w:val="21"/>
                    </w:rPr>
                    <w:t>THC</w:t>
                  </w:r>
                </w:p>
              </w:tc>
              <w:tc>
                <w:tcPr>
                  <w:tcW w:w="533"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000000"/>
                      <w:kern w:val="2"/>
                      <w:sz w:val="21"/>
                      <w:szCs w:val="21"/>
                      <w:lang w:val="en-US" w:eastAsia="zh-CN" w:bidi="ar-SA"/>
                    </w:rPr>
                  </w:pPr>
                  <w:r>
                    <w:rPr>
                      <w:rFonts w:hint="eastAsia"/>
                      <w:color w:val="000000"/>
                      <w:sz w:val="21"/>
                      <w:szCs w:val="21"/>
                      <w:lang w:val="en-US" w:eastAsia="zh-CN"/>
                    </w:rPr>
                    <w:t>少量</w:t>
                  </w:r>
                </w:p>
              </w:tc>
              <w:tc>
                <w:tcPr>
                  <w:tcW w:w="525"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000000"/>
                      <w:kern w:val="2"/>
                      <w:sz w:val="21"/>
                      <w:szCs w:val="21"/>
                      <w:lang w:val="en-US" w:eastAsia="zh-CN" w:bidi="ar-SA"/>
                    </w:rPr>
                  </w:pPr>
                  <w:r>
                    <w:rPr>
                      <w:rFonts w:hint="eastAsia"/>
                      <w:color w:val="000000"/>
                      <w:sz w:val="21"/>
                      <w:szCs w:val="21"/>
                      <w:lang w:val="en-US" w:eastAsia="zh-CN"/>
                    </w:rPr>
                    <w:t>/</w:t>
                  </w:r>
                </w:p>
              </w:tc>
              <w:tc>
                <w:tcPr>
                  <w:tcW w:w="1107"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heme="minorBidi"/>
                      <w:color w:val="000000"/>
                      <w:kern w:val="2"/>
                      <w:sz w:val="21"/>
                      <w:szCs w:val="21"/>
                      <w:lang w:val="en-US" w:eastAsia="zh-CN" w:bidi="ar-SA"/>
                    </w:rPr>
                  </w:pPr>
                  <w:r>
                    <w:rPr>
                      <w:rFonts w:hint="eastAsia"/>
                      <w:color w:val="000000"/>
                      <w:sz w:val="21"/>
                      <w:szCs w:val="21"/>
                      <w:lang w:eastAsia="zh-CN"/>
                    </w:rPr>
                    <w:t>使用合格油品、按时保养</w:t>
                  </w:r>
                </w:p>
              </w:tc>
              <w:tc>
                <w:tcPr>
                  <w:tcW w:w="471"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heme="minorBidi"/>
                      <w:color w:val="000000"/>
                      <w:kern w:val="2"/>
                      <w:sz w:val="21"/>
                      <w:szCs w:val="21"/>
                      <w:lang w:val="en-US" w:eastAsia="zh-CN" w:bidi="ar-SA"/>
                    </w:rPr>
                  </w:pPr>
                  <w:r>
                    <w:rPr>
                      <w:rFonts w:hint="eastAsia"/>
                      <w:color w:val="000000"/>
                      <w:sz w:val="21"/>
                      <w:szCs w:val="21"/>
                      <w:lang w:val="en-US" w:eastAsia="zh-CN"/>
                    </w:rPr>
                    <w:t>/</w:t>
                  </w:r>
                </w:p>
              </w:tc>
              <w:tc>
                <w:tcPr>
                  <w:tcW w:w="503"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000000"/>
                      <w:kern w:val="2"/>
                      <w:sz w:val="21"/>
                      <w:szCs w:val="21"/>
                      <w:lang w:val="en-US" w:eastAsia="zh-CN" w:bidi="ar-SA"/>
                    </w:rPr>
                  </w:pPr>
                  <w:r>
                    <w:rPr>
                      <w:rFonts w:hint="eastAsia"/>
                      <w:color w:val="000000"/>
                      <w:sz w:val="21"/>
                      <w:szCs w:val="21"/>
                      <w:lang w:val="en-US" w:eastAsia="zh-CN"/>
                    </w:rPr>
                    <w:t>少量</w:t>
                  </w:r>
                </w:p>
              </w:tc>
              <w:tc>
                <w:tcPr>
                  <w:tcW w:w="538"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eastAsia"/>
                      <w:color w:val="000000"/>
                      <w:sz w:val="21"/>
                      <w:szCs w:val="21"/>
                      <w:lang w:val="en-US" w:eastAsia="zh-CN"/>
                    </w:rPr>
                  </w:pPr>
                </w:p>
              </w:tc>
              <w:tc>
                <w:tcPr>
                  <w:tcW w:w="427"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eastAsia"/>
                      <w:color w:val="000000"/>
                      <w:sz w:val="21"/>
                      <w:szCs w:val="21"/>
                      <w:lang w:val="en-US" w:eastAsia="zh-CN"/>
                    </w:rPr>
                  </w:pPr>
                  <w:r>
                    <w:rPr>
                      <w:rFonts w:hint="eastAsia"/>
                      <w:b w:val="0"/>
                      <w:bCs/>
                      <w:color w:val="000000"/>
                      <w:sz w:val="21"/>
                      <w:szCs w:val="21"/>
                      <w:lang w:val="en-US"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eastAsia" w:eastAsia="宋体"/>
                      <w:color w:val="000000"/>
                      <w:sz w:val="21"/>
                      <w:szCs w:val="21"/>
                      <w:lang w:eastAsia="zh-CN"/>
                    </w:rPr>
                  </w:pPr>
                  <w:r>
                    <w:rPr>
                      <w:rFonts w:hint="eastAsia"/>
                      <w:color w:val="000000"/>
                      <w:sz w:val="21"/>
                      <w:szCs w:val="21"/>
                      <w:lang w:eastAsia="zh-CN"/>
                    </w:rPr>
                    <w:t>食堂</w:t>
                  </w:r>
                </w:p>
              </w:tc>
              <w:tc>
                <w:tcPr>
                  <w:tcW w:w="434"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color w:val="000000"/>
                      <w:sz w:val="21"/>
                      <w:szCs w:val="21"/>
                    </w:rPr>
                  </w:pPr>
                  <w:r>
                    <w:rPr>
                      <w:rFonts w:hint="eastAsia"/>
                      <w:color w:val="000000"/>
                      <w:sz w:val="21"/>
                      <w:szCs w:val="21"/>
                      <w:lang w:eastAsia="zh-CN"/>
                    </w:rPr>
                    <w:t>油烟</w:t>
                  </w:r>
                </w:p>
              </w:tc>
              <w:tc>
                <w:tcPr>
                  <w:tcW w:w="533"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eastAsia"/>
                      <w:color w:val="000000"/>
                      <w:sz w:val="21"/>
                      <w:szCs w:val="21"/>
                      <w:lang w:val="en-US" w:eastAsia="zh-CN"/>
                    </w:rPr>
                  </w:pPr>
                  <w:r>
                    <w:rPr>
                      <w:rFonts w:hint="eastAsia"/>
                      <w:color w:val="000000"/>
                      <w:sz w:val="21"/>
                      <w:szCs w:val="21"/>
                      <w:lang w:val="en-US" w:eastAsia="zh-CN"/>
                    </w:rPr>
                    <w:t>0.104kg/a</w:t>
                  </w:r>
                </w:p>
              </w:tc>
              <w:tc>
                <w:tcPr>
                  <w:tcW w:w="525"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default"/>
                      <w:color w:val="000000"/>
                      <w:sz w:val="21"/>
                      <w:szCs w:val="21"/>
                      <w:lang w:val="en-US" w:eastAsia="zh-CN"/>
                    </w:rPr>
                  </w:pPr>
                  <w:r>
                    <w:rPr>
                      <w:rFonts w:hint="eastAsia"/>
                      <w:color w:val="000000"/>
                      <w:sz w:val="21"/>
                      <w:szCs w:val="21"/>
                      <w:lang w:val="en-US" w:eastAsia="zh-CN"/>
                    </w:rPr>
                    <w:t>/</w:t>
                  </w:r>
                </w:p>
              </w:tc>
              <w:tc>
                <w:tcPr>
                  <w:tcW w:w="1107"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color w:val="000000"/>
                      <w:sz w:val="21"/>
                      <w:szCs w:val="21"/>
                      <w:lang w:eastAsia="zh-CN"/>
                    </w:rPr>
                  </w:pPr>
                  <w:r>
                    <w:rPr>
                      <w:rFonts w:hint="eastAsia"/>
                      <w:color w:val="000000"/>
                      <w:sz w:val="21"/>
                      <w:szCs w:val="21"/>
                      <w:lang w:eastAsia="zh-CN"/>
                    </w:rPr>
                    <w:t>油烟净化器</w:t>
                  </w:r>
                </w:p>
              </w:tc>
              <w:tc>
                <w:tcPr>
                  <w:tcW w:w="471"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color w:val="000000"/>
                      <w:sz w:val="21"/>
                      <w:szCs w:val="21"/>
                      <w:lang w:eastAsia="zh-CN"/>
                    </w:rPr>
                  </w:pPr>
                </w:p>
              </w:tc>
              <w:tc>
                <w:tcPr>
                  <w:tcW w:w="503"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eastAsia"/>
                      <w:color w:val="000000"/>
                      <w:sz w:val="21"/>
                      <w:szCs w:val="21"/>
                      <w:lang w:val="en-US" w:eastAsia="zh-CN"/>
                    </w:rPr>
                  </w:pPr>
                  <w:r>
                    <w:rPr>
                      <w:rFonts w:hint="eastAsia"/>
                      <w:color w:val="000000"/>
                      <w:sz w:val="21"/>
                      <w:szCs w:val="21"/>
                      <w:lang w:val="en-US" w:eastAsia="zh-CN"/>
                    </w:rPr>
                    <w:t>0.026kg/a</w:t>
                  </w:r>
                </w:p>
              </w:tc>
              <w:tc>
                <w:tcPr>
                  <w:tcW w:w="538"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eastAsia"/>
                      <w:color w:val="000000"/>
                      <w:sz w:val="21"/>
                      <w:szCs w:val="21"/>
                      <w:lang w:val="en-US" w:eastAsia="zh-CN"/>
                    </w:rPr>
                  </w:pPr>
                  <w:r>
                    <w:rPr>
                      <w:rFonts w:hint="eastAsia"/>
                      <w:color w:val="000000"/>
                      <w:sz w:val="21"/>
                      <w:szCs w:val="21"/>
                      <w:lang w:val="en-US" w:eastAsia="zh-CN"/>
                    </w:rPr>
                    <w:t>0.013g/h</w:t>
                  </w:r>
                </w:p>
              </w:tc>
              <w:tc>
                <w:tcPr>
                  <w:tcW w:w="427"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eastAsia"/>
                      <w:color w:val="000000"/>
                      <w:sz w:val="21"/>
                      <w:szCs w:val="21"/>
                      <w:lang w:val="en-US" w:eastAsia="zh-CN"/>
                    </w:rPr>
                  </w:pPr>
                  <w:r>
                    <w:rPr>
                      <w:rFonts w:hint="eastAsia"/>
                      <w:b w:val="0"/>
                      <w:bCs/>
                      <w:color w:val="000000"/>
                      <w:sz w:val="21"/>
                      <w:szCs w:val="21"/>
                      <w:lang w:val="en-US" w:eastAsia="zh-CN"/>
                    </w:rPr>
                    <w:t>有组织</w:t>
                  </w:r>
                </w:p>
              </w:tc>
            </w:tr>
          </w:tbl>
          <w:p>
            <w:pPr>
              <w:pStyle w:val="19"/>
              <w:pageBreakBefore w:val="0"/>
              <w:wordWrap w:val="0"/>
              <w:bidi w:val="0"/>
              <w:spacing w:after="0" w:line="360" w:lineRule="auto"/>
              <w:ind w:firstLine="482"/>
              <w:rPr>
                <w:b/>
                <w:color w:val="000000"/>
              </w:rPr>
            </w:pPr>
            <w:r>
              <w:rPr>
                <w:rFonts w:hint="eastAsia"/>
                <w:b/>
                <w:color w:val="000000"/>
              </w:rPr>
              <w:t>1.2</w:t>
            </w:r>
            <w:r>
              <w:rPr>
                <w:b/>
                <w:color w:val="000000"/>
              </w:rPr>
              <w:t>废气处理措施</w:t>
            </w:r>
            <w:r>
              <w:rPr>
                <w:rFonts w:hint="eastAsia"/>
                <w:b/>
                <w:color w:val="000000"/>
              </w:rPr>
              <w:t>及</w:t>
            </w:r>
            <w:r>
              <w:rPr>
                <w:b/>
                <w:color w:val="000000"/>
              </w:rPr>
              <w:t>可行性分析：</w:t>
            </w:r>
          </w:p>
          <w:p>
            <w:pPr>
              <w:pageBreakBefore w:val="0"/>
              <w:wordWrap w:val="0"/>
              <w:bidi w:val="0"/>
              <w:ind w:firstLine="480"/>
              <w:rPr>
                <w:rFonts w:hint="default" w:ascii="Times New Roman" w:hAnsi="Times New Roman" w:cs="Times New Roman"/>
                <w:b/>
                <w:bCs/>
                <w:szCs w:val="28"/>
              </w:rPr>
            </w:pPr>
            <w:r>
              <w:rPr>
                <w:rFonts w:hint="eastAsia" w:ascii="宋体" w:hAnsi="宋体" w:cs="宋体"/>
                <w:b/>
                <w:bCs/>
                <w:szCs w:val="28"/>
              </w:rPr>
              <w:t>（</w:t>
            </w:r>
            <w:r>
              <w:rPr>
                <w:rFonts w:hint="default" w:ascii="Times New Roman" w:hAnsi="Times New Roman" w:cs="Times New Roman"/>
                <w:b/>
                <w:bCs/>
                <w:szCs w:val="28"/>
              </w:rPr>
              <w:t>1）有组织废气（粉尘）治理措施可行性分析；</w:t>
            </w:r>
          </w:p>
          <w:p>
            <w:pPr>
              <w:pageBreakBefore w:val="0"/>
              <w:wordWrap w:val="0"/>
              <w:bidi w:val="0"/>
              <w:ind w:firstLine="480"/>
              <w:rPr>
                <w:rFonts w:hint="default" w:ascii="Times New Roman" w:hAnsi="Times New Roman" w:cs="Times New Roman"/>
                <w:szCs w:val="28"/>
              </w:rPr>
            </w:pPr>
            <w:r>
              <w:rPr>
                <w:rFonts w:hint="default" w:ascii="Times New Roman" w:hAnsi="Times New Roman" w:cs="Times New Roman"/>
                <w:szCs w:val="28"/>
              </w:rPr>
              <w:t>本项目设置布袋式除尘器，粉尘经布袋除尘器处理后排放，布袋式除尘器的</w:t>
            </w:r>
            <w:r>
              <w:rPr>
                <w:rFonts w:hint="default" w:ascii="Times New Roman" w:hAnsi="Times New Roman" w:cs="Times New Roman"/>
                <w:kern w:val="0"/>
              </w:rPr>
              <w:t>除尘效率按</w:t>
            </w:r>
            <w:r>
              <w:rPr>
                <w:rFonts w:hint="default" w:ascii="Times New Roman" w:hAnsi="Times New Roman" w:cs="Times New Roman"/>
                <w:szCs w:val="32"/>
              </w:rPr>
              <w:t>99%</w:t>
            </w:r>
            <w:r>
              <w:rPr>
                <w:rFonts w:hint="default" w:ascii="Times New Roman" w:hAnsi="Times New Roman" w:cs="Times New Roman"/>
                <w:szCs w:val="32"/>
                <w:lang w:eastAsia="zh-CN"/>
              </w:rPr>
              <w:t>，</w:t>
            </w:r>
            <w:r>
              <w:rPr>
                <w:rFonts w:hint="default" w:ascii="Times New Roman" w:hAnsi="Times New Roman" w:cs="Times New Roman"/>
                <w:szCs w:val="28"/>
                <w:lang w:eastAsia="zh-CN"/>
              </w:rPr>
              <w:t>为</w:t>
            </w:r>
            <w:r>
              <w:rPr>
                <w:rFonts w:hint="default" w:ascii="Times New Roman" w:hAnsi="Times New Roman" w:cs="Times New Roman"/>
                <w:szCs w:val="32"/>
                <w:lang w:eastAsia="zh-CN"/>
              </w:rPr>
              <w:t>《</w:t>
            </w:r>
            <w:r>
              <w:rPr>
                <w:rFonts w:hint="default" w:ascii="Times New Roman" w:hAnsi="Times New Roman" w:eastAsia="宋体" w:cs="Times New Roman"/>
                <w:sz w:val="24"/>
                <w:szCs w:val="24"/>
              </w:rPr>
              <w:t>排放源统计调查产排污核算方法和系数手册</w:t>
            </w:r>
            <w:r>
              <w:rPr>
                <w:rFonts w:hint="default" w:ascii="Times New Roman" w:hAnsi="Times New Roman" w:cs="Times New Roman"/>
                <w:szCs w:val="32"/>
                <w:lang w:eastAsia="zh-CN"/>
              </w:rPr>
              <w:t>》</w:t>
            </w:r>
            <w:r>
              <w:rPr>
                <w:rFonts w:hint="default" w:ascii="Times New Roman" w:hAnsi="Times New Roman" w:cs="Times New Roman"/>
                <w:szCs w:val="32"/>
                <w:lang w:val="en-US" w:eastAsia="zh-CN"/>
              </w:rPr>
              <w:t>中末端</w:t>
            </w:r>
            <w:r>
              <w:rPr>
                <w:rFonts w:hint="default" w:ascii="Times New Roman" w:hAnsi="Times New Roman" w:cs="Times New Roman"/>
                <w:szCs w:val="28"/>
                <w:lang w:eastAsia="zh-CN"/>
              </w:rPr>
              <w:t>可行性技术。采取</w:t>
            </w:r>
            <w:r>
              <w:rPr>
                <w:rFonts w:hint="default" w:ascii="Times New Roman" w:hAnsi="Times New Roman" w:cs="Times New Roman"/>
                <w:szCs w:val="28"/>
              </w:rPr>
              <w:t>上述措施后，粉尘排放能够满足</w:t>
            </w:r>
            <w:r>
              <w:rPr>
                <w:rFonts w:hint="default" w:ascii="Times New Roman" w:hAnsi="Times New Roman" w:cs="Times New Roman"/>
              </w:rPr>
              <w:t>《大气污染物综合排放标准》（</w:t>
            </w:r>
            <w:r>
              <w:rPr>
                <w:rFonts w:hint="default" w:ascii="Times New Roman" w:hAnsi="Times New Roman" w:cs="Times New Roman"/>
                <w:szCs w:val="32"/>
              </w:rPr>
              <w:t>GB16297-1996</w:t>
            </w:r>
            <w:r>
              <w:rPr>
                <w:rFonts w:hint="default" w:ascii="Times New Roman" w:hAnsi="Times New Roman" w:cs="Times New Roman"/>
              </w:rPr>
              <w:t>）表</w:t>
            </w:r>
            <w:r>
              <w:rPr>
                <w:rFonts w:hint="default" w:ascii="Times New Roman" w:hAnsi="Times New Roman" w:cs="Times New Roman"/>
                <w:szCs w:val="32"/>
              </w:rPr>
              <w:t>2</w:t>
            </w:r>
            <w:r>
              <w:rPr>
                <w:rFonts w:hint="default" w:ascii="Times New Roman" w:hAnsi="Times New Roman" w:cs="Times New Roman"/>
              </w:rPr>
              <w:t>的相关要求</w:t>
            </w:r>
            <w:r>
              <w:rPr>
                <w:rFonts w:hint="default" w:ascii="Times New Roman" w:hAnsi="Times New Roman" w:cs="Times New Roman"/>
                <w:szCs w:val="28"/>
              </w:rPr>
              <w:t>，故项目</w:t>
            </w:r>
            <w:r>
              <w:rPr>
                <w:rFonts w:hint="default" w:ascii="Times New Roman" w:hAnsi="Times New Roman" w:cs="Times New Roman"/>
                <w:szCs w:val="28"/>
                <w:lang w:eastAsia="zh-CN"/>
              </w:rPr>
              <w:t>有</w:t>
            </w:r>
            <w:r>
              <w:rPr>
                <w:rFonts w:hint="default" w:ascii="Times New Roman" w:hAnsi="Times New Roman" w:cs="Times New Roman"/>
                <w:szCs w:val="28"/>
              </w:rPr>
              <w:t>组织废气处理措施可行。</w:t>
            </w:r>
          </w:p>
          <w:p>
            <w:pPr>
              <w:pageBreakBefore w:val="0"/>
              <w:wordWrap w:val="0"/>
              <w:bidi w:val="0"/>
              <w:ind w:firstLine="480"/>
              <w:rPr>
                <w:rFonts w:hint="default" w:ascii="Times New Roman" w:hAnsi="Times New Roman" w:cs="Times New Roman"/>
                <w:b/>
                <w:bCs/>
                <w:szCs w:val="28"/>
              </w:rPr>
            </w:pPr>
            <w:r>
              <w:rPr>
                <w:rFonts w:hint="default" w:ascii="Times New Roman" w:hAnsi="Times New Roman" w:cs="Times New Roman"/>
                <w:b/>
                <w:bCs/>
                <w:szCs w:val="28"/>
              </w:rPr>
              <w:t>（2）无组织废气（粉尘）治理措施可行性分析；</w:t>
            </w:r>
          </w:p>
          <w:p>
            <w:pPr>
              <w:pStyle w:val="19"/>
              <w:pageBreakBefore w:val="0"/>
              <w:wordWrap w:val="0"/>
              <w:bidi w:val="0"/>
              <w:spacing w:after="0" w:line="360" w:lineRule="auto"/>
              <w:ind w:firstLine="480"/>
              <w:rPr>
                <w:rFonts w:ascii="宋体" w:hAnsi="宋体" w:cs="宋体"/>
                <w:szCs w:val="28"/>
              </w:rPr>
            </w:pPr>
            <w:r>
              <w:rPr>
                <w:rFonts w:hint="default" w:ascii="Times New Roman" w:hAnsi="Times New Roman" w:cs="Times New Roman"/>
                <w:szCs w:val="28"/>
              </w:rPr>
              <w:t>本项目</w:t>
            </w:r>
            <w:r>
              <w:rPr>
                <w:rFonts w:hint="default" w:ascii="Times New Roman" w:hAnsi="Times New Roman" w:cs="Times New Roman"/>
                <w:szCs w:val="28"/>
                <w:lang w:val="en-US" w:eastAsia="zh-CN"/>
              </w:rPr>
              <w:t>物料装卸、堆放</w:t>
            </w:r>
            <w:r>
              <w:rPr>
                <w:rFonts w:hint="default" w:ascii="Times New Roman" w:hAnsi="Times New Roman" w:cs="Times New Roman"/>
                <w:szCs w:val="28"/>
                <w:lang w:eastAsia="zh-CN"/>
              </w:rPr>
              <w:t>、运输等</w:t>
            </w:r>
            <w:r>
              <w:rPr>
                <w:rFonts w:hint="default" w:ascii="Times New Roman" w:hAnsi="Times New Roman" w:cs="Times New Roman"/>
                <w:szCs w:val="28"/>
              </w:rPr>
              <w:t>过程中</w:t>
            </w:r>
            <w:r>
              <w:rPr>
                <w:rFonts w:hint="default" w:ascii="Times New Roman" w:hAnsi="Times New Roman" w:cs="Times New Roman"/>
                <w:szCs w:val="28"/>
                <w:lang w:eastAsia="zh-CN"/>
              </w:rPr>
              <w:t>产生的粉尘</w:t>
            </w:r>
            <w:r>
              <w:rPr>
                <w:rFonts w:hint="default" w:ascii="Times New Roman" w:hAnsi="Times New Roman" w:cs="Times New Roman"/>
                <w:szCs w:val="28"/>
              </w:rPr>
              <w:t>，在采取</w:t>
            </w:r>
            <w:r>
              <w:rPr>
                <w:rFonts w:hint="default" w:ascii="Times New Roman" w:hAnsi="Times New Roman" w:cs="Times New Roman"/>
                <w:szCs w:val="28"/>
                <w:lang w:eastAsia="zh-CN"/>
              </w:rPr>
              <w:t>喷雾</w:t>
            </w:r>
            <w:r>
              <w:rPr>
                <w:rFonts w:hint="default" w:ascii="Times New Roman" w:hAnsi="Times New Roman" w:cs="Times New Roman"/>
                <w:szCs w:val="28"/>
              </w:rPr>
              <w:t>抑尘、</w:t>
            </w:r>
            <w:r>
              <w:rPr>
                <w:rFonts w:hint="default" w:ascii="Times New Roman" w:hAnsi="Times New Roman" w:cs="Times New Roman"/>
                <w:szCs w:val="28"/>
                <w:lang w:eastAsia="zh-CN"/>
              </w:rPr>
              <w:t>洒水降尘、</w:t>
            </w:r>
            <w:r>
              <w:rPr>
                <w:rFonts w:hint="default" w:ascii="Times New Roman" w:hAnsi="Times New Roman" w:cs="Times New Roman"/>
                <w:szCs w:val="28"/>
                <w:lang w:val="en-US" w:eastAsia="zh-CN"/>
              </w:rPr>
              <w:t>堆场覆盖防尘</w:t>
            </w:r>
            <w:r>
              <w:rPr>
                <w:rFonts w:hint="eastAsia" w:ascii="宋体" w:hAnsi="宋体" w:cs="宋体"/>
                <w:szCs w:val="28"/>
                <w:lang w:val="en-US" w:eastAsia="zh-CN"/>
              </w:rPr>
              <w:t>网等</w:t>
            </w:r>
            <w:r>
              <w:rPr>
                <w:rFonts w:hint="eastAsia" w:ascii="宋体" w:hAnsi="宋体" w:cs="宋体"/>
                <w:szCs w:val="28"/>
              </w:rPr>
              <w:t>措施后，可有效</w:t>
            </w:r>
            <w:r>
              <w:rPr>
                <w:rFonts w:hint="eastAsia" w:ascii="宋体" w:hAnsi="宋体" w:cs="宋体"/>
                <w:szCs w:val="28"/>
                <w:lang w:eastAsia="zh-CN"/>
              </w:rPr>
              <w:t>降低无组织粉尘的排放量</w:t>
            </w:r>
            <w:r>
              <w:rPr>
                <w:rFonts w:hint="eastAsia" w:ascii="宋体" w:hAnsi="宋体" w:cs="宋体"/>
                <w:szCs w:val="28"/>
              </w:rPr>
              <w:t>，厂界外颗粒物浓度能够满足</w:t>
            </w:r>
            <w:r>
              <w:rPr>
                <w:rFonts w:hint="eastAsia" w:ascii="宋体" w:hAnsi="宋体" w:cs="宋体"/>
              </w:rPr>
              <w:t>《大气污染物综合排放标准》（</w:t>
            </w:r>
            <w:r>
              <w:rPr>
                <w:rFonts w:hint="eastAsia"/>
                <w:szCs w:val="32"/>
              </w:rPr>
              <w:t>GB16297-1996</w:t>
            </w:r>
            <w:r>
              <w:rPr>
                <w:rFonts w:hint="eastAsia" w:ascii="宋体" w:hAnsi="宋体" w:cs="宋体"/>
              </w:rPr>
              <w:t>）表</w:t>
            </w:r>
            <w:r>
              <w:rPr>
                <w:rFonts w:hint="eastAsia"/>
                <w:szCs w:val="32"/>
              </w:rPr>
              <w:t>2</w:t>
            </w:r>
            <w:r>
              <w:rPr>
                <w:rFonts w:hint="eastAsia" w:ascii="宋体" w:hAnsi="宋体" w:cs="宋体"/>
              </w:rPr>
              <w:t>的相关要求；</w:t>
            </w:r>
            <w:r>
              <w:rPr>
                <w:rFonts w:hint="eastAsia" w:ascii="宋体" w:hAnsi="宋体" w:cs="宋体"/>
                <w:szCs w:val="28"/>
              </w:rPr>
              <w:t>故项目无组织废气处理措施可行。</w:t>
            </w:r>
          </w:p>
          <w:p>
            <w:pPr>
              <w:pStyle w:val="19"/>
              <w:pageBreakBefore w:val="0"/>
              <w:wordWrap w:val="0"/>
              <w:bidi w:val="0"/>
              <w:spacing w:after="0" w:line="360" w:lineRule="auto"/>
              <w:ind w:firstLine="482"/>
              <w:rPr>
                <w:b/>
                <w:color w:val="000000" w:themeColor="text1"/>
                <w14:textFill>
                  <w14:solidFill>
                    <w14:schemeClr w14:val="tx1"/>
                  </w14:solidFill>
                </w14:textFill>
              </w:rPr>
            </w:pPr>
            <w:r>
              <w:rPr>
                <w:rFonts w:hint="eastAsia"/>
                <w:b/>
                <w:color w:val="000000" w:themeColor="text1"/>
                <w14:textFill>
                  <w14:solidFill>
                    <w14:schemeClr w14:val="tx1"/>
                  </w14:solidFill>
                </w14:textFill>
              </w:rPr>
              <w:t>1.3大气监测计划</w:t>
            </w:r>
          </w:p>
          <w:p>
            <w:pPr>
              <w:pStyle w:val="19"/>
              <w:pageBreakBefore w:val="0"/>
              <w:wordWrap w:val="0"/>
              <w:bidi w:val="0"/>
              <w:spacing w:after="0" w:line="360" w:lineRule="auto"/>
              <w:ind w:firstLine="48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根</w:t>
            </w:r>
            <w:r>
              <w:rPr>
                <w:rFonts w:hint="eastAsia"/>
                <w:bCs/>
                <w:color w:val="000000" w:themeColor="text1"/>
                <w:highlight w:val="none"/>
                <w14:textFill>
                  <w14:solidFill>
                    <w14:schemeClr w14:val="tx1"/>
                  </w14:solidFill>
                </w14:textFill>
              </w:rPr>
              <w:t>据《排污单位自行监测技术指南 总则》</w:t>
            </w:r>
            <w:r>
              <w:rPr>
                <w:rFonts w:hint="eastAsia"/>
                <w:bCs/>
                <w:color w:val="000000" w:themeColor="text1"/>
                <w:highlight w:val="none"/>
                <w:lang w:eastAsia="zh-CN"/>
                <w14:textFill>
                  <w14:solidFill>
                    <w14:schemeClr w14:val="tx1"/>
                  </w14:solidFill>
                </w14:textFill>
              </w:rPr>
              <w:t>（HJ 819-2017）</w:t>
            </w:r>
            <w:r>
              <w:rPr>
                <w:rFonts w:hint="eastAsia"/>
                <w:bCs/>
                <w:color w:val="000000" w:themeColor="text1"/>
                <w:highlight w:val="none"/>
                <w14:textFill>
                  <w14:solidFill>
                    <w14:schemeClr w14:val="tx1"/>
                  </w14:solidFill>
                </w14:textFill>
              </w:rPr>
              <w:t>要</w:t>
            </w:r>
            <w:r>
              <w:rPr>
                <w:rFonts w:hint="eastAsia"/>
                <w:bCs/>
                <w:color w:val="000000" w:themeColor="text1"/>
                <w14:textFill>
                  <w14:solidFill>
                    <w14:schemeClr w14:val="tx1"/>
                  </w14:solidFill>
                </w14:textFill>
              </w:rPr>
              <w:t>求，提出以下大气污染物监测计划，监测点位、监测项目、监测频次见表</w:t>
            </w:r>
            <w:r>
              <w:rPr>
                <w:rFonts w:hint="eastAsia"/>
                <w:color w:val="000000" w:themeColor="text1"/>
                <w:szCs w:val="32"/>
                <w14:textFill>
                  <w14:solidFill>
                    <w14:schemeClr w14:val="tx1"/>
                  </w14:solidFill>
                </w14:textFill>
              </w:rPr>
              <w:t>4-</w:t>
            </w:r>
            <w:r>
              <w:rPr>
                <w:rFonts w:hint="eastAsia"/>
                <w:color w:val="000000" w:themeColor="text1"/>
                <w:szCs w:val="32"/>
                <w:lang w:val="en-US" w:eastAsia="zh-CN"/>
                <w14:textFill>
                  <w14:solidFill>
                    <w14:schemeClr w14:val="tx1"/>
                  </w14:solidFill>
                </w14:textFill>
              </w:rPr>
              <w:t>4</w:t>
            </w:r>
            <w:r>
              <w:rPr>
                <w:rFonts w:hint="eastAsia"/>
                <w:bCs/>
                <w:color w:val="000000" w:themeColor="text1"/>
                <w14:textFill>
                  <w14:solidFill>
                    <w14:schemeClr w14:val="tx1"/>
                  </w14:solidFill>
                </w14:textFill>
              </w:rPr>
              <w:t>。</w:t>
            </w:r>
          </w:p>
          <w:p>
            <w:pPr>
              <w:pStyle w:val="19"/>
              <w:pageBreakBefore w:val="0"/>
              <w:wordWrap w:val="0"/>
              <w:bidi w:val="0"/>
              <w:spacing w:after="0" w:line="240" w:lineRule="auto"/>
              <w:ind w:firstLine="0" w:firstLineChars="0"/>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表4-</w:t>
            </w:r>
            <w:r>
              <w:rPr>
                <w:rFonts w:hint="eastAsia"/>
                <w:b/>
                <w:color w:val="000000" w:themeColor="text1"/>
                <w:sz w:val="21"/>
                <w:szCs w:val="21"/>
                <w:lang w:val="en-US" w:eastAsia="zh-CN"/>
                <w14:textFill>
                  <w14:solidFill>
                    <w14:schemeClr w14:val="tx1"/>
                  </w14:solidFill>
                </w14:textFill>
              </w:rPr>
              <w:t xml:space="preserve">4 </w:t>
            </w:r>
            <w:r>
              <w:rPr>
                <w:rFonts w:hint="eastAsia"/>
                <w:b/>
                <w:color w:val="000000" w:themeColor="text1"/>
                <w:sz w:val="21"/>
                <w:szCs w:val="21"/>
                <w14:textFill>
                  <w14:solidFill>
                    <w14:schemeClr w14:val="tx1"/>
                  </w14:solidFill>
                </w14:textFill>
              </w:rPr>
              <w:t xml:space="preserve"> 大气污染源监测一览表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1007"/>
              <w:gridCol w:w="985"/>
              <w:gridCol w:w="1754"/>
              <w:gridCol w:w="1130"/>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69" w:type="pct"/>
                  <w:vAlign w:val="center"/>
                </w:tcPr>
                <w:p>
                  <w:pPr>
                    <w:pStyle w:val="19"/>
                    <w:pageBreakBefore w:val="0"/>
                    <w:wordWrap w:val="0"/>
                    <w:bidi w:val="0"/>
                    <w:spacing w:after="0" w:line="240" w:lineRule="auto"/>
                    <w:ind w:firstLine="0" w:firstLineChars="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污染源</w:t>
                  </w:r>
                </w:p>
              </w:tc>
              <w:tc>
                <w:tcPr>
                  <w:tcW w:w="1280" w:type="pct"/>
                  <w:gridSpan w:val="2"/>
                  <w:vAlign w:val="center"/>
                </w:tcPr>
                <w:p>
                  <w:pPr>
                    <w:pStyle w:val="19"/>
                    <w:pageBreakBefore w:val="0"/>
                    <w:wordWrap w:val="0"/>
                    <w:bidi w:val="0"/>
                    <w:spacing w:after="0" w:line="240" w:lineRule="auto"/>
                    <w:ind w:firstLine="0" w:firstLineChars="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监测项目</w:t>
                  </w:r>
                </w:p>
              </w:tc>
              <w:tc>
                <w:tcPr>
                  <w:tcW w:w="1127" w:type="pct"/>
                  <w:vAlign w:val="center"/>
                </w:tcPr>
                <w:p>
                  <w:pPr>
                    <w:pStyle w:val="19"/>
                    <w:pageBreakBefore w:val="0"/>
                    <w:wordWrap w:val="0"/>
                    <w:bidi w:val="0"/>
                    <w:spacing w:after="0" w:line="240" w:lineRule="auto"/>
                    <w:ind w:firstLine="0" w:firstLineChars="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监测点位</w:t>
                  </w:r>
                </w:p>
              </w:tc>
              <w:tc>
                <w:tcPr>
                  <w:tcW w:w="726" w:type="pct"/>
                  <w:vAlign w:val="center"/>
                </w:tcPr>
                <w:p>
                  <w:pPr>
                    <w:pStyle w:val="19"/>
                    <w:pageBreakBefore w:val="0"/>
                    <w:wordWrap w:val="0"/>
                    <w:bidi w:val="0"/>
                    <w:spacing w:after="0" w:line="240" w:lineRule="auto"/>
                    <w:ind w:firstLine="0" w:firstLineChars="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检测频次</w:t>
                  </w:r>
                </w:p>
              </w:tc>
              <w:tc>
                <w:tcPr>
                  <w:tcW w:w="1295" w:type="pct"/>
                  <w:vAlign w:val="center"/>
                </w:tcPr>
                <w:p>
                  <w:pPr>
                    <w:pStyle w:val="19"/>
                    <w:pageBreakBefore w:val="0"/>
                    <w:wordWrap w:val="0"/>
                    <w:bidi w:val="0"/>
                    <w:spacing w:after="0" w:line="240" w:lineRule="auto"/>
                    <w:ind w:firstLine="0" w:firstLineChars="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控制标准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vMerge w:val="restart"/>
                  <w:vAlign w:val="center"/>
                </w:tcPr>
                <w:p>
                  <w:pPr>
                    <w:pageBreakBefore w:val="0"/>
                    <w:wordWrap w:val="0"/>
                    <w:bidi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废气</w:t>
                  </w:r>
                </w:p>
              </w:tc>
              <w:tc>
                <w:tcPr>
                  <w:tcW w:w="647" w:type="pct"/>
                  <w:vAlign w:val="center"/>
                </w:tcPr>
                <w:p>
                  <w:pPr>
                    <w:pageBreakBefore w:val="0"/>
                    <w:wordWrap w:val="0"/>
                    <w:bidi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有组织</w:t>
                  </w:r>
                </w:p>
              </w:tc>
              <w:tc>
                <w:tcPr>
                  <w:tcW w:w="633" w:type="pct"/>
                  <w:vAlign w:val="center"/>
                </w:tcPr>
                <w:p>
                  <w:pPr>
                    <w:pageBreakBefore w:val="0"/>
                    <w:wordWrap w:val="0"/>
                    <w:bidi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颗粒物</w:t>
                  </w:r>
                </w:p>
              </w:tc>
              <w:tc>
                <w:tcPr>
                  <w:tcW w:w="1127" w:type="pct"/>
                  <w:vAlign w:val="center"/>
                </w:tcPr>
                <w:p>
                  <w:pPr>
                    <w:pageBreakBefore w:val="0"/>
                    <w:wordWrap w:val="0"/>
                    <w:bidi w:val="0"/>
                    <w:spacing w:line="240" w:lineRule="auto"/>
                    <w:ind w:firstLine="0" w:firstLineChars="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排放筒（</w:t>
                  </w:r>
                  <w:r>
                    <w:rPr>
                      <w:rFonts w:hint="eastAsia"/>
                      <w:color w:val="000000" w:themeColor="text1"/>
                      <w:sz w:val="21"/>
                      <w:szCs w:val="21"/>
                      <w:highlight w:val="none"/>
                      <w:lang w:val="en-US" w:eastAsia="zh-CN"/>
                      <w14:textFill>
                        <w14:solidFill>
                          <w14:schemeClr w14:val="tx1"/>
                        </w14:solidFill>
                      </w14:textFill>
                    </w:rPr>
                    <w:t>DA001</w:t>
                  </w:r>
                  <w:r>
                    <w:rPr>
                      <w:rFonts w:hint="eastAsia"/>
                      <w:color w:val="000000" w:themeColor="text1"/>
                      <w:sz w:val="21"/>
                      <w:szCs w:val="21"/>
                      <w:highlight w:val="none"/>
                      <w:lang w:eastAsia="zh-CN"/>
                      <w14:textFill>
                        <w14:solidFill>
                          <w14:schemeClr w14:val="tx1"/>
                        </w14:solidFill>
                      </w14:textFill>
                    </w:rPr>
                    <w:t>）出口</w:t>
                  </w:r>
                </w:p>
              </w:tc>
              <w:tc>
                <w:tcPr>
                  <w:tcW w:w="726" w:type="pct"/>
                  <w:vMerge w:val="restart"/>
                  <w:vAlign w:val="center"/>
                </w:tcPr>
                <w:p>
                  <w:pPr>
                    <w:pageBreakBefore w:val="0"/>
                    <w:wordWrap w:val="0"/>
                    <w:bidi w:val="0"/>
                    <w:spacing w:line="240" w:lineRule="auto"/>
                    <w:ind w:firstLine="0" w:firstLineChars="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r>
                    <w:rPr>
                      <w:rFonts w:hint="eastAsia"/>
                      <w:color w:val="000000" w:themeColor="text1"/>
                      <w:sz w:val="21"/>
                      <w:szCs w:val="21"/>
                      <w14:textFill>
                        <w14:solidFill>
                          <w14:schemeClr w14:val="tx1"/>
                        </w14:solidFill>
                      </w14:textFill>
                    </w:rPr>
                    <w:t>次</w:t>
                  </w:r>
                  <w:r>
                    <w:rPr>
                      <w:rFonts w:hint="eastAsia"/>
                      <w:color w:val="000000" w:themeColor="text1"/>
                      <w:sz w:val="21"/>
                      <w:szCs w:val="21"/>
                      <w:lang w:val="en-US" w:eastAsia="zh-CN"/>
                      <w14:textFill>
                        <w14:solidFill>
                          <w14:schemeClr w14:val="tx1"/>
                        </w14:solidFill>
                      </w14:textFill>
                    </w:rPr>
                    <w:t>/年</w:t>
                  </w:r>
                </w:p>
              </w:tc>
              <w:tc>
                <w:tcPr>
                  <w:tcW w:w="1295" w:type="pct"/>
                  <w:vMerge w:val="restart"/>
                  <w:vAlign w:val="center"/>
                </w:tcPr>
                <w:p>
                  <w:pPr>
                    <w:pageBreakBefore w:val="0"/>
                    <w:wordWrap w:val="0"/>
                    <w:bidi w:val="0"/>
                    <w:spacing w:line="240" w:lineRule="auto"/>
                    <w:ind w:firstLine="0" w:firstLineChars="0"/>
                    <w:jc w:val="center"/>
                    <w:rPr>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《大气污染物综合排放标准》（</w:t>
                  </w:r>
                  <w:r>
                    <w:rPr>
                      <w:rFonts w:hint="default" w:ascii="Times New Roman" w:hAnsi="Times New Roman" w:cs="Times New Roman"/>
                      <w:color w:val="000000" w:themeColor="text1"/>
                      <w:sz w:val="21"/>
                      <w:szCs w:val="21"/>
                      <w14:textFill>
                        <w14:solidFill>
                          <w14:schemeClr w14:val="tx1"/>
                        </w14:solidFill>
                      </w14:textFill>
                    </w:rPr>
                    <w:t>GB16297-1996</w:t>
                  </w:r>
                  <w:r>
                    <w:rPr>
                      <w:rFonts w:hint="eastAsia" w:ascii="宋体" w:hAnsi="宋体" w:cs="宋体"/>
                      <w:color w:val="000000" w:themeColor="text1"/>
                      <w:sz w:val="21"/>
                      <w:szCs w:val="21"/>
                      <w14:textFill>
                        <w14:solidFill>
                          <w14:schemeClr w14:val="tx1"/>
                        </w14:solidFill>
                      </w14:textFill>
                    </w:rPr>
                    <w:t>）表</w:t>
                  </w:r>
                  <w:r>
                    <w:rPr>
                      <w:rFonts w:hint="eastAsia" w:ascii="Times New Roman" w:hAnsi="Times New Roman" w:cs="Times New Roman"/>
                      <w:color w:val="000000" w:themeColor="text1"/>
                      <w:sz w:val="21"/>
                      <w:szCs w:val="21"/>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69" w:type="pct"/>
                  <w:vMerge w:val="continue"/>
                  <w:vAlign w:val="center"/>
                </w:tcPr>
                <w:p>
                  <w:pPr>
                    <w:pageBreakBefore w:val="0"/>
                    <w:wordWrap w:val="0"/>
                    <w:bidi w:val="0"/>
                    <w:spacing w:line="240" w:lineRule="auto"/>
                    <w:ind w:firstLine="0" w:firstLineChars="0"/>
                    <w:jc w:val="center"/>
                    <w:rPr>
                      <w:color w:val="000000" w:themeColor="text1"/>
                      <w:sz w:val="21"/>
                      <w:szCs w:val="21"/>
                      <w:highlight w:val="yellow"/>
                      <w14:textFill>
                        <w14:solidFill>
                          <w14:schemeClr w14:val="tx1"/>
                        </w14:solidFill>
                      </w14:textFill>
                    </w:rPr>
                  </w:pPr>
                </w:p>
              </w:tc>
              <w:tc>
                <w:tcPr>
                  <w:tcW w:w="647" w:type="pct"/>
                  <w:vAlign w:val="center"/>
                </w:tcPr>
                <w:p>
                  <w:pPr>
                    <w:pageBreakBefore w:val="0"/>
                    <w:wordWrap w:val="0"/>
                    <w:bidi w:val="0"/>
                    <w:spacing w:line="240" w:lineRule="auto"/>
                    <w:ind w:firstLine="0" w:firstLineChars="0"/>
                    <w:jc w:val="center"/>
                    <w:rPr>
                      <w:color w:val="000000" w:themeColor="text1"/>
                      <w:sz w:val="21"/>
                      <w:szCs w:val="21"/>
                      <w:highlight w:val="yellow"/>
                      <w14:textFill>
                        <w14:solidFill>
                          <w14:schemeClr w14:val="tx1"/>
                        </w14:solidFill>
                      </w14:textFill>
                    </w:rPr>
                  </w:pPr>
                  <w:r>
                    <w:rPr>
                      <w:rFonts w:hint="eastAsia"/>
                      <w:color w:val="000000" w:themeColor="text1"/>
                      <w:sz w:val="21"/>
                      <w:szCs w:val="21"/>
                      <w14:textFill>
                        <w14:solidFill>
                          <w14:schemeClr w14:val="tx1"/>
                        </w14:solidFill>
                      </w14:textFill>
                    </w:rPr>
                    <w:t>无组织</w:t>
                  </w:r>
                </w:p>
              </w:tc>
              <w:tc>
                <w:tcPr>
                  <w:tcW w:w="633" w:type="pct"/>
                  <w:vAlign w:val="center"/>
                </w:tcPr>
                <w:p>
                  <w:pPr>
                    <w:pageBreakBefore w:val="0"/>
                    <w:wordWrap w:val="0"/>
                    <w:bidi w:val="0"/>
                    <w:spacing w:line="240" w:lineRule="auto"/>
                    <w:ind w:firstLine="0" w:firstLineChars="0"/>
                    <w:jc w:val="center"/>
                    <w:rPr>
                      <w:color w:val="000000" w:themeColor="text1"/>
                      <w:sz w:val="21"/>
                      <w:szCs w:val="21"/>
                      <w:highlight w:val="yellow"/>
                      <w14:textFill>
                        <w14:solidFill>
                          <w14:schemeClr w14:val="tx1"/>
                        </w14:solidFill>
                      </w14:textFill>
                    </w:rPr>
                  </w:pPr>
                  <w:r>
                    <w:rPr>
                      <w:rFonts w:hint="eastAsia"/>
                      <w:color w:val="000000" w:themeColor="text1"/>
                      <w:sz w:val="21"/>
                      <w:szCs w:val="21"/>
                      <w14:textFill>
                        <w14:solidFill>
                          <w14:schemeClr w14:val="tx1"/>
                        </w14:solidFill>
                      </w14:textFill>
                    </w:rPr>
                    <w:t>颗粒物</w:t>
                  </w:r>
                </w:p>
              </w:tc>
              <w:tc>
                <w:tcPr>
                  <w:tcW w:w="1127" w:type="pct"/>
                  <w:vAlign w:val="center"/>
                </w:tcPr>
                <w:p>
                  <w:pPr>
                    <w:pageBreakBefore w:val="0"/>
                    <w:wordWrap w:val="0"/>
                    <w:bidi w:val="0"/>
                    <w:spacing w:line="240" w:lineRule="auto"/>
                    <w:ind w:firstLine="0" w:firstLineChars="0"/>
                    <w:jc w:val="center"/>
                    <w:rPr>
                      <w:rFonts w:hint="default" w:eastAsia="宋体"/>
                      <w:color w:val="000000" w:themeColor="text1"/>
                      <w:sz w:val="21"/>
                      <w:szCs w:val="21"/>
                      <w:highlight w:val="yellow"/>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厂界</w:t>
                  </w:r>
                </w:p>
              </w:tc>
              <w:tc>
                <w:tcPr>
                  <w:tcW w:w="726" w:type="pct"/>
                  <w:vMerge w:val="continue"/>
                  <w:vAlign w:val="center"/>
                </w:tcPr>
                <w:p>
                  <w:pPr>
                    <w:pageBreakBefore w:val="0"/>
                    <w:wordWrap w:val="0"/>
                    <w:bidi w:val="0"/>
                    <w:spacing w:line="240" w:lineRule="auto"/>
                    <w:ind w:firstLine="0" w:firstLineChars="0"/>
                    <w:jc w:val="center"/>
                    <w:rPr>
                      <w:color w:val="000000" w:themeColor="text1"/>
                      <w:sz w:val="21"/>
                      <w:szCs w:val="21"/>
                      <w:highlight w:val="yellow"/>
                      <w14:textFill>
                        <w14:solidFill>
                          <w14:schemeClr w14:val="tx1"/>
                        </w14:solidFill>
                      </w14:textFill>
                    </w:rPr>
                  </w:pPr>
                </w:p>
              </w:tc>
              <w:tc>
                <w:tcPr>
                  <w:tcW w:w="1295" w:type="pct"/>
                  <w:vMerge w:val="continue"/>
                  <w:vAlign w:val="center"/>
                </w:tcPr>
                <w:p>
                  <w:pPr>
                    <w:pageBreakBefore w:val="0"/>
                    <w:wordWrap w:val="0"/>
                    <w:bidi w:val="0"/>
                    <w:spacing w:line="240" w:lineRule="auto"/>
                    <w:ind w:firstLine="0" w:firstLineChars="0"/>
                    <w:jc w:val="center"/>
                    <w:rPr>
                      <w:color w:val="000000" w:themeColor="text1"/>
                      <w:sz w:val="21"/>
                      <w:szCs w:val="21"/>
                      <w:highlight w:val="yellow"/>
                      <w14:textFill>
                        <w14:solidFill>
                          <w14:schemeClr w14:val="tx1"/>
                        </w14:solidFill>
                      </w14:textFill>
                    </w:rPr>
                  </w:pPr>
                </w:p>
              </w:tc>
            </w:tr>
          </w:tbl>
          <w:p>
            <w:pPr>
              <w:pStyle w:val="4"/>
              <w:pageBreakBefore w:val="0"/>
              <w:numPr>
                <w:ilvl w:val="1"/>
                <w:numId w:val="0"/>
              </w:numPr>
              <w:wordWrap w:val="0"/>
              <w:bidi w:val="0"/>
              <w:spacing w:line="360" w:lineRule="auto"/>
              <w:ind w:left="0" w:leftChars="0" w:firstLine="0" w:firstLineChars="0"/>
              <w:jc w:val="left"/>
              <w:rPr>
                <w:rFonts w:hint="eastAsia" w:ascii="Times New Roman" w:hAnsi="Times New Roman" w:eastAsia="宋体" w:cstheme="minorBidi"/>
                <w:b/>
                <w:bCs/>
                <w:kern w:val="2"/>
                <w:sz w:val="24"/>
                <w:szCs w:val="24"/>
                <w:highlight w:val="none"/>
                <w:lang w:val="en-US" w:eastAsia="zh-CN" w:bidi="ar-SA"/>
              </w:rPr>
            </w:pPr>
            <w:r>
              <w:rPr>
                <w:rFonts w:hint="eastAsia" w:cstheme="minorBidi"/>
                <w:b/>
                <w:bCs/>
                <w:kern w:val="2"/>
                <w:sz w:val="24"/>
                <w:szCs w:val="24"/>
                <w:highlight w:val="none"/>
                <w:lang w:val="en-US" w:eastAsia="zh-CN" w:bidi="ar-SA"/>
              </w:rPr>
              <w:t>2.</w:t>
            </w:r>
            <w:r>
              <w:rPr>
                <w:rFonts w:hint="eastAsia" w:ascii="Times New Roman" w:hAnsi="Times New Roman" w:eastAsia="宋体" w:cstheme="minorBidi"/>
                <w:b/>
                <w:bCs/>
                <w:kern w:val="2"/>
                <w:sz w:val="24"/>
                <w:szCs w:val="24"/>
                <w:highlight w:val="none"/>
                <w:lang w:val="en-US" w:eastAsia="zh-CN" w:bidi="ar-SA"/>
              </w:rPr>
              <w:t>水环境</w:t>
            </w:r>
          </w:p>
          <w:p>
            <w:pPr>
              <w:pStyle w:val="4"/>
              <w:pageBreakBefore w:val="0"/>
              <w:numPr>
                <w:ilvl w:val="1"/>
                <w:numId w:val="0"/>
              </w:numPr>
              <w:wordWrap w:val="0"/>
              <w:bidi w:val="0"/>
              <w:spacing w:line="360" w:lineRule="auto"/>
              <w:ind w:left="0" w:leftChars="0" w:firstLine="482" w:firstLineChars="200"/>
              <w:rPr>
                <w:rFonts w:hint="eastAsia" w:ascii="Times New Roman" w:hAnsi="Times New Roman" w:eastAsia="宋体" w:cstheme="minorBidi"/>
                <w:b/>
                <w:bCs/>
                <w:kern w:val="2"/>
                <w:sz w:val="24"/>
                <w:szCs w:val="24"/>
                <w:highlight w:val="none"/>
                <w:lang w:val="en-US" w:eastAsia="zh-CN" w:bidi="ar-SA"/>
              </w:rPr>
            </w:pPr>
            <w:r>
              <w:rPr>
                <w:rFonts w:hint="eastAsia" w:ascii="Times New Roman" w:hAnsi="Times New Roman" w:eastAsia="宋体" w:cstheme="minorBidi"/>
                <w:b/>
                <w:bCs/>
                <w:kern w:val="2"/>
                <w:sz w:val="24"/>
                <w:szCs w:val="24"/>
                <w:highlight w:val="none"/>
                <w:lang w:val="en-US" w:eastAsia="zh-CN" w:bidi="ar-SA"/>
              </w:rPr>
              <w:t>2.1洗砂废水</w:t>
            </w:r>
          </w:p>
          <w:p>
            <w:pPr>
              <w:pageBreakBefore w:val="0"/>
              <w:widowControl w:val="0"/>
              <w:kinsoku/>
              <w:wordWrap w:val="0"/>
              <w:overflowPunct/>
              <w:topLinePunct w:val="0"/>
              <w:autoSpaceDE/>
              <w:autoSpaceDN/>
              <w:bidi w:val="0"/>
              <w:spacing w:line="360" w:lineRule="auto"/>
              <w:ind w:firstLine="480"/>
              <w:textAlignment w:val="auto"/>
              <w:rPr>
                <w:rFonts w:hint="eastAsia" w:ascii="Times New Roman" w:hAnsi="Times New Roman" w:eastAsia="宋体" w:cstheme="minorBidi"/>
                <w:b w:val="0"/>
                <w:kern w:val="2"/>
                <w:sz w:val="24"/>
                <w:szCs w:val="24"/>
                <w:highlight w:val="none"/>
                <w:lang w:val="en-US" w:eastAsia="zh-CN" w:bidi="ar-SA"/>
              </w:rPr>
            </w:pPr>
            <w:r>
              <w:rPr>
                <w:rFonts w:hint="eastAsia" w:ascii="Times New Roman" w:hAnsi="Times New Roman" w:eastAsia="宋体" w:cstheme="minorBidi"/>
                <w:b w:val="0"/>
                <w:kern w:val="2"/>
                <w:sz w:val="24"/>
                <w:szCs w:val="24"/>
                <w:highlight w:val="none"/>
                <w:lang w:val="en-US" w:eastAsia="zh-CN" w:bidi="ar-SA"/>
              </w:rPr>
              <w:t>根据</w:t>
            </w:r>
            <w:r>
              <w:rPr>
                <w:rFonts w:hint="eastAsia" w:cstheme="minorBidi"/>
                <w:b w:val="0"/>
                <w:kern w:val="2"/>
                <w:sz w:val="24"/>
                <w:szCs w:val="24"/>
                <w:highlight w:val="none"/>
                <w:lang w:val="en-US" w:eastAsia="zh-CN" w:bidi="ar-SA"/>
              </w:rPr>
              <w:t>工程分析内容</w:t>
            </w:r>
            <w:r>
              <w:rPr>
                <w:rFonts w:hint="eastAsia" w:ascii="Times New Roman" w:hAnsi="Times New Roman" w:eastAsia="宋体" w:cstheme="minorBidi"/>
                <w:b w:val="0"/>
                <w:kern w:val="2"/>
                <w:sz w:val="24"/>
                <w:szCs w:val="24"/>
                <w:highlight w:val="none"/>
                <w:lang w:val="en-US" w:eastAsia="zh-CN" w:bidi="ar-SA"/>
              </w:rPr>
              <w:t>，</w:t>
            </w:r>
            <w:r>
              <w:rPr>
                <w:rFonts w:hint="eastAsia" w:cstheme="minorBidi"/>
                <w:b w:val="0"/>
                <w:kern w:val="2"/>
                <w:sz w:val="24"/>
                <w:szCs w:val="24"/>
                <w:highlight w:val="none"/>
                <w:lang w:val="en-US" w:eastAsia="zh-CN" w:bidi="ar-SA"/>
              </w:rPr>
              <w:t>洗砂</w:t>
            </w:r>
            <w:r>
              <w:rPr>
                <w:rFonts w:hint="default" w:ascii="Times New Roman" w:hAnsi="Times New Roman" w:eastAsia="宋体" w:cs="Times New Roman"/>
                <w:b w:val="0"/>
                <w:kern w:val="2"/>
                <w:sz w:val="24"/>
                <w:szCs w:val="24"/>
                <w:highlight w:val="none"/>
                <w:lang w:val="en-US" w:eastAsia="zh-CN" w:bidi="ar-SA"/>
              </w:rPr>
              <w:t>废水产生量为</w:t>
            </w:r>
            <w:r>
              <w:rPr>
                <w:rFonts w:hint="eastAsia" w:cs="Times New Roman"/>
                <w:b w:val="0"/>
                <w:kern w:val="2"/>
                <w:sz w:val="24"/>
                <w:szCs w:val="24"/>
                <w:highlight w:val="none"/>
                <w:lang w:val="en-US" w:eastAsia="zh-CN" w:bidi="ar-SA"/>
              </w:rPr>
              <w:t>25500</w:t>
            </w:r>
            <w:r>
              <w:rPr>
                <w:rFonts w:hint="default" w:ascii="Times New Roman" w:hAnsi="Times New Roman" w:eastAsia="宋体" w:cs="Times New Roman"/>
                <w:b w:val="0"/>
                <w:kern w:val="2"/>
                <w:sz w:val="24"/>
                <w:szCs w:val="24"/>
                <w:highlight w:val="none"/>
                <w:lang w:val="en-US" w:eastAsia="zh-CN" w:bidi="ar-SA"/>
              </w:rPr>
              <w:t>m</w:t>
            </w:r>
            <w:r>
              <w:rPr>
                <w:rFonts w:hint="default" w:ascii="Times New Roman" w:hAnsi="Times New Roman" w:eastAsia="宋体" w:cs="Times New Roman"/>
                <w:b w:val="0"/>
                <w:kern w:val="2"/>
                <w:sz w:val="24"/>
                <w:szCs w:val="24"/>
                <w:highlight w:val="none"/>
                <w:vertAlign w:val="superscript"/>
                <w:lang w:val="en-US" w:eastAsia="zh-CN" w:bidi="ar-SA"/>
              </w:rPr>
              <w:t>3</w:t>
            </w:r>
            <w:r>
              <w:rPr>
                <w:rFonts w:hint="default" w:ascii="Times New Roman" w:hAnsi="Times New Roman" w:eastAsia="宋体" w:cs="Times New Roman"/>
                <w:b w:val="0"/>
                <w:kern w:val="2"/>
                <w:sz w:val="24"/>
                <w:szCs w:val="24"/>
                <w:highlight w:val="none"/>
                <w:lang w:val="en-US" w:eastAsia="zh-CN" w:bidi="ar-SA"/>
              </w:rPr>
              <w:t>/a</w:t>
            </w:r>
            <w:r>
              <w:rPr>
                <w:rFonts w:hint="eastAsia" w:ascii="Times New Roman" w:hAnsi="Times New Roman" w:eastAsia="宋体" w:cs="Times New Roman"/>
                <w:b w:val="0"/>
                <w:kern w:val="2"/>
                <w:sz w:val="24"/>
                <w:szCs w:val="24"/>
                <w:highlight w:val="none"/>
                <w:lang w:val="en-US" w:eastAsia="zh-CN" w:bidi="ar-SA"/>
              </w:rPr>
              <w:t>（</w:t>
            </w:r>
            <w:r>
              <w:rPr>
                <w:rFonts w:hint="eastAsia" w:cs="Times New Roman"/>
                <w:b w:val="0"/>
                <w:kern w:val="2"/>
                <w:sz w:val="24"/>
                <w:szCs w:val="24"/>
                <w:highlight w:val="none"/>
                <w:lang w:val="en-US" w:eastAsia="zh-CN" w:bidi="ar-SA"/>
              </w:rPr>
              <w:t>102</w:t>
            </w:r>
            <w:r>
              <w:rPr>
                <w:rFonts w:hint="default" w:ascii="Times New Roman" w:hAnsi="Times New Roman" w:eastAsia="宋体" w:cs="Times New Roman"/>
                <w:b w:val="0"/>
                <w:kern w:val="2"/>
                <w:sz w:val="24"/>
                <w:szCs w:val="24"/>
                <w:highlight w:val="none"/>
                <w:lang w:val="en-US" w:eastAsia="zh-CN" w:bidi="ar-SA"/>
              </w:rPr>
              <w:t>m</w:t>
            </w:r>
            <w:r>
              <w:rPr>
                <w:rFonts w:hint="default" w:ascii="Times New Roman" w:hAnsi="Times New Roman" w:eastAsia="宋体" w:cs="Times New Roman"/>
                <w:b w:val="0"/>
                <w:kern w:val="2"/>
                <w:sz w:val="24"/>
                <w:szCs w:val="24"/>
                <w:highlight w:val="none"/>
                <w:vertAlign w:val="superscript"/>
                <w:lang w:val="en-US" w:eastAsia="zh-CN" w:bidi="ar-SA"/>
              </w:rPr>
              <w:t>3</w:t>
            </w:r>
            <w:r>
              <w:rPr>
                <w:rFonts w:hint="default" w:ascii="Times New Roman" w:hAnsi="Times New Roman" w:eastAsia="宋体" w:cs="Times New Roman"/>
                <w:b w:val="0"/>
                <w:kern w:val="2"/>
                <w:sz w:val="24"/>
                <w:szCs w:val="24"/>
                <w:highlight w:val="none"/>
                <w:lang w:val="en-US" w:eastAsia="zh-CN" w:bidi="ar-SA"/>
              </w:rPr>
              <w:t>/</w:t>
            </w:r>
            <w:r>
              <w:rPr>
                <w:rFonts w:hint="default" w:ascii="Times New Roman" w:hAnsi="Times New Roman" w:cs="Times New Roman"/>
                <w:b w:val="0"/>
                <w:kern w:val="2"/>
                <w:sz w:val="24"/>
                <w:szCs w:val="24"/>
                <w:highlight w:val="none"/>
                <w:lang w:val="en-US" w:eastAsia="zh-CN" w:bidi="ar-SA"/>
              </w:rPr>
              <w:t>d</w:t>
            </w:r>
            <w:r>
              <w:rPr>
                <w:rFonts w:hint="eastAsia" w:ascii="Times New Roman" w:hAnsi="Times New Roman" w:eastAsia="宋体" w:cs="Times New Roman"/>
                <w:b w:val="0"/>
                <w:kern w:val="2"/>
                <w:sz w:val="24"/>
                <w:szCs w:val="24"/>
                <w:highlight w:val="none"/>
                <w:lang w:val="en-US" w:eastAsia="zh-CN" w:bidi="ar-SA"/>
              </w:rPr>
              <w:t>）</w:t>
            </w:r>
            <w:r>
              <w:rPr>
                <w:rFonts w:hint="default" w:ascii="Times New Roman" w:hAnsi="Times New Roman" w:eastAsia="宋体" w:cs="Times New Roman"/>
                <w:b w:val="0"/>
                <w:kern w:val="2"/>
                <w:sz w:val="24"/>
                <w:szCs w:val="24"/>
                <w:highlight w:val="none"/>
                <w:lang w:val="en-US" w:eastAsia="zh-CN" w:bidi="ar-SA"/>
              </w:rPr>
              <w:t>，排入三级沉淀池，洗砂废水经沉淀后回用于洗砂过程</w:t>
            </w:r>
            <w:r>
              <w:rPr>
                <w:rFonts w:hint="eastAsia" w:cs="Times New Roman"/>
                <w:b w:val="0"/>
                <w:kern w:val="2"/>
                <w:sz w:val="24"/>
                <w:szCs w:val="24"/>
                <w:highlight w:val="none"/>
                <w:lang w:val="en-US" w:eastAsia="zh-CN" w:bidi="ar-SA"/>
              </w:rPr>
              <w:t>，</w:t>
            </w:r>
            <w:r>
              <w:rPr>
                <w:rFonts w:hint="default" w:ascii="Times New Roman" w:hAnsi="Times New Roman" w:eastAsia="宋体" w:cs="Times New Roman"/>
                <w:b w:val="0"/>
                <w:kern w:val="2"/>
                <w:sz w:val="24"/>
                <w:szCs w:val="24"/>
                <w:highlight w:val="none"/>
                <w:lang w:val="en-US" w:eastAsia="zh-CN" w:bidi="ar-SA"/>
              </w:rPr>
              <w:t>不外排</w:t>
            </w:r>
            <w:r>
              <w:rPr>
                <w:rFonts w:hint="eastAsia" w:ascii="Times New Roman" w:hAnsi="Times New Roman" w:eastAsia="宋体" w:cstheme="minorBidi"/>
                <w:b w:val="0"/>
                <w:kern w:val="2"/>
                <w:sz w:val="24"/>
                <w:szCs w:val="24"/>
                <w:highlight w:val="none"/>
                <w:lang w:val="en-US" w:eastAsia="zh-CN" w:bidi="ar-SA"/>
              </w:rPr>
              <w:t>。</w:t>
            </w:r>
          </w:p>
          <w:p>
            <w:pPr>
              <w:pStyle w:val="4"/>
              <w:pageBreakBefore w:val="0"/>
              <w:numPr>
                <w:ilvl w:val="1"/>
                <w:numId w:val="0"/>
              </w:numPr>
              <w:wordWrap w:val="0"/>
              <w:bidi w:val="0"/>
              <w:spacing w:line="360" w:lineRule="auto"/>
              <w:ind w:left="0" w:leftChars="0" w:firstLine="482" w:firstLineChars="200"/>
              <w:rPr>
                <w:rFonts w:hint="eastAsia" w:ascii="Times New Roman" w:hAnsi="Times New Roman" w:eastAsia="宋体" w:cstheme="minorBidi"/>
                <w:b/>
                <w:bCs/>
                <w:kern w:val="2"/>
                <w:sz w:val="24"/>
                <w:szCs w:val="24"/>
                <w:highlight w:val="none"/>
                <w:lang w:val="en-US" w:eastAsia="zh-CN" w:bidi="ar-SA"/>
              </w:rPr>
            </w:pPr>
            <w:r>
              <w:rPr>
                <w:rFonts w:hint="eastAsia" w:ascii="Times New Roman" w:hAnsi="Times New Roman" w:eastAsia="宋体" w:cstheme="minorBidi"/>
                <w:b/>
                <w:bCs/>
                <w:kern w:val="2"/>
                <w:sz w:val="24"/>
                <w:szCs w:val="24"/>
                <w:highlight w:val="none"/>
                <w:lang w:val="en-US" w:eastAsia="zh-CN" w:bidi="ar-SA"/>
              </w:rPr>
              <w:t>2.2运输车辆冲洗废水</w:t>
            </w:r>
          </w:p>
          <w:p>
            <w:pPr>
              <w:pStyle w:val="4"/>
              <w:pageBreakBefore w:val="0"/>
              <w:numPr>
                <w:ilvl w:val="1"/>
                <w:numId w:val="0"/>
              </w:numPr>
              <w:wordWrap w:val="0"/>
              <w:bidi w:val="0"/>
              <w:spacing w:line="360" w:lineRule="auto"/>
              <w:ind w:left="0" w:leftChars="0" w:firstLine="480" w:firstLineChars="200"/>
              <w:rPr>
                <w:rFonts w:hint="eastAsia" w:ascii="Times New Roman" w:hAnsi="Times New Roman" w:eastAsia="宋体" w:cstheme="minorBidi"/>
                <w:b w:val="0"/>
                <w:kern w:val="2"/>
                <w:sz w:val="24"/>
                <w:szCs w:val="24"/>
                <w:highlight w:val="none"/>
                <w:lang w:val="en-US" w:eastAsia="zh-CN" w:bidi="ar-SA"/>
              </w:rPr>
            </w:pPr>
            <w:r>
              <w:rPr>
                <w:rFonts w:hint="eastAsia" w:ascii="Times New Roman" w:hAnsi="Times New Roman" w:eastAsia="宋体" w:cstheme="minorBidi"/>
                <w:b w:val="0"/>
                <w:kern w:val="2"/>
                <w:sz w:val="24"/>
                <w:szCs w:val="24"/>
                <w:highlight w:val="none"/>
                <w:lang w:val="en-US" w:eastAsia="zh-CN" w:bidi="ar-SA"/>
              </w:rPr>
              <w:t>根据工程分析内容，</w:t>
            </w:r>
            <w:r>
              <w:rPr>
                <w:rFonts w:hint="default" w:ascii="Times New Roman" w:hAnsi="Times New Roman" w:eastAsia="宋体" w:cs="Times New Roman"/>
                <w:b w:val="0"/>
                <w:kern w:val="2"/>
                <w:sz w:val="24"/>
                <w:szCs w:val="24"/>
                <w:highlight w:val="none"/>
                <w:lang w:val="en-US" w:eastAsia="zh-CN" w:bidi="ar-SA"/>
              </w:rPr>
              <w:t>废水产生量为</w:t>
            </w:r>
            <w:r>
              <w:rPr>
                <w:rFonts w:hint="eastAsia" w:cs="Times New Roman"/>
                <w:b w:val="0"/>
                <w:kern w:val="2"/>
                <w:sz w:val="24"/>
                <w:szCs w:val="24"/>
                <w:highlight w:val="none"/>
                <w:lang w:val="en-US" w:eastAsia="zh-CN" w:bidi="ar-SA"/>
              </w:rPr>
              <w:t>135</w:t>
            </w:r>
            <w:r>
              <w:rPr>
                <w:rFonts w:hint="default" w:ascii="Times New Roman" w:hAnsi="Times New Roman" w:eastAsia="宋体" w:cs="Times New Roman"/>
                <w:b w:val="0"/>
                <w:kern w:val="2"/>
                <w:sz w:val="24"/>
                <w:szCs w:val="24"/>
                <w:highlight w:val="none"/>
                <w:lang w:val="en-US" w:eastAsia="zh-CN" w:bidi="ar-SA"/>
              </w:rPr>
              <w:t>m</w:t>
            </w:r>
            <w:r>
              <w:rPr>
                <w:rFonts w:hint="default" w:ascii="Times New Roman" w:hAnsi="Times New Roman" w:eastAsia="宋体" w:cs="Times New Roman"/>
                <w:b w:val="0"/>
                <w:kern w:val="2"/>
                <w:sz w:val="24"/>
                <w:szCs w:val="24"/>
                <w:highlight w:val="none"/>
                <w:vertAlign w:val="superscript"/>
                <w:lang w:val="en-US" w:eastAsia="zh-CN" w:bidi="ar-SA"/>
              </w:rPr>
              <w:t>3</w:t>
            </w:r>
            <w:r>
              <w:rPr>
                <w:rFonts w:hint="default" w:ascii="Times New Roman" w:hAnsi="Times New Roman" w:eastAsia="宋体" w:cs="Times New Roman"/>
                <w:b w:val="0"/>
                <w:kern w:val="2"/>
                <w:sz w:val="24"/>
                <w:szCs w:val="24"/>
                <w:highlight w:val="none"/>
                <w:lang w:val="en-US" w:eastAsia="zh-CN" w:bidi="ar-SA"/>
              </w:rPr>
              <w:t>/a</w:t>
            </w:r>
            <w:r>
              <w:rPr>
                <w:rFonts w:hint="eastAsia" w:ascii="Times New Roman" w:hAnsi="Times New Roman" w:eastAsia="宋体" w:cs="Times New Roman"/>
                <w:b w:val="0"/>
                <w:kern w:val="2"/>
                <w:sz w:val="24"/>
                <w:szCs w:val="24"/>
                <w:highlight w:val="none"/>
                <w:lang w:val="en-US" w:eastAsia="zh-CN" w:bidi="ar-SA"/>
              </w:rPr>
              <w:t>（</w:t>
            </w:r>
            <w:r>
              <w:rPr>
                <w:rFonts w:hint="eastAsia" w:cs="Times New Roman"/>
                <w:b w:val="0"/>
                <w:kern w:val="2"/>
                <w:sz w:val="24"/>
                <w:szCs w:val="24"/>
                <w:highlight w:val="none"/>
                <w:lang w:val="en-US" w:eastAsia="zh-CN" w:bidi="ar-SA"/>
              </w:rPr>
              <w:t>0.54</w:t>
            </w:r>
            <w:r>
              <w:rPr>
                <w:rFonts w:hint="default" w:ascii="Times New Roman" w:hAnsi="Times New Roman" w:eastAsia="宋体" w:cs="Times New Roman"/>
                <w:b w:val="0"/>
                <w:kern w:val="2"/>
                <w:sz w:val="24"/>
                <w:szCs w:val="24"/>
                <w:highlight w:val="none"/>
                <w:lang w:val="en-US" w:eastAsia="zh-CN" w:bidi="ar-SA"/>
              </w:rPr>
              <w:t>m</w:t>
            </w:r>
            <w:r>
              <w:rPr>
                <w:rFonts w:hint="default" w:ascii="Times New Roman" w:hAnsi="Times New Roman" w:eastAsia="宋体" w:cs="Times New Roman"/>
                <w:b w:val="0"/>
                <w:kern w:val="2"/>
                <w:sz w:val="24"/>
                <w:szCs w:val="24"/>
                <w:highlight w:val="none"/>
                <w:vertAlign w:val="superscript"/>
                <w:lang w:val="en-US" w:eastAsia="zh-CN" w:bidi="ar-SA"/>
              </w:rPr>
              <w:t>3</w:t>
            </w:r>
            <w:r>
              <w:rPr>
                <w:rFonts w:hint="default" w:ascii="Times New Roman" w:hAnsi="Times New Roman" w:eastAsia="宋体" w:cs="Times New Roman"/>
                <w:b w:val="0"/>
                <w:kern w:val="2"/>
                <w:sz w:val="24"/>
                <w:szCs w:val="24"/>
                <w:highlight w:val="none"/>
                <w:lang w:val="en-US" w:eastAsia="zh-CN" w:bidi="ar-SA"/>
              </w:rPr>
              <w:t>/</w:t>
            </w:r>
            <w:r>
              <w:rPr>
                <w:rFonts w:hint="default" w:ascii="Times New Roman" w:hAnsi="Times New Roman" w:cs="Times New Roman"/>
                <w:b w:val="0"/>
                <w:kern w:val="2"/>
                <w:sz w:val="24"/>
                <w:szCs w:val="24"/>
                <w:highlight w:val="none"/>
                <w:lang w:val="en-US" w:eastAsia="zh-CN" w:bidi="ar-SA"/>
              </w:rPr>
              <w:t>d</w:t>
            </w:r>
            <w:r>
              <w:rPr>
                <w:rFonts w:hint="eastAsia" w:ascii="Times New Roman" w:hAnsi="Times New Roman" w:eastAsia="宋体" w:cs="Times New Roman"/>
                <w:b w:val="0"/>
                <w:kern w:val="2"/>
                <w:sz w:val="24"/>
                <w:szCs w:val="24"/>
                <w:highlight w:val="none"/>
                <w:lang w:val="en-US" w:eastAsia="zh-CN" w:bidi="ar-SA"/>
              </w:rPr>
              <w:t>）</w:t>
            </w:r>
            <w:r>
              <w:rPr>
                <w:rFonts w:hint="default" w:ascii="Times New Roman" w:hAnsi="Times New Roman" w:eastAsia="宋体" w:cs="Times New Roman"/>
                <w:b w:val="0"/>
                <w:kern w:val="2"/>
                <w:sz w:val="24"/>
                <w:szCs w:val="24"/>
                <w:highlight w:val="none"/>
                <w:lang w:val="en-US" w:eastAsia="zh-CN" w:bidi="ar-SA"/>
              </w:rPr>
              <w:t>。</w:t>
            </w:r>
            <w:r>
              <w:rPr>
                <w:rFonts w:hint="eastAsia" w:cs="Times New Roman"/>
                <w:b w:val="0"/>
                <w:kern w:val="2"/>
                <w:sz w:val="24"/>
                <w:szCs w:val="24"/>
                <w:highlight w:val="none"/>
                <w:lang w:val="en-US" w:eastAsia="zh-CN" w:bidi="ar-SA"/>
              </w:rPr>
              <w:t>洗车</w:t>
            </w:r>
            <w:r>
              <w:rPr>
                <w:rFonts w:hint="default" w:ascii="Times New Roman" w:hAnsi="Times New Roman" w:eastAsia="宋体" w:cs="Times New Roman"/>
                <w:b w:val="0"/>
                <w:kern w:val="2"/>
                <w:sz w:val="24"/>
                <w:szCs w:val="24"/>
                <w:highlight w:val="none"/>
                <w:lang w:val="en-US" w:eastAsia="zh-CN" w:bidi="ar-SA"/>
              </w:rPr>
              <w:t>废水在</w:t>
            </w:r>
            <w:r>
              <w:rPr>
                <w:rFonts w:hint="eastAsia" w:cs="Times New Roman"/>
                <w:b w:val="0"/>
                <w:kern w:val="2"/>
                <w:sz w:val="24"/>
                <w:szCs w:val="24"/>
                <w:highlight w:val="none"/>
                <w:lang w:val="en-US" w:eastAsia="zh-CN" w:bidi="ar-SA"/>
              </w:rPr>
              <w:t>隔油</w:t>
            </w:r>
            <w:r>
              <w:rPr>
                <w:rFonts w:hint="default" w:ascii="Times New Roman" w:hAnsi="Times New Roman" w:eastAsia="宋体" w:cs="Times New Roman"/>
                <w:b w:val="0"/>
                <w:kern w:val="2"/>
                <w:sz w:val="24"/>
                <w:szCs w:val="24"/>
                <w:highlight w:val="none"/>
                <w:lang w:val="en-US" w:eastAsia="zh-CN" w:bidi="ar-SA"/>
              </w:rPr>
              <w:t>沉淀池</w:t>
            </w:r>
            <w:r>
              <w:rPr>
                <w:rFonts w:hint="eastAsia" w:cs="Times New Roman"/>
                <w:b w:val="0"/>
                <w:kern w:val="2"/>
                <w:sz w:val="24"/>
                <w:szCs w:val="24"/>
                <w:highlight w:val="none"/>
                <w:lang w:val="en-US" w:eastAsia="zh-CN" w:bidi="ar-SA"/>
              </w:rPr>
              <w:t>处理</w:t>
            </w:r>
            <w:r>
              <w:rPr>
                <w:rFonts w:hint="default" w:ascii="Times New Roman" w:hAnsi="Times New Roman" w:eastAsia="宋体" w:cs="Times New Roman"/>
                <w:b w:val="0"/>
                <w:kern w:val="2"/>
                <w:sz w:val="24"/>
                <w:szCs w:val="24"/>
                <w:highlight w:val="none"/>
                <w:lang w:val="en-US" w:eastAsia="zh-CN" w:bidi="ar-SA"/>
              </w:rPr>
              <w:t>后用于洒水抑尘</w:t>
            </w:r>
            <w:r>
              <w:rPr>
                <w:rFonts w:hint="eastAsia" w:cs="Times New Roman"/>
                <w:b w:val="0"/>
                <w:kern w:val="2"/>
                <w:sz w:val="24"/>
                <w:szCs w:val="24"/>
                <w:highlight w:val="none"/>
                <w:lang w:val="en-US" w:eastAsia="zh-CN" w:bidi="ar-SA"/>
              </w:rPr>
              <w:t>，</w:t>
            </w:r>
            <w:r>
              <w:rPr>
                <w:rFonts w:hint="default" w:ascii="Times New Roman" w:hAnsi="Times New Roman" w:eastAsia="宋体" w:cs="Times New Roman"/>
                <w:b w:val="0"/>
                <w:kern w:val="2"/>
                <w:sz w:val="24"/>
                <w:szCs w:val="24"/>
                <w:highlight w:val="none"/>
                <w:lang w:val="en-US" w:eastAsia="zh-CN" w:bidi="ar-SA"/>
              </w:rPr>
              <w:t>不外排。</w:t>
            </w:r>
          </w:p>
          <w:p>
            <w:pPr>
              <w:pStyle w:val="4"/>
              <w:pageBreakBefore w:val="0"/>
              <w:numPr>
                <w:ilvl w:val="1"/>
                <w:numId w:val="0"/>
              </w:numPr>
              <w:wordWrap w:val="0"/>
              <w:bidi w:val="0"/>
              <w:spacing w:line="360" w:lineRule="auto"/>
              <w:ind w:left="0" w:leftChars="0" w:firstLine="482" w:firstLineChars="200"/>
              <w:rPr>
                <w:rFonts w:hint="eastAsia" w:ascii="Times New Roman" w:hAnsi="Times New Roman" w:eastAsia="宋体" w:cstheme="minorBidi"/>
                <w:b/>
                <w:bCs/>
                <w:kern w:val="2"/>
                <w:sz w:val="24"/>
                <w:szCs w:val="24"/>
                <w:highlight w:val="none"/>
                <w:lang w:val="en-US" w:eastAsia="zh-CN" w:bidi="ar-SA"/>
              </w:rPr>
            </w:pPr>
            <w:r>
              <w:rPr>
                <w:rFonts w:hint="eastAsia" w:ascii="Times New Roman" w:hAnsi="Times New Roman" w:eastAsia="宋体" w:cstheme="minorBidi"/>
                <w:b/>
                <w:bCs/>
                <w:kern w:val="2"/>
                <w:sz w:val="24"/>
                <w:szCs w:val="24"/>
                <w:highlight w:val="none"/>
                <w:lang w:val="en-US" w:eastAsia="zh-CN" w:bidi="ar-SA"/>
              </w:rPr>
              <w:t>2.3生活污水</w:t>
            </w:r>
          </w:p>
          <w:p>
            <w:pPr>
              <w:pStyle w:val="4"/>
              <w:pageBreakBefore w:val="0"/>
              <w:numPr>
                <w:ilvl w:val="1"/>
                <w:numId w:val="0"/>
              </w:numPr>
              <w:wordWrap w:val="0"/>
              <w:bidi w:val="0"/>
              <w:spacing w:line="360" w:lineRule="auto"/>
              <w:ind w:left="0" w:leftChars="0" w:firstLine="480" w:firstLineChars="200"/>
              <w:rPr>
                <w:rFonts w:hint="eastAsia" w:ascii="Times New Roman" w:hAnsi="Times New Roman" w:eastAsia="宋体" w:cstheme="minorBidi"/>
                <w:b w:val="0"/>
                <w:kern w:val="2"/>
                <w:sz w:val="24"/>
                <w:szCs w:val="24"/>
                <w:highlight w:val="none"/>
                <w:lang w:val="en-US" w:eastAsia="zh-CN" w:bidi="ar-SA"/>
              </w:rPr>
            </w:pPr>
            <w:r>
              <w:rPr>
                <w:rFonts w:hint="eastAsia" w:ascii="Times New Roman" w:hAnsi="Times New Roman" w:eastAsia="宋体" w:cstheme="minorBidi"/>
                <w:b w:val="0"/>
                <w:kern w:val="2"/>
                <w:sz w:val="24"/>
                <w:szCs w:val="24"/>
                <w:highlight w:val="none"/>
                <w:lang w:val="en-US" w:eastAsia="zh-CN" w:bidi="ar-SA"/>
              </w:rPr>
              <w:t>根据工程分析内容，</w:t>
            </w:r>
            <w:r>
              <w:rPr>
                <w:rFonts w:hint="default" w:ascii="Times New Roman" w:hAnsi="Times New Roman" w:eastAsia="宋体" w:cs="Times New Roman"/>
                <w:b w:val="0"/>
                <w:kern w:val="2"/>
                <w:sz w:val="24"/>
                <w:szCs w:val="24"/>
                <w:highlight w:val="none"/>
                <w:lang w:val="en-US" w:eastAsia="zh-CN" w:bidi="ar-SA"/>
              </w:rPr>
              <w:t>项目生活污水产生量为</w:t>
            </w:r>
            <w:r>
              <w:rPr>
                <w:rFonts w:hint="eastAsia" w:cs="Times New Roman"/>
                <w:b w:val="0"/>
                <w:kern w:val="2"/>
                <w:sz w:val="24"/>
                <w:szCs w:val="24"/>
                <w:highlight w:val="none"/>
                <w:lang w:val="en-US" w:eastAsia="zh-CN" w:bidi="ar-SA"/>
              </w:rPr>
              <w:t>0.832</w:t>
            </w:r>
            <w:r>
              <w:rPr>
                <w:rFonts w:hint="default" w:ascii="Times New Roman" w:hAnsi="Times New Roman" w:eastAsia="宋体" w:cs="Times New Roman"/>
                <w:b w:val="0"/>
                <w:kern w:val="2"/>
                <w:sz w:val="24"/>
                <w:szCs w:val="24"/>
                <w:highlight w:val="none"/>
                <w:lang w:val="en-US" w:eastAsia="zh-CN" w:bidi="ar-SA"/>
              </w:rPr>
              <w:t>m</w:t>
            </w:r>
            <w:r>
              <w:rPr>
                <w:rFonts w:hint="default" w:ascii="Times New Roman" w:hAnsi="Times New Roman" w:eastAsia="宋体" w:cs="Times New Roman"/>
                <w:b w:val="0"/>
                <w:kern w:val="2"/>
                <w:sz w:val="24"/>
                <w:szCs w:val="24"/>
                <w:highlight w:val="none"/>
                <w:vertAlign w:val="superscript"/>
                <w:lang w:val="en-US" w:eastAsia="zh-CN" w:bidi="ar-SA"/>
              </w:rPr>
              <w:t>3</w:t>
            </w:r>
            <w:r>
              <w:rPr>
                <w:rFonts w:hint="default" w:ascii="Times New Roman" w:hAnsi="Times New Roman" w:eastAsia="宋体" w:cs="Times New Roman"/>
                <w:b w:val="0"/>
                <w:kern w:val="2"/>
                <w:sz w:val="24"/>
                <w:szCs w:val="24"/>
                <w:highlight w:val="none"/>
                <w:lang w:val="en-US" w:eastAsia="zh-CN" w:bidi="ar-SA"/>
              </w:rPr>
              <w:t>/d，</w:t>
            </w:r>
            <w:r>
              <w:rPr>
                <w:rFonts w:hint="eastAsia" w:cs="Times New Roman"/>
                <w:b w:val="0"/>
                <w:kern w:val="2"/>
                <w:sz w:val="24"/>
                <w:szCs w:val="24"/>
                <w:highlight w:val="none"/>
                <w:lang w:val="en-US" w:eastAsia="zh-CN" w:bidi="ar-SA"/>
              </w:rPr>
              <w:t>208</w:t>
            </w:r>
            <w:r>
              <w:rPr>
                <w:rFonts w:hint="default" w:ascii="Times New Roman" w:hAnsi="Times New Roman" w:eastAsia="宋体" w:cs="Times New Roman"/>
                <w:b w:val="0"/>
                <w:kern w:val="2"/>
                <w:sz w:val="24"/>
                <w:szCs w:val="24"/>
                <w:highlight w:val="none"/>
                <w:lang w:val="en-US" w:eastAsia="zh-CN" w:bidi="ar-SA"/>
              </w:rPr>
              <w:t>m</w:t>
            </w:r>
            <w:r>
              <w:rPr>
                <w:rFonts w:hint="default" w:ascii="Times New Roman" w:hAnsi="Times New Roman" w:eastAsia="宋体" w:cs="Times New Roman"/>
                <w:b w:val="0"/>
                <w:kern w:val="2"/>
                <w:sz w:val="24"/>
                <w:szCs w:val="24"/>
                <w:highlight w:val="none"/>
                <w:vertAlign w:val="superscript"/>
                <w:lang w:val="en-US" w:eastAsia="zh-CN" w:bidi="ar-SA"/>
              </w:rPr>
              <w:t>3</w:t>
            </w:r>
            <w:r>
              <w:rPr>
                <w:rFonts w:hint="default" w:ascii="Times New Roman" w:hAnsi="Times New Roman" w:eastAsia="宋体" w:cs="Times New Roman"/>
                <w:b w:val="0"/>
                <w:kern w:val="2"/>
                <w:sz w:val="24"/>
                <w:szCs w:val="24"/>
                <w:highlight w:val="none"/>
                <w:lang w:val="en-US" w:eastAsia="zh-CN" w:bidi="ar-SA"/>
              </w:rPr>
              <w:t>/a。食堂废水经隔油处理后与其他生活污水经地埋式一体化污水处理设施处理后用于场地洒水抑尘。</w:t>
            </w:r>
          </w:p>
          <w:p>
            <w:pPr>
              <w:pageBreakBefore w:val="0"/>
              <w:widowControl w:val="0"/>
              <w:wordWrap w:val="0"/>
              <w:overflowPunct w:val="0"/>
              <w:bidi w:val="0"/>
              <w:adjustRightInd w:val="0"/>
              <w:spacing w:line="360" w:lineRule="auto"/>
              <w:ind w:firstLine="482" w:firstLineChars="200"/>
              <w:jc w:val="both"/>
              <w:rPr>
                <w:rFonts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r>
              <w:rPr>
                <w:rFonts w:ascii="Times New Roman" w:hAnsi="Times New Roman" w:eastAsia="宋体" w:cs="Times New Roman"/>
                <w:b/>
                <w:bCs/>
                <w:color w:val="000000" w:themeColor="text1"/>
                <w:kern w:val="2"/>
                <w:sz w:val="24"/>
                <w:szCs w:val="24"/>
                <w:lang w:val="en-US" w:eastAsia="zh-CN" w:bidi="ar-SA"/>
                <w14:textFill>
                  <w14:solidFill>
                    <w14:schemeClr w14:val="tx1"/>
                  </w14:solidFill>
                </w14:textFill>
              </w:rPr>
              <w:t>2.</w:t>
            </w: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3</w:t>
            </w:r>
            <w:r>
              <w:rPr>
                <w:rFonts w:ascii="Times New Roman" w:hAnsi="Times New Roman" w:eastAsia="宋体" w:cs="Times New Roman"/>
                <w:b/>
                <w:bCs/>
                <w:color w:val="000000" w:themeColor="text1"/>
                <w:kern w:val="2"/>
                <w:sz w:val="24"/>
                <w:szCs w:val="24"/>
                <w:lang w:val="en-US" w:eastAsia="zh-CN" w:bidi="ar-SA"/>
                <w14:textFill>
                  <w14:solidFill>
                    <w14:schemeClr w14:val="tx1"/>
                  </w14:solidFill>
                </w14:textFill>
              </w:rPr>
              <w:t xml:space="preserve"> 废水监测计划</w:t>
            </w:r>
          </w:p>
          <w:p>
            <w:pPr>
              <w:pageBreakBefore w:val="0"/>
              <w:widowControl w:val="0"/>
              <w:tabs>
                <w:tab w:val="left" w:pos="3570"/>
              </w:tabs>
              <w:wordWrap w:val="0"/>
              <w:bidi w:val="0"/>
              <w:spacing w:line="360" w:lineRule="auto"/>
              <w:ind w:firstLine="480" w:firstLineChars="200"/>
              <w:jc w:val="left"/>
              <w:rPr>
                <w:rFonts w:ascii="宋体" w:hAnsi="宋体" w:eastAsia="宋体" w:cs="宋体"/>
                <w:color w:val="000000" w:themeColor="text1"/>
                <w:kern w:val="2"/>
                <w:sz w:val="21"/>
                <w:szCs w:val="24"/>
                <w:lang w:val="zh-CN" w:eastAsia="zh-CN" w:bidi="zh-CN"/>
                <w14:textFill>
                  <w14:solidFill>
                    <w14:schemeClr w14:val="tx1"/>
                  </w14:solidFill>
                </w14:textFill>
              </w:rPr>
            </w:pPr>
            <w:r>
              <w:rPr>
                <w:rFonts w:ascii="Times New Roman" w:hAnsi="Times New Roman" w:eastAsia="宋体" w:cs="Times New Roman"/>
                <w:color w:val="000000" w:themeColor="text1"/>
                <w:kern w:val="2"/>
                <w:sz w:val="24"/>
                <w:szCs w:val="24"/>
                <w:lang w:val="en-US" w:eastAsia="zh-CN" w:bidi="zh-CN"/>
                <w14:textFill>
                  <w14:solidFill>
                    <w14:schemeClr w14:val="tx1"/>
                  </w14:solidFill>
                </w14:textFill>
              </w:rPr>
              <w:t>根据《</w:t>
            </w:r>
            <w:r>
              <w:rPr>
                <w:rFonts w:hint="eastAsia" w:ascii="Times New Roman" w:hAnsi="Times New Roman" w:eastAsia="宋体" w:cs="Times New Roman"/>
                <w:color w:val="000000" w:themeColor="text1"/>
                <w:kern w:val="2"/>
                <w:sz w:val="24"/>
                <w:szCs w:val="24"/>
                <w:lang w:val="en-US" w:eastAsia="zh-CN" w:bidi="zh-CN"/>
                <w14:textFill>
                  <w14:solidFill>
                    <w14:schemeClr w14:val="tx1"/>
                  </w14:solidFill>
                </w14:textFill>
              </w:rPr>
              <w:t>排污单位自行监测技术指南  总则</w:t>
            </w:r>
            <w:r>
              <w:rPr>
                <w:rFonts w:ascii="Times New Roman" w:hAnsi="Times New Roman" w:eastAsia="宋体" w:cs="Times New Roman"/>
                <w:color w:val="000000" w:themeColor="text1"/>
                <w:kern w:val="2"/>
                <w:sz w:val="24"/>
                <w:szCs w:val="24"/>
                <w:lang w:val="en-US" w:eastAsia="zh-CN" w:bidi="zh-CN"/>
                <w14:textFill>
                  <w14:solidFill>
                    <w14:schemeClr w14:val="tx1"/>
                  </w14:solidFill>
                </w14:textFill>
              </w:rPr>
              <w:t>》（HJ</w:t>
            </w:r>
            <w:r>
              <w:rPr>
                <w:rFonts w:hint="eastAsia" w:ascii="Times New Roman" w:hAnsi="Times New Roman" w:eastAsia="宋体" w:cs="Times New Roman"/>
                <w:color w:val="000000" w:themeColor="text1"/>
                <w:kern w:val="2"/>
                <w:sz w:val="24"/>
                <w:szCs w:val="24"/>
                <w:lang w:val="en-US" w:eastAsia="zh-CN" w:bidi="zh-CN"/>
                <w14:textFill>
                  <w14:solidFill>
                    <w14:schemeClr w14:val="tx1"/>
                  </w14:solidFill>
                </w14:textFill>
              </w:rPr>
              <w:t>819-2017</w:t>
            </w:r>
            <w:r>
              <w:rPr>
                <w:rFonts w:ascii="Times New Roman" w:hAnsi="Times New Roman" w:eastAsia="宋体" w:cs="Times New Roman"/>
                <w:color w:val="000000" w:themeColor="text1"/>
                <w:kern w:val="2"/>
                <w:sz w:val="24"/>
                <w:szCs w:val="24"/>
                <w:lang w:val="en-US" w:eastAsia="zh-CN" w:bidi="zh-CN"/>
                <w14:textFill>
                  <w14:solidFill>
                    <w14:schemeClr w14:val="tx1"/>
                  </w14:solidFill>
                </w14:textFill>
              </w:rPr>
              <w:t>），项目应制定废</w:t>
            </w:r>
            <w:r>
              <w:rPr>
                <w:rFonts w:hint="eastAsia" w:ascii="Times New Roman" w:hAnsi="Times New Roman" w:eastAsia="宋体" w:cs="Times New Roman"/>
                <w:color w:val="000000" w:themeColor="text1"/>
                <w:kern w:val="2"/>
                <w:sz w:val="24"/>
                <w:szCs w:val="24"/>
                <w:lang w:val="en-US" w:eastAsia="zh-CN" w:bidi="zh-CN"/>
                <w14:textFill>
                  <w14:solidFill>
                    <w14:schemeClr w14:val="tx1"/>
                  </w14:solidFill>
                </w14:textFill>
              </w:rPr>
              <w:t>水</w:t>
            </w:r>
            <w:r>
              <w:rPr>
                <w:rFonts w:ascii="Times New Roman" w:hAnsi="Times New Roman" w:eastAsia="宋体" w:cs="Times New Roman"/>
                <w:color w:val="000000" w:themeColor="text1"/>
                <w:kern w:val="2"/>
                <w:sz w:val="24"/>
                <w:szCs w:val="24"/>
                <w:lang w:val="en-US" w:eastAsia="zh-CN" w:bidi="zh-CN"/>
                <w14:textFill>
                  <w14:solidFill>
                    <w14:schemeClr w14:val="tx1"/>
                  </w14:solidFill>
                </w14:textFill>
              </w:rPr>
              <w:t>污染源监测计划，详见表4-</w:t>
            </w:r>
            <w:r>
              <w:rPr>
                <w:rFonts w:hint="eastAsia" w:cs="Times New Roman"/>
                <w:color w:val="000000" w:themeColor="text1"/>
                <w:kern w:val="2"/>
                <w:sz w:val="24"/>
                <w:szCs w:val="24"/>
                <w:lang w:val="en-US" w:eastAsia="zh-CN" w:bidi="zh-CN"/>
                <w14:textFill>
                  <w14:solidFill>
                    <w14:schemeClr w14:val="tx1"/>
                  </w14:solidFill>
                </w14:textFill>
              </w:rPr>
              <w:t>4</w:t>
            </w:r>
            <w:r>
              <w:rPr>
                <w:rFonts w:ascii="Times New Roman" w:hAnsi="Times New Roman" w:eastAsia="宋体" w:cs="Times New Roman"/>
                <w:color w:val="000000" w:themeColor="text1"/>
                <w:kern w:val="2"/>
                <w:sz w:val="24"/>
                <w:szCs w:val="24"/>
                <w:lang w:val="en-US" w:eastAsia="zh-CN" w:bidi="zh-CN"/>
                <w14:textFill>
                  <w14:solidFill>
                    <w14:schemeClr w14:val="tx1"/>
                  </w14:solidFill>
                </w14:textFill>
              </w:rPr>
              <w:t>。</w:t>
            </w:r>
          </w:p>
          <w:p>
            <w:pPr>
              <w:pageBreakBefore w:val="0"/>
              <w:wordWrap w:val="0"/>
              <w:bidi w:val="0"/>
              <w:spacing w:line="240" w:lineRule="auto"/>
              <w:ind w:firstLine="0" w:firstLineChars="0"/>
              <w:jc w:val="center"/>
              <w:rPr>
                <w:rFonts w:eastAsia="宋体"/>
                <w:b/>
                <w:bCs/>
                <w:color w:val="000000" w:themeColor="text1"/>
                <w:sz w:val="21"/>
                <w:szCs w:val="21"/>
                <w14:textFill>
                  <w14:solidFill>
                    <w14:schemeClr w14:val="tx1"/>
                  </w14:solidFill>
                </w14:textFill>
              </w:rPr>
            </w:pPr>
            <w:r>
              <w:rPr>
                <w:rFonts w:eastAsia="宋体"/>
                <w:b/>
                <w:bCs/>
                <w:color w:val="000000" w:themeColor="text1"/>
                <w:sz w:val="21"/>
                <w:szCs w:val="21"/>
                <w14:textFill>
                  <w14:solidFill>
                    <w14:schemeClr w14:val="tx1"/>
                  </w14:solidFill>
                </w14:textFill>
              </w:rPr>
              <w:t>表4-</w:t>
            </w:r>
            <w:r>
              <w:rPr>
                <w:rFonts w:hint="eastAsia"/>
                <w:b/>
                <w:bCs/>
                <w:color w:val="000000" w:themeColor="text1"/>
                <w:sz w:val="21"/>
                <w:szCs w:val="21"/>
                <w:lang w:val="en-US" w:eastAsia="zh-CN"/>
                <w14:textFill>
                  <w14:solidFill>
                    <w14:schemeClr w14:val="tx1"/>
                  </w14:solidFill>
                </w14:textFill>
              </w:rPr>
              <w:t>4</w:t>
            </w:r>
            <w:r>
              <w:rPr>
                <w:rFonts w:hint="eastAsia" w:eastAsia="宋体"/>
                <w:b/>
                <w:bCs/>
                <w:color w:val="000000" w:themeColor="text1"/>
                <w:sz w:val="21"/>
                <w:szCs w:val="21"/>
                <w:lang w:val="en-US" w:eastAsia="zh-CN"/>
                <w14:textFill>
                  <w14:solidFill>
                    <w14:schemeClr w14:val="tx1"/>
                  </w14:solidFill>
                </w14:textFill>
              </w:rPr>
              <w:t xml:space="preserve">  </w:t>
            </w:r>
            <w:r>
              <w:rPr>
                <w:rFonts w:eastAsia="宋体"/>
                <w:b/>
                <w:bCs/>
                <w:color w:val="000000" w:themeColor="text1"/>
                <w:sz w:val="21"/>
                <w:szCs w:val="21"/>
                <w14:textFill>
                  <w14:solidFill>
                    <w14:schemeClr w14:val="tx1"/>
                  </w14:solidFill>
                </w14:textFill>
              </w:rPr>
              <w:t xml:space="preserve"> 废水监测要求一览表</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70"/>
              <w:gridCol w:w="1061"/>
              <w:gridCol w:w="1389"/>
              <w:gridCol w:w="1006"/>
              <w:gridCol w:w="1072"/>
              <w:gridCol w:w="237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9" w:hRule="atLeast"/>
              </w:trPr>
              <w:tc>
                <w:tcPr>
                  <w:tcW w:w="560" w:type="pct"/>
                  <w:vAlign w:val="center"/>
                </w:tcPr>
                <w:p>
                  <w:pPr>
                    <w:pageBreakBefore w:val="0"/>
                    <w:wordWrap w:val="0"/>
                    <w:bidi w:val="0"/>
                    <w:adjustRightInd w:val="0"/>
                    <w:snapToGrid w:val="0"/>
                    <w:spacing w:line="240" w:lineRule="auto"/>
                    <w:ind w:firstLine="0" w:firstLineChars="0"/>
                    <w:jc w:val="center"/>
                    <w:rPr>
                      <w:rFonts w:eastAsia="宋体"/>
                      <w:b/>
                      <w:bCs/>
                      <w:color w:val="000000" w:themeColor="text1"/>
                      <w:sz w:val="21"/>
                      <w:szCs w:val="21"/>
                      <w14:textFill>
                        <w14:solidFill>
                          <w14:schemeClr w14:val="tx1"/>
                        </w14:solidFill>
                      </w14:textFill>
                    </w:rPr>
                  </w:pPr>
                  <w:r>
                    <w:rPr>
                      <w:rFonts w:eastAsia="宋体"/>
                      <w:b/>
                      <w:bCs/>
                      <w:color w:val="000000" w:themeColor="text1"/>
                      <w:sz w:val="21"/>
                      <w:szCs w:val="21"/>
                      <w14:textFill>
                        <w14:solidFill>
                          <w14:schemeClr w14:val="tx1"/>
                        </w14:solidFill>
                      </w14:textFill>
                    </w:rPr>
                    <w:t>排放口类型</w:t>
                  </w:r>
                </w:p>
              </w:tc>
              <w:tc>
                <w:tcPr>
                  <w:tcW w:w="682" w:type="pct"/>
                  <w:vAlign w:val="center"/>
                </w:tcPr>
                <w:p>
                  <w:pPr>
                    <w:pageBreakBefore w:val="0"/>
                    <w:wordWrap w:val="0"/>
                    <w:bidi w:val="0"/>
                    <w:adjustRightInd w:val="0"/>
                    <w:snapToGrid w:val="0"/>
                    <w:spacing w:line="240" w:lineRule="auto"/>
                    <w:ind w:firstLine="0" w:firstLineChars="0"/>
                    <w:jc w:val="center"/>
                    <w:rPr>
                      <w:rFonts w:eastAsia="宋体"/>
                      <w:b/>
                      <w:bCs/>
                      <w:color w:val="000000" w:themeColor="text1"/>
                      <w:sz w:val="21"/>
                      <w:szCs w:val="21"/>
                      <w14:textFill>
                        <w14:solidFill>
                          <w14:schemeClr w14:val="tx1"/>
                        </w14:solidFill>
                      </w14:textFill>
                    </w:rPr>
                  </w:pPr>
                  <w:r>
                    <w:rPr>
                      <w:rFonts w:eastAsia="宋体"/>
                      <w:b/>
                      <w:bCs/>
                      <w:color w:val="000000" w:themeColor="text1"/>
                      <w:sz w:val="21"/>
                      <w:szCs w:val="21"/>
                      <w14:textFill>
                        <w14:solidFill>
                          <w14:schemeClr w14:val="tx1"/>
                        </w14:solidFill>
                      </w14:textFill>
                    </w:rPr>
                    <w:t>污染源</w:t>
                  </w:r>
                </w:p>
              </w:tc>
              <w:tc>
                <w:tcPr>
                  <w:tcW w:w="893" w:type="pct"/>
                  <w:vAlign w:val="center"/>
                </w:tcPr>
                <w:p>
                  <w:pPr>
                    <w:pageBreakBefore w:val="0"/>
                    <w:wordWrap w:val="0"/>
                    <w:bidi w:val="0"/>
                    <w:adjustRightInd w:val="0"/>
                    <w:snapToGrid w:val="0"/>
                    <w:spacing w:line="240" w:lineRule="auto"/>
                    <w:ind w:firstLine="0" w:firstLineChars="0"/>
                    <w:jc w:val="center"/>
                    <w:rPr>
                      <w:rFonts w:eastAsia="宋体"/>
                      <w:b/>
                      <w:bCs/>
                      <w:color w:val="000000" w:themeColor="text1"/>
                      <w:sz w:val="21"/>
                      <w:szCs w:val="21"/>
                      <w14:textFill>
                        <w14:solidFill>
                          <w14:schemeClr w14:val="tx1"/>
                        </w14:solidFill>
                      </w14:textFill>
                    </w:rPr>
                  </w:pPr>
                  <w:r>
                    <w:rPr>
                      <w:rFonts w:eastAsia="宋体"/>
                      <w:b/>
                      <w:bCs/>
                      <w:color w:val="000000" w:themeColor="text1"/>
                      <w:sz w:val="21"/>
                      <w:szCs w:val="21"/>
                      <w14:textFill>
                        <w14:solidFill>
                          <w14:schemeClr w14:val="tx1"/>
                        </w14:solidFill>
                      </w14:textFill>
                    </w:rPr>
                    <w:t>监测因子</w:t>
                  </w:r>
                </w:p>
              </w:tc>
              <w:tc>
                <w:tcPr>
                  <w:tcW w:w="647" w:type="pct"/>
                  <w:vAlign w:val="center"/>
                </w:tcPr>
                <w:p>
                  <w:pPr>
                    <w:pageBreakBefore w:val="0"/>
                    <w:wordWrap w:val="0"/>
                    <w:bidi w:val="0"/>
                    <w:adjustRightInd w:val="0"/>
                    <w:snapToGrid w:val="0"/>
                    <w:spacing w:line="240" w:lineRule="auto"/>
                    <w:ind w:firstLine="0" w:firstLineChars="0"/>
                    <w:jc w:val="center"/>
                    <w:rPr>
                      <w:rFonts w:eastAsia="宋体"/>
                      <w:b/>
                      <w:bCs/>
                      <w:color w:val="000000" w:themeColor="text1"/>
                      <w:sz w:val="21"/>
                      <w:szCs w:val="21"/>
                      <w14:textFill>
                        <w14:solidFill>
                          <w14:schemeClr w14:val="tx1"/>
                        </w14:solidFill>
                      </w14:textFill>
                    </w:rPr>
                  </w:pPr>
                  <w:r>
                    <w:rPr>
                      <w:rFonts w:eastAsia="宋体"/>
                      <w:b/>
                      <w:bCs/>
                      <w:color w:val="000000" w:themeColor="text1"/>
                      <w:sz w:val="21"/>
                      <w:szCs w:val="21"/>
                      <w14:textFill>
                        <w14:solidFill>
                          <w14:schemeClr w14:val="tx1"/>
                        </w14:solidFill>
                      </w14:textFill>
                    </w:rPr>
                    <w:t>监测点位置</w:t>
                  </w:r>
                </w:p>
              </w:tc>
              <w:tc>
                <w:tcPr>
                  <w:tcW w:w="689" w:type="pct"/>
                  <w:vAlign w:val="center"/>
                </w:tcPr>
                <w:p>
                  <w:pPr>
                    <w:pageBreakBefore w:val="0"/>
                    <w:wordWrap w:val="0"/>
                    <w:bidi w:val="0"/>
                    <w:adjustRightInd w:val="0"/>
                    <w:snapToGrid w:val="0"/>
                    <w:spacing w:line="240" w:lineRule="auto"/>
                    <w:ind w:firstLine="0" w:firstLineChars="0"/>
                    <w:jc w:val="center"/>
                    <w:rPr>
                      <w:rFonts w:eastAsia="宋体"/>
                      <w:b/>
                      <w:bCs/>
                      <w:color w:val="000000" w:themeColor="text1"/>
                      <w:sz w:val="21"/>
                      <w:szCs w:val="21"/>
                      <w14:textFill>
                        <w14:solidFill>
                          <w14:schemeClr w14:val="tx1"/>
                        </w14:solidFill>
                      </w14:textFill>
                    </w:rPr>
                  </w:pPr>
                  <w:r>
                    <w:rPr>
                      <w:rFonts w:eastAsia="宋体"/>
                      <w:b/>
                      <w:bCs/>
                      <w:color w:val="000000" w:themeColor="text1"/>
                      <w:sz w:val="21"/>
                      <w:szCs w:val="21"/>
                      <w14:textFill>
                        <w14:solidFill>
                          <w14:schemeClr w14:val="tx1"/>
                        </w14:solidFill>
                      </w14:textFill>
                    </w:rPr>
                    <w:t>监测频次</w:t>
                  </w:r>
                </w:p>
              </w:tc>
              <w:tc>
                <w:tcPr>
                  <w:tcW w:w="1526" w:type="pct"/>
                  <w:vAlign w:val="center"/>
                </w:tcPr>
                <w:p>
                  <w:pPr>
                    <w:pageBreakBefore w:val="0"/>
                    <w:wordWrap w:val="0"/>
                    <w:bidi w:val="0"/>
                    <w:adjustRightInd w:val="0"/>
                    <w:snapToGrid w:val="0"/>
                    <w:spacing w:line="240" w:lineRule="auto"/>
                    <w:ind w:firstLine="0" w:firstLineChars="0"/>
                    <w:jc w:val="center"/>
                    <w:rPr>
                      <w:rFonts w:eastAsia="宋体"/>
                      <w:b/>
                      <w:bCs/>
                      <w:color w:val="000000" w:themeColor="text1"/>
                      <w:sz w:val="21"/>
                      <w:szCs w:val="21"/>
                      <w14:textFill>
                        <w14:solidFill>
                          <w14:schemeClr w14:val="tx1"/>
                        </w14:solidFill>
                      </w14:textFill>
                    </w:rPr>
                  </w:pPr>
                  <w:r>
                    <w:rPr>
                      <w:rFonts w:eastAsia="宋体"/>
                      <w:b/>
                      <w:bCs/>
                      <w:color w:val="000000" w:themeColor="text1"/>
                      <w:sz w:val="21"/>
                      <w:szCs w:val="21"/>
                      <w14:textFill>
                        <w14:solidFill>
                          <w14:schemeClr w14:val="tx1"/>
                        </w14:solidFill>
                      </w14:textFill>
                    </w:rPr>
                    <w:t>排放标准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98" w:hRule="atLeast"/>
              </w:trPr>
              <w:tc>
                <w:tcPr>
                  <w:tcW w:w="560" w:type="pct"/>
                  <w:vAlign w:val="center"/>
                </w:tcPr>
                <w:p>
                  <w:pPr>
                    <w:pageBreakBefore w:val="0"/>
                    <w:wordWrap w:val="0"/>
                    <w:bidi w:val="0"/>
                    <w:adjustRightInd w:val="0"/>
                    <w:snapToGrid w:val="0"/>
                    <w:spacing w:line="240" w:lineRule="auto"/>
                    <w:ind w:firstLine="0" w:firstLineChars="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总排口</w:t>
                  </w:r>
                </w:p>
              </w:tc>
              <w:tc>
                <w:tcPr>
                  <w:tcW w:w="682" w:type="pct"/>
                  <w:vAlign w:val="center"/>
                </w:tcPr>
                <w:p>
                  <w:pPr>
                    <w:pageBreakBefore w:val="0"/>
                    <w:wordWrap w:val="0"/>
                    <w:bidi w:val="0"/>
                    <w:adjustRightInd w:val="0"/>
                    <w:snapToGrid w:val="0"/>
                    <w:spacing w:line="240" w:lineRule="auto"/>
                    <w:ind w:firstLine="0" w:firstLineChars="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生活污水</w:t>
                  </w:r>
                </w:p>
              </w:tc>
              <w:tc>
                <w:tcPr>
                  <w:tcW w:w="893" w:type="pct"/>
                  <w:vAlign w:val="center"/>
                </w:tcPr>
                <w:p>
                  <w:pPr>
                    <w:pageBreakBefore w:val="0"/>
                    <w:wordWrap w:val="0"/>
                    <w:bidi w:val="0"/>
                    <w:adjustRightInd w:val="0"/>
                    <w:snapToGrid w:val="0"/>
                    <w:spacing w:line="240" w:lineRule="auto"/>
                    <w:ind w:firstLine="0" w:firstLineChars="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P</w:t>
                  </w:r>
                  <w:r>
                    <w:rPr>
                      <w:rFonts w:hint="eastAsia"/>
                      <w:color w:val="000000" w:themeColor="text1"/>
                      <w:sz w:val="21"/>
                      <w:szCs w:val="21"/>
                      <w:lang w:val="en-US" w:eastAsia="zh-CN"/>
                      <w14:textFill>
                        <w14:solidFill>
                          <w14:schemeClr w14:val="tx1"/>
                        </w14:solidFill>
                      </w14:textFill>
                    </w:rPr>
                    <w:t>H</w:t>
                  </w:r>
                  <w:r>
                    <w:rPr>
                      <w:rFonts w:hint="eastAsia" w:eastAsia="宋体"/>
                      <w:color w:val="000000" w:themeColor="text1"/>
                      <w:sz w:val="21"/>
                      <w:szCs w:val="21"/>
                      <w:lang w:val="en-US" w:eastAsia="zh-CN"/>
                      <w14:textFill>
                        <w14:solidFill>
                          <w14:schemeClr w14:val="tx1"/>
                        </w14:solidFill>
                      </w14:textFill>
                    </w:rPr>
                    <w:t>、</w:t>
                  </w:r>
                  <w:r>
                    <w:rPr>
                      <w:rFonts w:eastAsia="宋体"/>
                      <w:color w:val="000000" w:themeColor="text1"/>
                      <w:sz w:val="21"/>
                      <w:szCs w:val="21"/>
                      <w14:textFill>
                        <w14:solidFill>
                          <w14:schemeClr w14:val="tx1"/>
                        </w14:solidFill>
                      </w14:textFill>
                    </w:rPr>
                    <w:t>COD、NH</w:t>
                  </w:r>
                  <w:r>
                    <w:rPr>
                      <w:rFonts w:eastAsia="宋体"/>
                      <w:color w:val="000000" w:themeColor="text1"/>
                      <w:sz w:val="21"/>
                      <w:szCs w:val="21"/>
                      <w:vertAlign w:val="subscript"/>
                      <w14:textFill>
                        <w14:solidFill>
                          <w14:schemeClr w14:val="tx1"/>
                        </w14:solidFill>
                      </w14:textFill>
                    </w:rPr>
                    <w:t>3</w:t>
                  </w:r>
                  <w:r>
                    <w:rPr>
                      <w:rFonts w:eastAsia="宋体"/>
                      <w:color w:val="000000" w:themeColor="text1"/>
                      <w:sz w:val="21"/>
                      <w:szCs w:val="21"/>
                      <w14:textFill>
                        <w14:solidFill>
                          <w14:schemeClr w14:val="tx1"/>
                        </w14:solidFill>
                      </w14:textFill>
                    </w:rPr>
                    <w:t>-N、SS、BOD</w:t>
                  </w:r>
                  <w:r>
                    <w:rPr>
                      <w:rFonts w:eastAsia="宋体"/>
                      <w:color w:val="000000" w:themeColor="text1"/>
                      <w:sz w:val="21"/>
                      <w:szCs w:val="21"/>
                      <w:vertAlign w:val="subscript"/>
                      <w14:textFill>
                        <w14:solidFill>
                          <w14:schemeClr w14:val="tx1"/>
                        </w14:solidFill>
                      </w14:textFill>
                    </w:rPr>
                    <w:t>5</w:t>
                  </w:r>
                  <w:r>
                    <w:rPr>
                      <w:rFonts w:eastAsia="宋体"/>
                      <w:color w:val="000000" w:themeColor="text1"/>
                      <w:sz w:val="21"/>
                      <w:szCs w:val="21"/>
                      <w14:textFill>
                        <w14:solidFill>
                          <w14:schemeClr w14:val="tx1"/>
                        </w14:solidFill>
                      </w14:textFill>
                    </w:rPr>
                    <w:t>、</w:t>
                  </w:r>
                </w:p>
                <w:p>
                  <w:pPr>
                    <w:pageBreakBefore w:val="0"/>
                    <w:wordWrap w:val="0"/>
                    <w:bidi w:val="0"/>
                    <w:adjustRightInd w:val="0"/>
                    <w:snapToGrid w:val="0"/>
                    <w:spacing w:line="240" w:lineRule="auto"/>
                    <w:ind w:firstLine="0" w:firstLineChars="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动植物油</w:t>
                  </w:r>
                </w:p>
              </w:tc>
              <w:tc>
                <w:tcPr>
                  <w:tcW w:w="647" w:type="pct"/>
                  <w:vAlign w:val="center"/>
                </w:tcPr>
                <w:p>
                  <w:pPr>
                    <w:pageBreakBefore w:val="0"/>
                    <w:wordWrap w:val="0"/>
                    <w:bidi w:val="0"/>
                    <w:adjustRightInd w:val="0"/>
                    <w:snapToGrid w:val="0"/>
                    <w:spacing w:line="240" w:lineRule="auto"/>
                    <w:ind w:firstLine="0" w:firstLineChars="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DW001</w:t>
                  </w:r>
                </w:p>
              </w:tc>
              <w:tc>
                <w:tcPr>
                  <w:tcW w:w="689" w:type="pct"/>
                  <w:vAlign w:val="center"/>
                </w:tcPr>
                <w:p>
                  <w:pPr>
                    <w:pageBreakBefore w:val="0"/>
                    <w:wordWrap w:val="0"/>
                    <w:bidi w:val="0"/>
                    <w:adjustRightInd w:val="0"/>
                    <w:snapToGrid w:val="0"/>
                    <w:spacing w:line="240" w:lineRule="auto"/>
                    <w:ind w:firstLine="0" w:firstLineChars="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1次</w:t>
                  </w:r>
                  <w:r>
                    <w:rPr>
                      <w:rFonts w:hint="eastAsia" w:eastAsia="宋体"/>
                      <w:color w:val="000000" w:themeColor="text1"/>
                      <w:sz w:val="21"/>
                      <w:szCs w:val="21"/>
                      <w14:textFill>
                        <w14:solidFill>
                          <w14:schemeClr w14:val="tx1"/>
                        </w14:solidFill>
                      </w14:textFill>
                    </w:rPr>
                    <w:t>/年</w:t>
                  </w:r>
                </w:p>
              </w:tc>
              <w:tc>
                <w:tcPr>
                  <w:tcW w:w="1526" w:type="pct"/>
                  <w:vAlign w:val="center"/>
                </w:tcPr>
                <w:p>
                  <w:pPr>
                    <w:pageBreakBefore w:val="0"/>
                    <w:wordWrap w:val="0"/>
                    <w:bidi w:val="0"/>
                    <w:adjustRightInd w:val="0"/>
                    <w:snapToGrid w:val="0"/>
                    <w:spacing w:line="240" w:lineRule="auto"/>
                    <w:ind w:firstLine="0" w:firstLineChars="0"/>
                    <w:jc w:val="center"/>
                    <w:rPr>
                      <w:rFonts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lang w:val="en-US" w:eastAsia="zh-CN"/>
                      <w14:textFill>
                        <w14:solidFill>
                          <w14:schemeClr w14:val="tx1"/>
                        </w14:solidFill>
                      </w14:textFill>
                    </w:rPr>
                    <w:t>《农村生活污水处理排放标准》（DB65/4275―2019）表2中B级标准要求</w:t>
                  </w:r>
                </w:p>
              </w:tc>
            </w:tr>
          </w:tbl>
          <w:p>
            <w:pPr>
              <w:pageBreakBefore w:val="0"/>
              <w:wordWrap w:val="0"/>
              <w:bidi w:val="0"/>
              <w:ind w:left="0" w:leftChars="0" w:firstLine="0" w:firstLineChars="0"/>
              <w:rPr>
                <w:rFonts w:hint="default"/>
                <w:b/>
                <w:bCs/>
                <w:lang w:val="en-US" w:eastAsia="zh-CN"/>
              </w:rPr>
            </w:pPr>
            <w:r>
              <w:rPr>
                <w:rFonts w:hint="default"/>
                <w:b/>
                <w:bCs/>
                <w:lang w:val="en-US" w:eastAsia="zh-CN"/>
              </w:rPr>
              <w:t>3</w:t>
            </w:r>
            <w:r>
              <w:rPr>
                <w:rFonts w:hint="eastAsia"/>
                <w:b/>
                <w:bCs/>
                <w:lang w:val="en-US" w:eastAsia="zh-CN"/>
              </w:rPr>
              <w:t>.</w:t>
            </w:r>
            <w:r>
              <w:rPr>
                <w:rFonts w:hint="default"/>
                <w:b/>
                <w:bCs/>
                <w:lang w:val="en-US" w:eastAsia="zh-CN"/>
              </w:rPr>
              <w:t>声环境</w:t>
            </w:r>
          </w:p>
          <w:p>
            <w:pPr>
              <w:pageBreakBefore w:val="0"/>
              <w:wordWrap w:val="0"/>
              <w:bidi w:val="0"/>
              <w:ind w:left="0" w:leftChars="0" w:firstLine="482" w:firstLineChars="200"/>
              <w:rPr>
                <w:rFonts w:hint="default"/>
                <w:b/>
                <w:bCs/>
                <w:lang w:val="en-US" w:eastAsia="zh-CN"/>
              </w:rPr>
            </w:pPr>
            <w:r>
              <w:rPr>
                <w:rFonts w:hint="default"/>
                <w:b/>
                <w:bCs/>
                <w:lang w:val="en-US" w:eastAsia="zh-CN"/>
              </w:rPr>
              <w:t>3.1噪声源强</w:t>
            </w:r>
          </w:p>
          <w:p>
            <w:pPr>
              <w:keepNext w:val="0"/>
              <w:keepLines w:val="0"/>
              <w:pageBreakBefore w:val="0"/>
              <w:widowControl w:val="0"/>
              <w:kinsoku/>
              <w:wordWrap/>
              <w:overflowPunct/>
              <w:topLinePunct w:val="0"/>
              <w:autoSpaceDE w:val="0"/>
              <w:autoSpaceDN w:val="0"/>
              <w:bidi w:val="0"/>
              <w:adjustRightInd/>
              <w:snapToGrid/>
              <w:ind w:firstLine="420"/>
              <w:jc w:val="left"/>
              <w:textAlignment w:val="auto"/>
              <w:rPr>
                <w:rFonts w:hint="default" w:ascii="Times New Roman" w:hAnsi="Times New Roman" w:eastAsia="仿宋" w:cs="Times New Roman"/>
                <w:b/>
                <w:color w:val="auto"/>
                <w:kern w:val="0"/>
                <w:sz w:val="21"/>
                <w:szCs w:val="21"/>
                <w:highlight w:val="none"/>
              </w:rPr>
            </w:pPr>
            <w:r>
              <w:rPr>
                <w:rFonts w:hint="default" w:ascii="Times New Roman" w:hAnsi="Times New Roman" w:eastAsia="宋体"/>
                <w:lang w:val="en-US" w:eastAsia="zh-CN"/>
              </w:rPr>
              <w:t>根据本项目工程分析，本项目运营期噪声为开采作业噪声</w:t>
            </w:r>
            <w:r>
              <w:rPr>
                <w:rFonts w:hint="eastAsia"/>
                <w:lang w:val="en-US" w:eastAsia="zh-CN"/>
              </w:rPr>
              <w:t>、生产设备、</w:t>
            </w:r>
            <w:r>
              <w:rPr>
                <w:rFonts w:hint="default" w:ascii="Times New Roman" w:hAnsi="Times New Roman" w:eastAsia="宋体"/>
                <w:lang w:val="en-US" w:eastAsia="zh-CN"/>
              </w:rPr>
              <w:t>运输车辆等设备作业产生的噪声，噪声值在8</w:t>
            </w:r>
            <w:r>
              <w:rPr>
                <w:rFonts w:hint="eastAsia" w:ascii="Times New Roman" w:hAnsi="Times New Roman" w:eastAsia="宋体"/>
                <w:lang w:val="en-US" w:eastAsia="zh-CN"/>
              </w:rPr>
              <w:t>5</w:t>
            </w:r>
            <w:r>
              <w:rPr>
                <w:rFonts w:hint="default" w:ascii="Times New Roman" w:hAnsi="Times New Roman" w:eastAsia="宋体"/>
                <w:lang w:val="en-US" w:eastAsia="zh-CN"/>
              </w:rPr>
              <w:t>～90dB（A）之间，均为流动不稳定声源，具体见表4-</w:t>
            </w:r>
            <w:r>
              <w:rPr>
                <w:rFonts w:hint="eastAsia"/>
                <w:lang w:val="en-US" w:eastAsia="zh-CN"/>
              </w:rPr>
              <w:t>5</w:t>
            </w:r>
            <w:r>
              <w:rPr>
                <w:rFonts w:hint="default" w:ascii="Times New Roman" w:hAnsi="Times New Roman" w:eastAsia="仿宋" w:cs="Times New Roman"/>
                <w:color w:val="auto"/>
                <w:kern w:val="0"/>
                <w:sz w:val="24"/>
                <w:szCs w:val="24"/>
                <w:lang w:bidi="zh-CN"/>
              </w:rPr>
              <w:t>。</w:t>
            </w:r>
          </w:p>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表4-</w:t>
            </w:r>
            <w:r>
              <w:rPr>
                <w:rFonts w:hint="eastAsia" w:cs="Times New Roman"/>
                <w:b/>
                <w:color w:val="auto"/>
                <w:kern w:val="0"/>
                <w:sz w:val="21"/>
                <w:szCs w:val="21"/>
                <w:highlight w:val="none"/>
                <w:lang w:val="en-US" w:eastAsia="zh-CN"/>
              </w:rPr>
              <w:t>5</w:t>
            </w:r>
            <w:r>
              <w:rPr>
                <w:rFonts w:hint="eastAsia" w:ascii="Times New Roman" w:hAnsi="Times New Roman" w:eastAsia="宋体" w:cs="Times New Roman"/>
                <w:b/>
                <w:color w:val="auto"/>
                <w:kern w:val="0"/>
                <w:sz w:val="21"/>
                <w:szCs w:val="21"/>
                <w:highlight w:val="none"/>
                <w:lang w:val="en-US" w:eastAsia="zh-CN"/>
              </w:rPr>
              <w:t xml:space="preserve">  </w:t>
            </w:r>
            <w:r>
              <w:rPr>
                <w:rFonts w:hint="default" w:ascii="Times New Roman" w:hAnsi="Times New Roman" w:eastAsia="宋体" w:cs="Times New Roman"/>
                <w:b/>
                <w:color w:val="auto"/>
                <w:kern w:val="0"/>
                <w:sz w:val="21"/>
                <w:szCs w:val="21"/>
                <w:highlight w:val="none"/>
              </w:rPr>
              <w:t>运营期噪声值统计表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38"/>
              <w:gridCol w:w="1694"/>
              <w:gridCol w:w="1493"/>
              <w:gridCol w:w="2109"/>
              <w:gridCol w:w="154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3" w:type="pct"/>
                  <w:vAlign w:val="center"/>
                </w:tcPr>
                <w:p>
                  <w:pPr>
                    <w:pStyle w:val="4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1089" w:type="pct"/>
                  <w:vAlign w:val="center"/>
                </w:tcPr>
                <w:p>
                  <w:pPr>
                    <w:pStyle w:val="4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声源</w:t>
                  </w:r>
                </w:p>
              </w:tc>
              <w:tc>
                <w:tcPr>
                  <w:tcW w:w="960" w:type="pct"/>
                  <w:vAlign w:val="center"/>
                </w:tcPr>
                <w:p>
                  <w:pPr>
                    <w:pStyle w:val="4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噪声值</w:t>
                  </w:r>
                </w:p>
                <w:p>
                  <w:pPr>
                    <w:pStyle w:val="4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dB（A）</w:t>
                  </w:r>
                </w:p>
              </w:tc>
              <w:tc>
                <w:tcPr>
                  <w:tcW w:w="1356" w:type="pct"/>
                  <w:vAlign w:val="center"/>
                </w:tcPr>
                <w:p>
                  <w:pPr>
                    <w:pStyle w:val="4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噪声减缓措施</w:t>
                  </w:r>
                </w:p>
              </w:tc>
              <w:tc>
                <w:tcPr>
                  <w:tcW w:w="990" w:type="pct"/>
                  <w:vAlign w:val="center"/>
                </w:tcPr>
                <w:p>
                  <w:pPr>
                    <w:pStyle w:val="4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降噪后源强dB（A）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3" w:type="pct"/>
                  <w:vAlign w:val="center"/>
                </w:tcPr>
                <w:p>
                  <w:pPr>
                    <w:pStyle w:val="29"/>
                    <w:keepNext w:val="0"/>
                    <w:keepLines w:val="0"/>
                    <w:pageBreakBefore w:val="0"/>
                    <w:widowControl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1</w:t>
                  </w:r>
                </w:p>
              </w:tc>
              <w:tc>
                <w:tcPr>
                  <w:tcW w:w="108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color w:val="auto"/>
                      <w:sz w:val="21"/>
                      <w:szCs w:val="21"/>
                      <w:highlight w:val="none"/>
                      <w:lang w:val="zh-CN" w:bidi="zh-CN"/>
                    </w:rPr>
                  </w:pPr>
                  <w:r>
                    <w:rPr>
                      <w:rFonts w:hint="default" w:ascii="Times New Roman" w:hAnsi="Times New Roman" w:eastAsia="宋体" w:cs="Times New Roman"/>
                      <w:color w:val="auto"/>
                      <w:kern w:val="144"/>
                      <w:sz w:val="21"/>
                      <w:szCs w:val="21"/>
                    </w:rPr>
                    <w:t>挖掘机</w:t>
                  </w:r>
                </w:p>
              </w:tc>
              <w:tc>
                <w:tcPr>
                  <w:tcW w:w="960" w:type="pct"/>
                  <w:vAlign w:val="center"/>
                </w:tcPr>
                <w:p>
                  <w:pPr>
                    <w:pStyle w:val="4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85</w:t>
                  </w:r>
                </w:p>
              </w:tc>
              <w:tc>
                <w:tcPr>
                  <w:tcW w:w="1356" w:type="pct"/>
                  <w:vMerge w:val="restart"/>
                  <w:vAlign w:val="center"/>
                </w:tcPr>
                <w:p>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选用低噪机械设备，定期进行维护保养</w:t>
                  </w:r>
                  <w:r>
                    <w:rPr>
                      <w:rFonts w:hint="eastAsia" w:ascii="Times New Roman" w:hAnsi="Times New Roman" w:eastAsia="宋体" w:cs="Times New Roman"/>
                      <w:color w:val="auto"/>
                      <w:sz w:val="21"/>
                      <w:szCs w:val="21"/>
                      <w:highlight w:val="none"/>
                      <w:lang w:eastAsia="zh-CN"/>
                    </w:rPr>
                    <w:t>、基础减震等</w:t>
                  </w:r>
                </w:p>
              </w:tc>
              <w:tc>
                <w:tcPr>
                  <w:tcW w:w="990" w:type="pct"/>
                  <w:vAlign w:val="center"/>
                </w:tcPr>
                <w:p>
                  <w:pPr>
                    <w:pStyle w:val="4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3" w:type="pct"/>
                  <w:vAlign w:val="center"/>
                </w:tcPr>
                <w:p>
                  <w:pPr>
                    <w:pStyle w:val="29"/>
                    <w:keepNext w:val="0"/>
                    <w:keepLines w:val="0"/>
                    <w:pageBreakBefore w:val="0"/>
                    <w:widowControl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2</w:t>
                  </w:r>
                </w:p>
              </w:tc>
              <w:tc>
                <w:tcPr>
                  <w:tcW w:w="108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color w:val="auto"/>
                      <w:sz w:val="21"/>
                      <w:szCs w:val="21"/>
                      <w:highlight w:val="none"/>
                      <w:lang w:val="zh-CN" w:bidi="zh-CN"/>
                    </w:rPr>
                  </w:pPr>
                  <w:r>
                    <w:rPr>
                      <w:rFonts w:hint="default" w:ascii="Times New Roman" w:hAnsi="Times New Roman" w:eastAsia="宋体" w:cs="Times New Roman"/>
                      <w:color w:val="auto"/>
                      <w:kern w:val="144"/>
                      <w:sz w:val="21"/>
                      <w:szCs w:val="21"/>
                    </w:rPr>
                    <w:t>轮胎式装载机</w:t>
                  </w:r>
                </w:p>
              </w:tc>
              <w:tc>
                <w:tcPr>
                  <w:tcW w:w="960" w:type="pct"/>
                  <w:vAlign w:val="center"/>
                </w:tcPr>
                <w:p>
                  <w:pPr>
                    <w:pStyle w:val="4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85</w:t>
                  </w:r>
                </w:p>
              </w:tc>
              <w:tc>
                <w:tcPr>
                  <w:tcW w:w="1356" w:type="pct"/>
                  <w:vMerge w:val="continue"/>
                  <w:vAlign w:val="center"/>
                </w:tcPr>
                <w:p>
                  <w:pPr>
                    <w:pStyle w:val="4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990" w:type="pct"/>
                  <w:vAlign w:val="center"/>
                </w:tcPr>
                <w:p>
                  <w:pPr>
                    <w:pStyle w:val="4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3" w:type="pct"/>
                  <w:vAlign w:val="center"/>
                </w:tcPr>
                <w:p>
                  <w:pPr>
                    <w:pStyle w:val="29"/>
                    <w:keepNext w:val="0"/>
                    <w:keepLines w:val="0"/>
                    <w:pageBreakBefore w:val="0"/>
                    <w:widowControl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3</w:t>
                  </w:r>
                </w:p>
              </w:tc>
              <w:tc>
                <w:tcPr>
                  <w:tcW w:w="108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color w:val="auto"/>
                      <w:sz w:val="21"/>
                      <w:szCs w:val="21"/>
                      <w:highlight w:val="none"/>
                      <w:lang w:val="zh-CN" w:bidi="zh-CN"/>
                    </w:rPr>
                  </w:pPr>
                  <w:r>
                    <w:rPr>
                      <w:rFonts w:hint="eastAsia" w:ascii="Times New Roman" w:hAnsi="Times New Roman" w:eastAsia="宋体" w:cs="Times New Roman"/>
                      <w:color w:val="auto"/>
                      <w:kern w:val="144"/>
                      <w:sz w:val="21"/>
                      <w:szCs w:val="21"/>
                      <w:lang w:eastAsia="zh-CN"/>
                    </w:rPr>
                    <w:t>装载机</w:t>
                  </w:r>
                </w:p>
              </w:tc>
              <w:tc>
                <w:tcPr>
                  <w:tcW w:w="960" w:type="pct"/>
                  <w:vAlign w:val="center"/>
                </w:tcPr>
                <w:p>
                  <w:pPr>
                    <w:pStyle w:val="4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90</w:t>
                  </w:r>
                </w:p>
              </w:tc>
              <w:tc>
                <w:tcPr>
                  <w:tcW w:w="1356" w:type="pct"/>
                  <w:vMerge w:val="continue"/>
                  <w:vAlign w:val="center"/>
                </w:tcPr>
                <w:p>
                  <w:pPr>
                    <w:pStyle w:val="4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990" w:type="pct"/>
                  <w:vAlign w:val="center"/>
                </w:tcPr>
                <w:p>
                  <w:pPr>
                    <w:pStyle w:val="4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3" w:type="pct"/>
                  <w:vAlign w:val="center"/>
                </w:tcPr>
                <w:p>
                  <w:pPr>
                    <w:pStyle w:val="29"/>
                    <w:keepNext w:val="0"/>
                    <w:keepLines w:val="0"/>
                    <w:pageBreakBefore w:val="0"/>
                    <w:widowControl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b w:val="0"/>
                      <w:color w:val="auto"/>
                      <w:kern w:val="0"/>
                      <w:sz w:val="21"/>
                      <w:szCs w:val="21"/>
                      <w:highlight w:val="none"/>
                      <w:lang w:val="en-US" w:eastAsia="zh-CN" w:bidi="ar-SA"/>
                    </w:rPr>
                  </w:pPr>
                  <w:r>
                    <w:rPr>
                      <w:rFonts w:hint="default" w:ascii="Times New Roman" w:hAnsi="Times New Roman" w:eastAsia="宋体" w:cs="Times New Roman"/>
                      <w:b w:val="0"/>
                      <w:color w:val="auto"/>
                      <w:sz w:val="21"/>
                      <w:szCs w:val="21"/>
                      <w:highlight w:val="none"/>
                    </w:rPr>
                    <w:t>4</w:t>
                  </w:r>
                </w:p>
              </w:tc>
              <w:tc>
                <w:tcPr>
                  <w:tcW w:w="108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color w:val="auto"/>
                      <w:sz w:val="21"/>
                      <w:szCs w:val="21"/>
                      <w:highlight w:val="none"/>
                      <w:lang w:val="en-US" w:bidi="zh-CN"/>
                    </w:rPr>
                  </w:pPr>
                  <w:r>
                    <w:rPr>
                      <w:rFonts w:hint="eastAsia" w:ascii="Times New Roman" w:hAnsi="Times New Roman" w:eastAsia="宋体" w:cs="Times New Roman"/>
                      <w:color w:val="auto"/>
                      <w:kern w:val="144"/>
                      <w:sz w:val="21"/>
                      <w:szCs w:val="21"/>
                      <w:lang w:eastAsia="zh-CN"/>
                    </w:rPr>
                    <w:t>倒料车</w:t>
                  </w:r>
                </w:p>
              </w:tc>
              <w:tc>
                <w:tcPr>
                  <w:tcW w:w="960" w:type="pct"/>
                  <w:vAlign w:val="center"/>
                </w:tcPr>
                <w:p>
                  <w:pPr>
                    <w:pStyle w:val="4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85</w:t>
                  </w:r>
                </w:p>
              </w:tc>
              <w:tc>
                <w:tcPr>
                  <w:tcW w:w="1356" w:type="pct"/>
                  <w:vMerge w:val="continue"/>
                  <w:vAlign w:val="center"/>
                </w:tcPr>
                <w:p>
                  <w:pPr>
                    <w:keepNext w:val="0"/>
                    <w:keepLines w:val="0"/>
                    <w:pageBreakBefore w:val="0"/>
                    <w:widowControl w:val="0"/>
                    <w:kinsoku/>
                    <w:wordWrap/>
                    <w:overflowPunct/>
                    <w:topLinePunct w:val="0"/>
                    <w:bidi w:val="0"/>
                    <w:adjustRightInd/>
                    <w:snapToGrid/>
                    <w:spacing w:line="240" w:lineRule="auto"/>
                    <w:ind w:firstLine="420" w:firstLineChars="200"/>
                    <w:jc w:val="center"/>
                    <w:textAlignment w:val="auto"/>
                    <w:rPr>
                      <w:rFonts w:hint="default" w:ascii="Times New Roman" w:hAnsi="Times New Roman" w:eastAsia="宋体" w:cs="Times New Roman"/>
                      <w:color w:val="auto"/>
                      <w:sz w:val="21"/>
                      <w:szCs w:val="21"/>
                      <w:highlight w:val="none"/>
                      <w:lang w:val="en-US" w:eastAsia="zh-CN"/>
                    </w:rPr>
                  </w:pPr>
                </w:p>
              </w:tc>
              <w:tc>
                <w:tcPr>
                  <w:tcW w:w="99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3" w:type="pct"/>
                  <w:vAlign w:val="center"/>
                </w:tcPr>
                <w:p>
                  <w:pPr>
                    <w:pStyle w:val="29"/>
                    <w:keepNext w:val="0"/>
                    <w:keepLines w:val="0"/>
                    <w:pageBreakBefore w:val="0"/>
                    <w:widowControl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b w:val="0"/>
                      <w:color w:val="auto"/>
                      <w:kern w:val="0"/>
                      <w:sz w:val="21"/>
                      <w:szCs w:val="21"/>
                      <w:highlight w:val="none"/>
                      <w:lang w:val="en-US" w:eastAsia="zh-CN" w:bidi="ar-SA"/>
                    </w:rPr>
                  </w:pPr>
                  <w:r>
                    <w:rPr>
                      <w:rFonts w:hint="default" w:ascii="Times New Roman" w:hAnsi="Times New Roman" w:eastAsia="宋体" w:cs="Times New Roman"/>
                      <w:b w:val="0"/>
                      <w:color w:val="auto"/>
                      <w:sz w:val="21"/>
                      <w:szCs w:val="21"/>
                      <w:highlight w:val="none"/>
                    </w:rPr>
                    <w:t>5</w:t>
                  </w:r>
                </w:p>
              </w:tc>
              <w:tc>
                <w:tcPr>
                  <w:tcW w:w="108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color w:val="auto"/>
                      <w:sz w:val="21"/>
                      <w:szCs w:val="21"/>
                      <w:highlight w:val="none"/>
                      <w:lang w:val="en-US" w:bidi="zh-CN"/>
                    </w:rPr>
                  </w:pPr>
                  <w:r>
                    <w:rPr>
                      <w:rFonts w:hint="eastAsia" w:ascii="Times New Roman" w:hAnsi="Times New Roman" w:eastAsia="宋体" w:cs="Times New Roman"/>
                      <w:sz w:val="21"/>
                      <w:szCs w:val="21"/>
                      <w:vertAlign w:val="baseline"/>
                      <w:lang w:val="en-US" w:eastAsia="zh-CN"/>
                    </w:rPr>
                    <w:t>搅笼洗沙机</w:t>
                  </w:r>
                </w:p>
              </w:tc>
              <w:tc>
                <w:tcPr>
                  <w:tcW w:w="960" w:type="pct"/>
                  <w:vAlign w:val="center"/>
                </w:tcPr>
                <w:p>
                  <w:pPr>
                    <w:pStyle w:val="4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85</w:t>
                  </w:r>
                </w:p>
              </w:tc>
              <w:tc>
                <w:tcPr>
                  <w:tcW w:w="1356" w:type="pct"/>
                  <w:vMerge w:val="continue"/>
                  <w:vAlign w:val="center"/>
                </w:tcPr>
                <w:p>
                  <w:pPr>
                    <w:keepNext w:val="0"/>
                    <w:keepLines w:val="0"/>
                    <w:pageBreakBefore w:val="0"/>
                    <w:widowControl w:val="0"/>
                    <w:kinsoku/>
                    <w:wordWrap/>
                    <w:overflowPunct/>
                    <w:topLinePunct w:val="0"/>
                    <w:bidi w:val="0"/>
                    <w:adjustRightInd/>
                    <w:snapToGrid/>
                    <w:spacing w:line="240" w:lineRule="auto"/>
                    <w:ind w:firstLine="420" w:firstLineChars="200"/>
                    <w:jc w:val="center"/>
                    <w:textAlignment w:val="auto"/>
                    <w:rPr>
                      <w:rFonts w:hint="default" w:ascii="Times New Roman" w:hAnsi="Times New Roman" w:eastAsia="宋体" w:cs="Times New Roman"/>
                      <w:color w:val="auto"/>
                      <w:sz w:val="21"/>
                      <w:szCs w:val="21"/>
                      <w:highlight w:val="none"/>
                    </w:rPr>
                  </w:pPr>
                </w:p>
              </w:tc>
              <w:tc>
                <w:tcPr>
                  <w:tcW w:w="99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3" w:type="pct"/>
                  <w:vAlign w:val="center"/>
                </w:tcPr>
                <w:p>
                  <w:pPr>
                    <w:pStyle w:val="29"/>
                    <w:keepNext w:val="0"/>
                    <w:keepLines w:val="0"/>
                    <w:pageBreakBefore w:val="0"/>
                    <w:widowControl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b w:val="0"/>
                      <w:color w:val="auto"/>
                      <w:sz w:val="21"/>
                      <w:szCs w:val="21"/>
                      <w:highlight w:val="none"/>
                      <w:lang w:val="en-US" w:eastAsia="zh-CN"/>
                    </w:rPr>
                  </w:pPr>
                  <w:r>
                    <w:rPr>
                      <w:rFonts w:hint="default" w:ascii="Times New Roman" w:hAnsi="Times New Roman" w:eastAsia="宋体" w:cs="Times New Roman"/>
                      <w:b w:val="0"/>
                      <w:color w:val="auto"/>
                      <w:sz w:val="21"/>
                      <w:szCs w:val="21"/>
                      <w:highlight w:val="none"/>
                      <w:lang w:val="en-US" w:eastAsia="zh-CN"/>
                    </w:rPr>
                    <w:t>6</w:t>
                  </w:r>
                </w:p>
              </w:tc>
              <w:tc>
                <w:tcPr>
                  <w:tcW w:w="108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color w:val="auto"/>
                      <w:sz w:val="21"/>
                      <w:szCs w:val="21"/>
                      <w:highlight w:val="none"/>
                      <w:lang w:val="zh-CN" w:bidi="zh-CN"/>
                    </w:rPr>
                  </w:pPr>
                  <w:r>
                    <w:rPr>
                      <w:rFonts w:hint="eastAsia" w:ascii="Times New Roman" w:hAnsi="Times New Roman" w:eastAsia="宋体" w:cs="Times New Roman"/>
                      <w:sz w:val="21"/>
                      <w:szCs w:val="21"/>
                      <w:vertAlign w:val="baseline"/>
                      <w:lang w:val="en-US" w:eastAsia="zh-CN"/>
                    </w:rPr>
                    <w:t>输送带</w:t>
                  </w:r>
                </w:p>
              </w:tc>
              <w:tc>
                <w:tcPr>
                  <w:tcW w:w="960" w:type="pct"/>
                  <w:vAlign w:val="center"/>
                </w:tcPr>
                <w:p>
                  <w:pPr>
                    <w:pStyle w:val="4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90</w:t>
                  </w:r>
                </w:p>
              </w:tc>
              <w:tc>
                <w:tcPr>
                  <w:tcW w:w="1356" w:type="pct"/>
                  <w:vMerge w:val="continue"/>
                  <w:vAlign w:val="center"/>
                </w:tcPr>
                <w:p>
                  <w:pPr>
                    <w:pStyle w:val="4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990" w:type="pct"/>
                  <w:vAlign w:val="center"/>
                </w:tcPr>
                <w:p>
                  <w:pPr>
                    <w:pStyle w:val="4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3" w:type="pct"/>
                  <w:vAlign w:val="center"/>
                </w:tcPr>
                <w:p>
                  <w:pPr>
                    <w:pStyle w:val="29"/>
                    <w:keepNext w:val="0"/>
                    <w:keepLines w:val="0"/>
                    <w:pageBreakBefore w:val="0"/>
                    <w:widowControl w:val="0"/>
                    <w:kinsoku/>
                    <w:wordWrap/>
                    <w:overflowPunct/>
                    <w:topLinePunct w:val="0"/>
                    <w:bidi w:val="0"/>
                    <w:snapToGrid/>
                    <w:spacing w:line="240" w:lineRule="auto"/>
                    <w:ind w:firstLine="0" w:firstLineChars="0"/>
                    <w:textAlignment w:val="auto"/>
                    <w:rPr>
                      <w:rFonts w:hint="default" w:ascii="Times New Roman" w:hAnsi="Times New Roman" w:eastAsia="宋体" w:cs="Times New Roman"/>
                      <w:b w:val="0"/>
                      <w:color w:val="auto"/>
                      <w:sz w:val="21"/>
                      <w:szCs w:val="21"/>
                      <w:highlight w:val="none"/>
                      <w:lang w:val="en-US" w:eastAsia="zh-CN"/>
                    </w:rPr>
                  </w:pPr>
                  <w:r>
                    <w:rPr>
                      <w:rFonts w:hint="default" w:ascii="Times New Roman" w:hAnsi="Times New Roman" w:eastAsia="宋体" w:cs="Times New Roman"/>
                      <w:b w:val="0"/>
                      <w:color w:val="auto"/>
                      <w:sz w:val="21"/>
                      <w:szCs w:val="21"/>
                      <w:highlight w:val="none"/>
                      <w:lang w:val="en-US" w:eastAsia="zh-CN"/>
                    </w:rPr>
                    <w:t>7</w:t>
                  </w:r>
                </w:p>
              </w:tc>
              <w:tc>
                <w:tcPr>
                  <w:tcW w:w="108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color w:val="auto"/>
                      <w:sz w:val="21"/>
                      <w:szCs w:val="21"/>
                      <w:highlight w:val="none"/>
                      <w:lang w:val="zh-CN" w:bidi="zh-CN"/>
                    </w:rPr>
                  </w:pPr>
                  <w:r>
                    <w:rPr>
                      <w:rFonts w:hint="eastAsia" w:ascii="Times New Roman" w:hAnsi="Times New Roman" w:eastAsia="宋体" w:cs="Times New Roman"/>
                      <w:sz w:val="21"/>
                      <w:szCs w:val="21"/>
                      <w:vertAlign w:val="baseline"/>
                      <w:lang w:val="en-US" w:eastAsia="zh-CN"/>
                    </w:rPr>
                    <w:t>筛沙机</w:t>
                  </w:r>
                </w:p>
              </w:tc>
              <w:tc>
                <w:tcPr>
                  <w:tcW w:w="960" w:type="pct"/>
                  <w:vAlign w:val="center"/>
                </w:tcPr>
                <w:p>
                  <w:pPr>
                    <w:pStyle w:val="4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85</w:t>
                  </w:r>
                </w:p>
              </w:tc>
              <w:tc>
                <w:tcPr>
                  <w:tcW w:w="1356" w:type="pct"/>
                  <w:vMerge w:val="continue"/>
                  <w:vAlign w:val="center"/>
                </w:tcPr>
                <w:p>
                  <w:pPr>
                    <w:pStyle w:val="4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990" w:type="pct"/>
                  <w:vAlign w:val="center"/>
                </w:tcPr>
                <w:p>
                  <w:pPr>
                    <w:pStyle w:val="4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60</w:t>
                  </w:r>
                </w:p>
              </w:tc>
            </w:tr>
          </w:tbl>
          <w:p>
            <w:pPr>
              <w:pageBreakBefore w:val="0"/>
              <w:wordWrap w:val="0"/>
              <w:bidi w:val="0"/>
              <w:rPr>
                <w:rFonts w:hint="default"/>
                <w:lang w:val="en-US" w:eastAsia="zh-CN"/>
              </w:rPr>
            </w:pPr>
            <w:r>
              <w:rPr>
                <w:rFonts w:hint="default"/>
                <w:b/>
                <w:bCs/>
                <w:lang w:val="en-US" w:eastAsia="zh-CN"/>
              </w:rPr>
              <w:t>3.</w:t>
            </w:r>
            <w:r>
              <w:rPr>
                <w:rFonts w:hint="eastAsia"/>
                <w:b/>
                <w:bCs/>
                <w:lang w:val="en-US" w:eastAsia="zh-CN"/>
              </w:rPr>
              <w:t>2</w:t>
            </w:r>
            <w:r>
              <w:rPr>
                <w:rFonts w:hint="default"/>
                <w:b/>
                <w:bCs/>
                <w:lang w:val="en-US" w:eastAsia="zh-CN"/>
              </w:rPr>
              <w:t>噪声源强预测</w:t>
            </w:r>
          </w:p>
          <w:p>
            <w:pPr>
              <w:pageBreakBefore w:val="0"/>
              <w:wordWrap w:val="0"/>
              <w:bidi w:val="0"/>
              <w:rPr>
                <w:rFonts w:hint="default"/>
                <w:lang w:val="en-US" w:eastAsia="zh-CN"/>
              </w:rPr>
            </w:pPr>
            <w:r>
              <w:rPr>
                <w:rFonts w:hint="default"/>
                <w:lang w:val="en-US" w:eastAsia="zh-CN"/>
              </w:rPr>
              <w:t xml:space="preserve">根据《环境影响评价技术导则 声环境》（HJ 2.4-2021），噪声影响采用点声源模式进行预测。 </w:t>
            </w:r>
          </w:p>
          <w:p>
            <w:pPr>
              <w:pageBreakBefore w:val="0"/>
              <w:wordWrap w:val="0"/>
              <w:bidi w:val="0"/>
              <w:rPr>
                <w:rFonts w:hint="default"/>
                <w:lang w:val="en-US" w:eastAsia="zh-CN"/>
              </w:rPr>
            </w:pPr>
            <w:r>
              <w:rPr>
                <w:rFonts w:hint="default"/>
                <w:lang w:val="en-US" w:eastAsia="zh-CN"/>
              </w:rPr>
              <w:t xml:space="preserve">①预测模式： </w:t>
            </w:r>
          </w:p>
          <w:p>
            <w:pPr>
              <w:pageBreakBefore w:val="0"/>
              <w:wordWrap w:val="0"/>
              <w:bidi w:val="0"/>
              <w:jc w:val="center"/>
              <w:rPr>
                <w:rFonts w:hint="default"/>
                <w:lang w:val="en-US" w:eastAsia="zh-CN"/>
              </w:rPr>
            </w:pPr>
            <w:r>
              <w:rPr>
                <w:rFonts w:hint="default"/>
                <w:lang w:val="en-US" w:eastAsia="zh-CN"/>
              </w:rPr>
              <w:t>LA(r)=LA(ro)-20lg(r/ro)-△L</w:t>
            </w:r>
          </w:p>
          <w:p>
            <w:pPr>
              <w:pageBreakBefore w:val="0"/>
              <w:wordWrap w:val="0"/>
              <w:bidi w:val="0"/>
              <w:rPr>
                <w:rFonts w:hint="default"/>
                <w:lang w:val="en-US" w:eastAsia="zh-CN"/>
              </w:rPr>
            </w:pPr>
            <w:r>
              <w:rPr>
                <w:rFonts w:hint="default"/>
                <w:lang w:val="en-US" w:eastAsia="zh-CN"/>
              </w:rPr>
              <w:t xml:space="preserve">式中：LA(r)—点声源在预测点产生的 A 声级，dB； </w:t>
            </w:r>
          </w:p>
          <w:p>
            <w:pPr>
              <w:pageBreakBefore w:val="0"/>
              <w:wordWrap w:val="0"/>
              <w:bidi w:val="0"/>
              <w:rPr>
                <w:rFonts w:hint="default"/>
                <w:lang w:val="en-US" w:eastAsia="zh-CN"/>
              </w:rPr>
            </w:pPr>
            <w:r>
              <w:rPr>
                <w:rFonts w:hint="default"/>
                <w:lang w:val="en-US" w:eastAsia="zh-CN"/>
              </w:rPr>
              <w:t xml:space="preserve">LA(ro)—参考位置ro处的A声级，dB； </w:t>
            </w:r>
          </w:p>
          <w:p>
            <w:pPr>
              <w:pageBreakBefore w:val="0"/>
              <w:wordWrap w:val="0"/>
              <w:bidi w:val="0"/>
              <w:rPr>
                <w:rFonts w:hint="default"/>
                <w:lang w:val="en-US" w:eastAsia="zh-CN"/>
              </w:rPr>
            </w:pPr>
            <w:r>
              <w:rPr>
                <w:rFonts w:hint="default"/>
                <w:lang w:val="en-US" w:eastAsia="zh-CN"/>
              </w:rPr>
              <w:t xml:space="preserve">r—预测点距声源的距离，dB； </w:t>
            </w:r>
          </w:p>
          <w:p>
            <w:pPr>
              <w:pageBreakBefore w:val="0"/>
              <w:wordWrap w:val="0"/>
              <w:bidi w:val="0"/>
              <w:rPr>
                <w:rFonts w:hint="default"/>
                <w:lang w:val="en-US" w:eastAsia="zh-CN"/>
              </w:rPr>
            </w:pPr>
            <w:r>
              <w:rPr>
                <w:rFonts w:hint="default"/>
                <w:lang w:val="en-US" w:eastAsia="zh-CN"/>
              </w:rPr>
              <w:t xml:space="preserve">ro—参考基准点距声源的距离，1m； </w:t>
            </w:r>
          </w:p>
          <w:p>
            <w:pPr>
              <w:pageBreakBefore w:val="0"/>
              <w:wordWrap w:val="0"/>
              <w:bidi w:val="0"/>
              <w:rPr>
                <w:rFonts w:hint="default"/>
                <w:lang w:val="en-US" w:eastAsia="zh-CN"/>
              </w:rPr>
            </w:pPr>
            <w:r>
              <w:rPr>
                <w:rFonts w:hint="default"/>
                <w:lang w:val="en-US" w:eastAsia="zh-CN"/>
              </w:rPr>
              <w:t xml:space="preserve">△L—各种因素引起的衰减量（包括声屏障、遮挡物、地面效应引起的衰减量）。 </w:t>
            </w:r>
          </w:p>
          <w:p>
            <w:pPr>
              <w:pageBreakBefore w:val="0"/>
              <w:wordWrap w:val="0"/>
              <w:bidi w:val="0"/>
              <w:rPr>
                <w:rFonts w:hint="default"/>
                <w:lang w:val="en-US" w:eastAsia="zh-CN"/>
              </w:rPr>
            </w:pPr>
            <w:r>
              <w:rPr>
                <w:rFonts w:hint="default"/>
                <w:lang w:val="en-US" w:eastAsia="zh-CN"/>
              </w:rPr>
              <w:t xml:space="preserve">②对多声源进行叠加，模式如下： </w:t>
            </w:r>
          </w:p>
          <w:p>
            <w:pPr>
              <w:pageBreakBefore w:val="0"/>
              <w:wordWrap w:val="0"/>
              <w:bidi w:val="0"/>
              <w:rPr>
                <w:rFonts w:hint="default"/>
                <w:lang w:val="en-US" w:eastAsia="zh-CN"/>
              </w:rPr>
            </w:pPr>
            <w:r>
              <w:rPr>
                <w:rFonts w:hint="default"/>
                <w:lang w:val="en-US" w:eastAsia="zh-CN"/>
              </w:rPr>
              <w:drawing>
                <wp:anchor distT="0" distB="0" distL="114300" distR="114300" simplePos="0" relativeHeight="251661312" behindDoc="0" locked="0" layoutInCell="1" allowOverlap="1">
                  <wp:simplePos x="0" y="0"/>
                  <wp:positionH relativeFrom="column">
                    <wp:posOffset>752475</wp:posOffset>
                  </wp:positionH>
                  <wp:positionV relativeFrom="paragraph">
                    <wp:posOffset>9525</wp:posOffset>
                  </wp:positionV>
                  <wp:extent cx="3454400" cy="609600"/>
                  <wp:effectExtent l="0" t="0" r="5080" b="0"/>
                  <wp:wrapTopAndBottom/>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pic:cNvPicPr>
                        </pic:nvPicPr>
                        <pic:blipFill>
                          <a:blip r:embed="rId14"/>
                          <a:stretch>
                            <a:fillRect/>
                          </a:stretch>
                        </pic:blipFill>
                        <pic:spPr>
                          <a:xfrm>
                            <a:off x="0" y="0"/>
                            <a:ext cx="3454400" cy="609600"/>
                          </a:xfrm>
                          <a:prstGeom prst="rect">
                            <a:avLst/>
                          </a:prstGeom>
                          <a:noFill/>
                          <a:ln>
                            <a:noFill/>
                          </a:ln>
                        </pic:spPr>
                      </pic:pic>
                    </a:graphicData>
                  </a:graphic>
                </wp:anchor>
              </w:drawing>
            </w:r>
            <w:r>
              <w:rPr>
                <w:rFonts w:hint="default"/>
                <w:lang w:val="en-US" w:eastAsia="zh-CN"/>
              </w:rPr>
              <w:t xml:space="preserve">式中：Leq—预测点等效声级，dB；Lpi—第i个点声源的声压级，dB；ti—第i个点声源的作用时间，S； </w:t>
            </w:r>
          </w:p>
          <w:p>
            <w:pPr>
              <w:pageBreakBefore w:val="0"/>
              <w:wordWrap w:val="0"/>
              <w:bidi w:val="0"/>
              <w:rPr>
                <w:rFonts w:hint="default"/>
                <w:lang w:val="en-US" w:eastAsia="zh-CN"/>
              </w:rPr>
            </w:pPr>
            <w:r>
              <w:rPr>
                <w:rFonts w:hint="default"/>
                <w:lang w:val="en-US" w:eastAsia="zh-CN"/>
              </w:rPr>
              <w:t xml:space="preserve">L0—预测点处背景噪声，dB； </w:t>
            </w:r>
          </w:p>
          <w:p>
            <w:pPr>
              <w:pageBreakBefore w:val="0"/>
              <w:wordWrap w:val="0"/>
              <w:bidi w:val="0"/>
              <w:rPr>
                <w:rFonts w:hint="default"/>
                <w:lang w:val="en-US" w:eastAsia="zh-CN"/>
              </w:rPr>
            </w:pPr>
            <w:r>
              <w:rPr>
                <w:rFonts w:hint="default"/>
                <w:lang w:val="en-US" w:eastAsia="zh-CN"/>
              </w:rPr>
              <w:t xml:space="preserve">T—昼间或夜间评价时间。 </w:t>
            </w:r>
          </w:p>
          <w:p>
            <w:pPr>
              <w:pageBreakBefore w:val="0"/>
              <w:wordWrap w:val="0"/>
              <w:bidi w:val="0"/>
              <w:rPr>
                <w:rFonts w:hint="default"/>
                <w:lang w:val="en-US" w:eastAsia="zh-CN"/>
              </w:rPr>
            </w:pPr>
            <w:r>
              <w:rPr>
                <w:rFonts w:hint="default"/>
                <w:lang w:val="en-US" w:eastAsia="zh-CN"/>
              </w:rPr>
              <w:t xml:space="preserve">③预测点的预测等效声级(Leq)计算公式 </w:t>
            </w:r>
          </w:p>
          <w:p>
            <w:pPr>
              <w:pageBreakBefore w:val="0"/>
              <w:wordWrap w:val="0"/>
              <w:bidi w:val="0"/>
              <w:rPr>
                <w:rFonts w:hint="default"/>
                <w:lang w:val="en-US" w:eastAsia="zh-CN"/>
              </w:rPr>
            </w:pPr>
            <w:r>
              <w:rPr>
                <w:rFonts w:hint="default"/>
                <w:lang w:val="en-US" w:eastAsia="zh-CN"/>
              </w:rPr>
              <w:drawing>
                <wp:anchor distT="0" distB="0" distL="114300" distR="114300" simplePos="0" relativeHeight="251662336" behindDoc="0" locked="0" layoutInCell="1" allowOverlap="1">
                  <wp:simplePos x="0" y="0"/>
                  <wp:positionH relativeFrom="column">
                    <wp:posOffset>1085850</wp:posOffset>
                  </wp:positionH>
                  <wp:positionV relativeFrom="paragraph">
                    <wp:posOffset>28575</wp:posOffset>
                  </wp:positionV>
                  <wp:extent cx="2178050" cy="514350"/>
                  <wp:effectExtent l="0" t="0" r="1270" b="3810"/>
                  <wp:wrapTopAndBottom/>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pic:cNvPicPr>
                            <a:picLocks noChangeAspect="1"/>
                          </pic:cNvPicPr>
                        </pic:nvPicPr>
                        <pic:blipFill>
                          <a:blip r:embed="rId15"/>
                          <a:stretch>
                            <a:fillRect/>
                          </a:stretch>
                        </pic:blipFill>
                        <pic:spPr>
                          <a:xfrm>
                            <a:off x="0" y="0"/>
                            <a:ext cx="2178050" cy="514350"/>
                          </a:xfrm>
                          <a:prstGeom prst="rect">
                            <a:avLst/>
                          </a:prstGeom>
                          <a:noFill/>
                          <a:ln>
                            <a:noFill/>
                          </a:ln>
                        </pic:spPr>
                      </pic:pic>
                    </a:graphicData>
                  </a:graphic>
                </wp:anchor>
              </w:drawing>
            </w:r>
            <w:r>
              <w:rPr>
                <w:rFonts w:hint="default"/>
                <w:lang w:val="en-US" w:eastAsia="zh-CN"/>
              </w:rPr>
              <w:t xml:space="preserve">式中：Leqg—建设项目声源在预测点的等效声级贡献值，dB（A）； </w:t>
            </w:r>
          </w:p>
          <w:p>
            <w:pPr>
              <w:pageBreakBefore w:val="0"/>
              <w:wordWrap w:val="0"/>
              <w:bidi w:val="0"/>
              <w:rPr>
                <w:rFonts w:hint="default"/>
                <w:lang w:val="en-US" w:eastAsia="zh-CN"/>
              </w:rPr>
            </w:pPr>
            <w:r>
              <w:rPr>
                <w:rFonts w:hint="default"/>
                <w:lang w:val="en-US" w:eastAsia="zh-CN"/>
              </w:rPr>
              <w:t xml:space="preserve">Leqb—预测点的背景值，dB（A）。 </w:t>
            </w:r>
          </w:p>
          <w:p>
            <w:pPr>
              <w:pageBreakBefore w:val="0"/>
              <w:wordWrap w:val="0"/>
              <w:bidi w:val="0"/>
              <w:rPr>
                <w:rFonts w:hint="default"/>
                <w:lang w:val="en-US" w:eastAsia="zh-CN"/>
              </w:rPr>
            </w:pPr>
            <w:r>
              <w:rPr>
                <w:rFonts w:hint="default"/>
                <w:lang w:val="en-US" w:eastAsia="zh-CN"/>
              </w:rPr>
              <w:t xml:space="preserve">预测结果根据上述分析和计算公式，厂区内各类设备厂界噪声预测结果具体详见下表。 </w:t>
            </w:r>
          </w:p>
          <w:p>
            <w:pPr>
              <w:pageBreakBefore w:val="0"/>
              <w:wordWrap w:val="0"/>
              <w:bidi w:val="0"/>
              <w:spacing w:line="240" w:lineRule="auto"/>
              <w:ind w:left="0" w:leftChars="0" w:firstLine="0" w:firstLineChars="0"/>
              <w:jc w:val="center"/>
              <w:rPr>
                <w:rFonts w:hint="default"/>
                <w:b/>
                <w:bCs/>
                <w:sz w:val="21"/>
                <w:szCs w:val="21"/>
                <w:lang w:val="en-US" w:eastAsia="zh-CN"/>
              </w:rPr>
            </w:pPr>
            <w:r>
              <w:rPr>
                <w:rFonts w:hint="default"/>
                <w:b/>
                <w:bCs/>
                <w:sz w:val="21"/>
                <w:szCs w:val="21"/>
                <w:lang w:val="en-US" w:eastAsia="zh-CN"/>
              </w:rPr>
              <w:t>表4-</w:t>
            </w:r>
            <w:r>
              <w:rPr>
                <w:rFonts w:hint="eastAsia"/>
                <w:b/>
                <w:bCs/>
                <w:sz w:val="21"/>
                <w:szCs w:val="21"/>
                <w:lang w:val="en-US" w:eastAsia="zh-CN"/>
              </w:rPr>
              <w:t xml:space="preserve">6  </w:t>
            </w:r>
            <w:r>
              <w:rPr>
                <w:rFonts w:hint="default"/>
                <w:b/>
                <w:bCs/>
                <w:sz w:val="21"/>
                <w:szCs w:val="21"/>
                <w:lang w:val="en-US" w:eastAsia="zh-CN"/>
              </w:rPr>
              <w:t xml:space="preserve"> 各类机械设备的噪声影响计算结果 单位：dB(A)</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1323"/>
              <w:gridCol w:w="1519"/>
              <w:gridCol w:w="1116"/>
              <w:gridCol w:w="1519"/>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0" w:type="pct"/>
                  <w:vAlign w:val="center"/>
                </w:tcPr>
                <w:p>
                  <w:pPr>
                    <w:pageBreakBefore w:val="0"/>
                    <w:wordWrap w:val="0"/>
                    <w:bidi w:val="0"/>
                    <w:spacing w:line="240" w:lineRule="auto"/>
                    <w:ind w:firstLine="0" w:firstLineChars="0"/>
                    <w:jc w:val="center"/>
                    <w:rPr>
                      <w:rFonts w:hint="default"/>
                      <w:b/>
                      <w:bCs/>
                      <w:sz w:val="21"/>
                      <w:szCs w:val="21"/>
                      <w:lang w:val="en-US" w:eastAsia="zh-CN"/>
                    </w:rPr>
                  </w:pPr>
                  <w:r>
                    <w:rPr>
                      <w:rFonts w:hint="default"/>
                      <w:b/>
                      <w:bCs/>
                      <w:sz w:val="21"/>
                      <w:szCs w:val="21"/>
                      <w:lang w:val="en-US" w:eastAsia="zh-CN"/>
                    </w:rPr>
                    <w:t>预测点</w:t>
                  </w:r>
                </w:p>
              </w:tc>
              <w:tc>
                <w:tcPr>
                  <w:tcW w:w="850" w:type="pct"/>
                  <w:vAlign w:val="center"/>
                </w:tcPr>
                <w:p>
                  <w:pPr>
                    <w:pageBreakBefore w:val="0"/>
                    <w:wordWrap w:val="0"/>
                    <w:bidi w:val="0"/>
                    <w:spacing w:line="240" w:lineRule="auto"/>
                    <w:ind w:firstLine="0" w:firstLineChars="0"/>
                    <w:jc w:val="center"/>
                    <w:rPr>
                      <w:rFonts w:hint="default"/>
                      <w:b/>
                      <w:bCs/>
                      <w:sz w:val="21"/>
                      <w:szCs w:val="21"/>
                      <w:lang w:val="en-US" w:eastAsia="zh-CN"/>
                    </w:rPr>
                  </w:pPr>
                  <w:r>
                    <w:rPr>
                      <w:rFonts w:hint="default"/>
                      <w:b/>
                      <w:bCs/>
                      <w:sz w:val="21"/>
                      <w:szCs w:val="21"/>
                      <w:lang w:val="en-US" w:eastAsia="zh-CN"/>
                    </w:rPr>
                    <w:t>噪声叠加</w:t>
                  </w:r>
                  <w:r>
                    <w:rPr>
                      <w:rFonts w:hint="eastAsia"/>
                      <w:b/>
                      <w:bCs/>
                      <w:sz w:val="21"/>
                      <w:szCs w:val="21"/>
                      <w:lang w:val="en-US" w:eastAsia="zh-CN"/>
                    </w:rPr>
                    <w:t>值</w:t>
                  </w:r>
                </w:p>
              </w:tc>
              <w:tc>
                <w:tcPr>
                  <w:tcW w:w="976" w:type="pct"/>
                  <w:vAlign w:val="center"/>
                </w:tcPr>
                <w:p>
                  <w:pPr>
                    <w:pageBreakBefore w:val="0"/>
                    <w:wordWrap w:val="0"/>
                    <w:bidi w:val="0"/>
                    <w:spacing w:line="240" w:lineRule="auto"/>
                    <w:ind w:firstLine="0" w:firstLineChars="0"/>
                    <w:jc w:val="center"/>
                    <w:rPr>
                      <w:rFonts w:hint="default"/>
                      <w:b/>
                      <w:bCs/>
                      <w:sz w:val="21"/>
                      <w:szCs w:val="21"/>
                      <w:lang w:val="en-US" w:eastAsia="zh-CN"/>
                    </w:rPr>
                  </w:pPr>
                  <w:r>
                    <w:rPr>
                      <w:rFonts w:hint="default"/>
                      <w:b/>
                      <w:bCs/>
                      <w:sz w:val="21"/>
                      <w:szCs w:val="21"/>
                      <w:lang w:val="en-US" w:eastAsia="zh-CN"/>
                    </w:rPr>
                    <w:t>距厂界距离</w:t>
                  </w:r>
                </w:p>
              </w:tc>
              <w:tc>
                <w:tcPr>
                  <w:tcW w:w="717" w:type="pct"/>
                  <w:vAlign w:val="center"/>
                </w:tcPr>
                <w:p>
                  <w:pPr>
                    <w:pageBreakBefore w:val="0"/>
                    <w:wordWrap w:val="0"/>
                    <w:bidi w:val="0"/>
                    <w:spacing w:line="240" w:lineRule="auto"/>
                    <w:ind w:firstLine="0" w:firstLineChars="0"/>
                    <w:jc w:val="center"/>
                    <w:rPr>
                      <w:rFonts w:hint="default"/>
                      <w:b/>
                      <w:bCs/>
                      <w:sz w:val="21"/>
                      <w:szCs w:val="21"/>
                      <w:lang w:val="en-US" w:eastAsia="zh-CN"/>
                    </w:rPr>
                  </w:pPr>
                  <w:r>
                    <w:rPr>
                      <w:rFonts w:hint="eastAsia"/>
                      <w:b/>
                      <w:bCs/>
                      <w:sz w:val="21"/>
                      <w:szCs w:val="21"/>
                      <w:lang w:val="en-US" w:eastAsia="zh-CN"/>
                    </w:rPr>
                    <w:t>标准限值</w:t>
                  </w:r>
                </w:p>
              </w:tc>
              <w:tc>
                <w:tcPr>
                  <w:tcW w:w="976" w:type="pct"/>
                  <w:vAlign w:val="center"/>
                </w:tcPr>
                <w:p>
                  <w:pPr>
                    <w:pageBreakBefore w:val="0"/>
                    <w:wordWrap w:val="0"/>
                    <w:bidi w:val="0"/>
                    <w:spacing w:line="240" w:lineRule="auto"/>
                    <w:ind w:firstLine="0" w:firstLineChars="0"/>
                    <w:jc w:val="center"/>
                    <w:rPr>
                      <w:rFonts w:hint="default"/>
                      <w:b/>
                      <w:bCs/>
                      <w:sz w:val="21"/>
                      <w:szCs w:val="21"/>
                      <w:lang w:val="en-US" w:eastAsia="zh-CN"/>
                    </w:rPr>
                  </w:pPr>
                  <w:r>
                    <w:rPr>
                      <w:rFonts w:hint="default"/>
                      <w:b/>
                      <w:bCs/>
                      <w:sz w:val="21"/>
                      <w:szCs w:val="21"/>
                      <w:lang w:val="en-US" w:eastAsia="zh-CN"/>
                    </w:rPr>
                    <w:t>噪声贡献值</w:t>
                  </w:r>
                </w:p>
              </w:tc>
              <w:tc>
                <w:tcPr>
                  <w:tcW w:w="848" w:type="pct"/>
                  <w:vAlign w:val="center"/>
                </w:tcPr>
                <w:p>
                  <w:pPr>
                    <w:pageBreakBefore w:val="0"/>
                    <w:wordWrap w:val="0"/>
                    <w:bidi w:val="0"/>
                    <w:spacing w:line="240" w:lineRule="auto"/>
                    <w:ind w:firstLine="0" w:firstLineChars="0"/>
                    <w:jc w:val="center"/>
                    <w:rPr>
                      <w:rFonts w:hint="default"/>
                      <w:b/>
                      <w:bCs/>
                      <w:sz w:val="21"/>
                      <w:szCs w:val="21"/>
                      <w:lang w:val="en-US" w:eastAsia="zh-CN"/>
                    </w:rPr>
                  </w:pPr>
                  <w:r>
                    <w:rPr>
                      <w:rFonts w:hint="eastAsia"/>
                      <w:b/>
                      <w:bCs/>
                      <w:sz w:val="21"/>
                      <w:szCs w:val="21"/>
                      <w:lang w:val="en-US" w:eastAsia="zh-CN"/>
                    </w:rPr>
                    <w:t>达标性分析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0" w:type="pct"/>
                  <w:vAlign w:val="center"/>
                </w:tcPr>
                <w:p>
                  <w:pPr>
                    <w:pageBreakBefore w:val="0"/>
                    <w:wordWrap w:val="0"/>
                    <w:bidi w:val="0"/>
                    <w:spacing w:line="240" w:lineRule="auto"/>
                    <w:ind w:firstLine="0" w:firstLineChars="0"/>
                    <w:jc w:val="center"/>
                    <w:rPr>
                      <w:rFonts w:hint="default"/>
                      <w:color w:val="auto"/>
                      <w:sz w:val="21"/>
                      <w:szCs w:val="21"/>
                      <w:lang w:val="en-US" w:eastAsia="zh-CN"/>
                    </w:rPr>
                  </w:pPr>
                  <w:r>
                    <w:rPr>
                      <w:rFonts w:hint="default"/>
                      <w:color w:val="auto"/>
                      <w:sz w:val="21"/>
                      <w:szCs w:val="21"/>
                      <w:lang w:val="en-US" w:eastAsia="zh-CN"/>
                    </w:rPr>
                    <w:t>厂界东</w:t>
                  </w:r>
                </w:p>
              </w:tc>
              <w:tc>
                <w:tcPr>
                  <w:tcW w:w="850" w:type="pct"/>
                  <w:vMerge w:val="restart"/>
                  <w:vAlign w:val="center"/>
                </w:tcPr>
                <w:p>
                  <w:pPr>
                    <w:pageBreakBefore w:val="0"/>
                    <w:wordWrap w:val="0"/>
                    <w:bidi w:val="0"/>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70.54</w:t>
                  </w:r>
                </w:p>
              </w:tc>
              <w:tc>
                <w:tcPr>
                  <w:tcW w:w="976" w:type="pct"/>
                  <w:vAlign w:val="center"/>
                </w:tcPr>
                <w:p>
                  <w:pPr>
                    <w:pageBreakBefore w:val="0"/>
                    <w:wordWrap w:val="0"/>
                    <w:bidi w:val="0"/>
                    <w:spacing w:line="240" w:lineRule="auto"/>
                    <w:ind w:firstLine="0" w:firstLineChars="0"/>
                    <w:jc w:val="center"/>
                    <w:rPr>
                      <w:rFonts w:hint="default"/>
                      <w:color w:val="auto"/>
                      <w:sz w:val="21"/>
                      <w:szCs w:val="21"/>
                      <w:lang w:val="en-US" w:eastAsia="zh-CN"/>
                    </w:rPr>
                  </w:pPr>
                  <w:r>
                    <w:rPr>
                      <w:rFonts w:hint="default"/>
                      <w:color w:val="auto"/>
                      <w:sz w:val="21"/>
                      <w:szCs w:val="21"/>
                      <w:lang w:val="en-US" w:eastAsia="zh-CN"/>
                    </w:rPr>
                    <w:t>18</w:t>
                  </w:r>
                </w:p>
              </w:tc>
              <w:tc>
                <w:tcPr>
                  <w:tcW w:w="717" w:type="pct"/>
                  <w:vAlign w:val="center"/>
                </w:tcPr>
                <w:p>
                  <w:pPr>
                    <w:pageBreakBefore w:val="0"/>
                    <w:wordWrap w:val="0"/>
                    <w:bidi w:val="0"/>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60</w:t>
                  </w:r>
                </w:p>
              </w:tc>
              <w:tc>
                <w:tcPr>
                  <w:tcW w:w="976" w:type="pct"/>
                  <w:vAlign w:val="center"/>
                </w:tcPr>
                <w:p>
                  <w:pPr>
                    <w:pageBreakBefore w:val="0"/>
                    <w:wordWrap w:val="0"/>
                    <w:bidi w:val="0"/>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45.4</w:t>
                  </w:r>
                </w:p>
              </w:tc>
              <w:tc>
                <w:tcPr>
                  <w:tcW w:w="848" w:type="pct"/>
                  <w:vAlign w:val="center"/>
                </w:tcPr>
                <w:p>
                  <w:pPr>
                    <w:pageBreakBefore w:val="0"/>
                    <w:wordWrap w:val="0"/>
                    <w:bidi w:val="0"/>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0" w:type="pct"/>
                  <w:vAlign w:val="center"/>
                </w:tcPr>
                <w:p>
                  <w:pPr>
                    <w:pageBreakBefore w:val="0"/>
                    <w:wordWrap w:val="0"/>
                    <w:bidi w:val="0"/>
                    <w:spacing w:line="240" w:lineRule="auto"/>
                    <w:ind w:firstLine="0" w:firstLineChars="0"/>
                    <w:jc w:val="center"/>
                    <w:rPr>
                      <w:rFonts w:hint="default"/>
                      <w:color w:val="auto"/>
                      <w:sz w:val="21"/>
                      <w:szCs w:val="21"/>
                      <w:lang w:val="en-US" w:eastAsia="zh-CN"/>
                    </w:rPr>
                  </w:pPr>
                  <w:r>
                    <w:rPr>
                      <w:rFonts w:hint="default"/>
                      <w:color w:val="auto"/>
                      <w:sz w:val="21"/>
                      <w:szCs w:val="21"/>
                      <w:lang w:val="en-US" w:eastAsia="zh-CN"/>
                    </w:rPr>
                    <w:t>厂界西</w:t>
                  </w:r>
                </w:p>
              </w:tc>
              <w:tc>
                <w:tcPr>
                  <w:tcW w:w="850" w:type="pct"/>
                  <w:vMerge w:val="continue"/>
                  <w:vAlign w:val="center"/>
                </w:tcPr>
                <w:p>
                  <w:pPr>
                    <w:pageBreakBefore w:val="0"/>
                    <w:wordWrap w:val="0"/>
                    <w:bidi w:val="0"/>
                    <w:spacing w:line="240" w:lineRule="auto"/>
                    <w:ind w:firstLine="0" w:firstLineChars="0"/>
                    <w:jc w:val="center"/>
                    <w:rPr>
                      <w:rFonts w:hint="default"/>
                      <w:color w:val="auto"/>
                      <w:sz w:val="21"/>
                      <w:szCs w:val="21"/>
                      <w:lang w:val="en-US" w:eastAsia="zh-CN"/>
                    </w:rPr>
                  </w:pPr>
                </w:p>
              </w:tc>
              <w:tc>
                <w:tcPr>
                  <w:tcW w:w="976" w:type="pct"/>
                  <w:vAlign w:val="center"/>
                </w:tcPr>
                <w:p>
                  <w:pPr>
                    <w:pageBreakBefore w:val="0"/>
                    <w:wordWrap w:val="0"/>
                    <w:bidi w:val="0"/>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21</w:t>
                  </w:r>
                </w:p>
              </w:tc>
              <w:tc>
                <w:tcPr>
                  <w:tcW w:w="717" w:type="pct"/>
                  <w:vAlign w:val="center"/>
                </w:tcPr>
                <w:p>
                  <w:pPr>
                    <w:pageBreakBefore w:val="0"/>
                    <w:wordWrap w:val="0"/>
                    <w:bidi w:val="0"/>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60</w:t>
                  </w:r>
                </w:p>
              </w:tc>
              <w:tc>
                <w:tcPr>
                  <w:tcW w:w="976" w:type="pct"/>
                  <w:vAlign w:val="center"/>
                </w:tcPr>
                <w:p>
                  <w:pPr>
                    <w:pageBreakBefore w:val="0"/>
                    <w:wordWrap w:val="0"/>
                    <w:bidi w:val="0"/>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44.1</w:t>
                  </w:r>
                </w:p>
              </w:tc>
              <w:tc>
                <w:tcPr>
                  <w:tcW w:w="1319" w:type="dxa"/>
                  <w:vAlign w:val="center"/>
                </w:tcPr>
                <w:p>
                  <w:pPr>
                    <w:pageBreakBefore w:val="0"/>
                    <w:wordWrap w:val="0"/>
                    <w:bidi w:val="0"/>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0" w:type="pct"/>
                  <w:vAlign w:val="center"/>
                </w:tcPr>
                <w:p>
                  <w:pPr>
                    <w:pageBreakBefore w:val="0"/>
                    <w:wordWrap w:val="0"/>
                    <w:bidi w:val="0"/>
                    <w:spacing w:line="240" w:lineRule="auto"/>
                    <w:ind w:firstLine="0" w:firstLineChars="0"/>
                    <w:jc w:val="center"/>
                    <w:rPr>
                      <w:rFonts w:hint="default"/>
                      <w:color w:val="auto"/>
                      <w:sz w:val="21"/>
                      <w:szCs w:val="21"/>
                      <w:lang w:val="en-US" w:eastAsia="zh-CN"/>
                    </w:rPr>
                  </w:pPr>
                  <w:r>
                    <w:rPr>
                      <w:rFonts w:hint="default"/>
                      <w:color w:val="auto"/>
                      <w:sz w:val="21"/>
                      <w:szCs w:val="21"/>
                      <w:lang w:val="en-US" w:eastAsia="zh-CN"/>
                    </w:rPr>
                    <w:t>厂界南</w:t>
                  </w:r>
                </w:p>
              </w:tc>
              <w:tc>
                <w:tcPr>
                  <w:tcW w:w="850" w:type="pct"/>
                  <w:vMerge w:val="continue"/>
                  <w:vAlign w:val="center"/>
                </w:tcPr>
                <w:p>
                  <w:pPr>
                    <w:pageBreakBefore w:val="0"/>
                    <w:wordWrap w:val="0"/>
                    <w:bidi w:val="0"/>
                    <w:spacing w:line="240" w:lineRule="auto"/>
                    <w:ind w:firstLine="0" w:firstLineChars="0"/>
                    <w:jc w:val="center"/>
                    <w:rPr>
                      <w:rFonts w:hint="default"/>
                      <w:color w:val="auto"/>
                      <w:sz w:val="21"/>
                      <w:szCs w:val="21"/>
                      <w:lang w:val="en-US" w:eastAsia="zh-CN"/>
                    </w:rPr>
                  </w:pPr>
                </w:p>
              </w:tc>
              <w:tc>
                <w:tcPr>
                  <w:tcW w:w="976" w:type="pct"/>
                  <w:vAlign w:val="center"/>
                </w:tcPr>
                <w:p>
                  <w:pPr>
                    <w:pageBreakBefore w:val="0"/>
                    <w:wordWrap w:val="0"/>
                    <w:bidi w:val="0"/>
                    <w:spacing w:line="240" w:lineRule="auto"/>
                    <w:ind w:firstLine="0" w:firstLineChars="0"/>
                    <w:jc w:val="center"/>
                    <w:rPr>
                      <w:rFonts w:hint="default"/>
                      <w:color w:val="auto"/>
                      <w:sz w:val="21"/>
                      <w:szCs w:val="21"/>
                      <w:lang w:val="en-US" w:eastAsia="zh-CN"/>
                    </w:rPr>
                  </w:pPr>
                  <w:r>
                    <w:rPr>
                      <w:rFonts w:hint="default"/>
                      <w:color w:val="auto"/>
                      <w:sz w:val="21"/>
                      <w:szCs w:val="21"/>
                      <w:lang w:val="en-US" w:eastAsia="zh-CN"/>
                    </w:rPr>
                    <w:t>10</w:t>
                  </w:r>
                </w:p>
              </w:tc>
              <w:tc>
                <w:tcPr>
                  <w:tcW w:w="717" w:type="pct"/>
                  <w:vAlign w:val="center"/>
                </w:tcPr>
                <w:p>
                  <w:pPr>
                    <w:pageBreakBefore w:val="0"/>
                    <w:wordWrap w:val="0"/>
                    <w:bidi w:val="0"/>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60</w:t>
                  </w:r>
                </w:p>
              </w:tc>
              <w:tc>
                <w:tcPr>
                  <w:tcW w:w="976" w:type="pct"/>
                  <w:vAlign w:val="center"/>
                </w:tcPr>
                <w:p>
                  <w:pPr>
                    <w:pageBreakBefore w:val="0"/>
                    <w:wordWrap w:val="0"/>
                    <w:bidi w:val="0"/>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50.5</w:t>
                  </w:r>
                </w:p>
              </w:tc>
              <w:tc>
                <w:tcPr>
                  <w:tcW w:w="1319" w:type="dxa"/>
                  <w:vAlign w:val="center"/>
                </w:tcPr>
                <w:p>
                  <w:pPr>
                    <w:pageBreakBefore w:val="0"/>
                    <w:wordWrap w:val="0"/>
                    <w:bidi w:val="0"/>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0" w:type="pct"/>
                  <w:vAlign w:val="center"/>
                </w:tcPr>
                <w:p>
                  <w:pPr>
                    <w:pageBreakBefore w:val="0"/>
                    <w:wordWrap w:val="0"/>
                    <w:bidi w:val="0"/>
                    <w:spacing w:line="240" w:lineRule="auto"/>
                    <w:ind w:firstLine="0" w:firstLineChars="0"/>
                    <w:jc w:val="center"/>
                    <w:rPr>
                      <w:rFonts w:hint="default"/>
                      <w:color w:val="auto"/>
                      <w:sz w:val="21"/>
                      <w:szCs w:val="21"/>
                      <w:lang w:val="en-US" w:eastAsia="zh-CN"/>
                    </w:rPr>
                  </w:pPr>
                  <w:r>
                    <w:rPr>
                      <w:rFonts w:hint="default"/>
                      <w:color w:val="auto"/>
                      <w:sz w:val="21"/>
                      <w:szCs w:val="21"/>
                      <w:lang w:val="en-US" w:eastAsia="zh-CN"/>
                    </w:rPr>
                    <w:t>厂界北</w:t>
                  </w:r>
                </w:p>
              </w:tc>
              <w:tc>
                <w:tcPr>
                  <w:tcW w:w="850" w:type="pct"/>
                  <w:vMerge w:val="continue"/>
                  <w:vAlign w:val="center"/>
                </w:tcPr>
                <w:p>
                  <w:pPr>
                    <w:pageBreakBefore w:val="0"/>
                    <w:wordWrap w:val="0"/>
                    <w:bidi w:val="0"/>
                    <w:spacing w:line="240" w:lineRule="auto"/>
                    <w:ind w:firstLine="0" w:firstLineChars="0"/>
                    <w:jc w:val="center"/>
                    <w:rPr>
                      <w:rFonts w:hint="default"/>
                      <w:color w:val="auto"/>
                      <w:sz w:val="21"/>
                      <w:szCs w:val="21"/>
                      <w:lang w:val="en-US" w:eastAsia="zh-CN"/>
                    </w:rPr>
                  </w:pPr>
                </w:p>
              </w:tc>
              <w:tc>
                <w:tcPr>
                  <w:tcW w:w="976" w:type="pct"/>
                  <w:vAlign w:val="center"/>
                </w:tcPr>
                <w:p>
                  <w:pPr>
                    <w:pageBreakBefore w:val="0"/>
                    <w:wordWrap w:val="0"/>
                    <w:bidi w:val="0"/>
                    <w:spacing w:line="240" w:lineRule="auto"/>
                    <w:ind w:firstLine="0" w:firstLineChars="0"/>
                    <w:jc w:val="center"/>
                    <w:rPr>
                      <w:rFonts w:hint="default"/>
                      <w:color w:val="auto"/>
                      <w:sz w:val="21"/>
                      <w:szCs w:val="21"/>
                      <w:lang w:val="en-US" w:eastAsia="zh-CN"/>
                    </w:rPr>
                  </w:pPr>
                  <w:r>
                    <w:rPr>
                      <w:rFonts w:hint="default"/>
                      <w:color w:val="auto"/>
                      <w:sz w:val="21"/>
                      <w:szCs w:val="21"/>
                      <w:lang w:val="en-US" w:eastAsia="zh-CN"/>
                    </w:rPr>
                    <w:t>15</w:t>
                  </w:r>
                </w:p>
              </w:tc>
              <w:tc>
                <w:tcPr>
                  <w:tcW w:w="717" w:type="pct"/>
                  <w:vAlign w:val="center"/>
                </w:tcPr>
                <w:p>
                  <w:pPr>
                    <w:pageBreakBefore w:val="0"/>
                    <w:wordWrap w:val="0"/>
                    <w:bidi w:val="0"/>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60</w:t>
                  </w:r>
                </w:p>
              </w:tc>
              <w:tc>
                <w:tcPr>
                  <w:tcW w:w="976" w:type="pct"/>
                  <w:vAlign w:val="center"/>
                </w:tcPr>
                <w:p>
                  <w:pPr>
                    <w:pageBreakBefore w:val="0"/>
                    <w:wordWrap w:val="0"/>
                    <w:bidi w:val="0"/>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47.0</w:t>
                  </w:r>
                </w:p>
              </w:tc>
              <w:tc>
                <w:tcPr>
                  <w:tcW w:w="1319" w:type="dxa"/>
                  <w:vAlign w:val="center"/>
                </w:tcPr>
                <w:p>
                  <w:pPr>
                    <w:pageBreakBefore w:val="0"/>
                    <w:wordWrap w:val="0"/>
                    <w:bidi w:val="0"/>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达标</w:t>
                  </w:r>
                </w:p>
              </w:tc>
            </w:tr>
          </w:tbl>
          <w:p>
            <w:pPr>
              <w:pageBreakBefore w:val="0"/>
              <w:wordWrap w:val="0"/>
              <w:bidi w:val="0"/>
              <w:rPr>
                <w:rFonts w:hint="default"/>
                <w:lang w:val="en-US" w:eastAsia="zh-CN"/>
              </w:rPr>
            </w:pPr>
            <w:r>
              <w:rPr>
                <w:rFonts w:hint="default"/>
                <w:lang w:val="en-US" w:eastAsia="zh-CN"/>
              </w:rPr>
              <w:t>由以上预测结果可知，项目生产噪声在厂界四周处的昼间贡献值均未超出《工业企业厂界环境噪声排放标准》(GB12348-2008)的2类标准限值要求，即：昼间≤60dB(A)。项目夜间不生产。因此，评价认为本项目噪声对周围环境影响较小。</w:t>
            </w:r>
          </w:p>
          <w:p>
            <w:pPr>
              <w:pageBreakBefore w:val="0"/>
              <w:wordWrap w:val="0"/>
              <w:bidi w:val="0"/>
              <w:rPr>
                <w:rFonts w:hint="default"/>
                <w:b/>
                <w:bCs/>
                <w:color w:val="000000" w:themeColor="text1"/>
                <w:lang w:val="en-US" w:eastAsia="zh-CN"/>
                <w14:textFill>
                  <w14:solidFill>
                    <w14:schemeClr w14:val="tx1"/>
                  </w14:solidFill>
                </w14:textFill>
              </w:rPr>
            </w:pPr>
            <w:r>
              <w:rPr>
                <w:rFonts w:hint="default"/>
                <w:b/>
                <w:bCs/>
                <w:color w:val="000000" w:themeColor="text1"/>
                <w:lang w:val="en-US" w:eastAsia="zh-CN"/>
                <w14:textFill>
                  <w14:solidFill>
                    <w14:schemeClr w14:val="tx1"/>
                  </w14:solidFill>
                </w14:textFill>
              </w:rPr>
              <w:t>3.4噪声监测计划</w:t>
            </w:r>
          </w:p>
          <w:p>
            <w:pPr>
              <w:pageBreakBefore w:val="0"/>
              <w:wordWrap w:val="0"/>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default"/>
                <w:b/>
                <w:bCs/>
                <w:color w:val="000000" w:themeColor="text1"/>
                <w:sz w:val="21"/>
                <w:szCs w:val="21"/>
                <w:lang w:val="en-US" w:eastAsia="zh-CN"/>
                <w14:textFill>
                  <w14:solidFill>
                    <w14:schemeClr w14:val="tx1"/>
                  </w14:solidFill>
                </w14:textFill>
              </w:rPr>
              <w:t>表4-</w:t>
            </w:r>
            <w:r>
              <w:rPr>
                <w:rFonts w:hint="eastAsia"/>
                <w:b/>
                <w:bCs/>
                <w:color w:val="000000" w:themeColor="text1"/>
                <w:sz w:val="21"/>
                <w:szCs w:val="21"/>
                <w:lang w:val="en-US" w:eastAsia="zh-CN"/>
                <w14:textFill>
                  <w14:solidFill>
                    <w14:schemeClr w14:val="tx1"/>
                  </w14:solidFill>
                </w14:textFill>
              </w:rPr>
              <w:t xml:space="preserve">7  </w:t>
            </w:r>
            <w:r>
              <w:rPr>
                <w:rFonts w:hint="default"/>
                <w:b/>
                <w:bCs/>
                <w:color w:val="000000" w:themeColor="text1"/>
                <w:sz w:val="21"/>
                <w:szCs w:val="21"/>
                <w:lang w:val="en-US" w:eastAsia="zh-CN"/>
                <w14:textFill>
                  <w14:solidFill>
                    <w14:schemeClr w14:val="tx1"/>
                  </w14:solidFill>
                </w14:textFill>
              </w:rPr>
              <w:t xml:space="preserve"> 噪声污染源监测点位、因子、频次一览表</w:t>
            </w:r>
          </w:p>
          <w:tbl>
            <w:tblPr>
              <w:tblStyle w:val="24"/>
              <w:tblW w:w="7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1352"/>
              <w:gridCol w:w="1363"/>
              <w:gridCol w:w="1417"/>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2" w:type="dxa"/>
                  <w:vAlign w:val="center"/>
                </w:tcPr>
                <w:p>
                  <w:pPr>
                    <w:pageBreakBefore w:val="0"/>
                    <w:wordWrap w:val="0"/>
                    <w:bidi w:val="0"/>
                    <w:spacing w:line="240" w:lineRule="auto"/>
                    <w:ind w:firstLine="0" w:firstLineChars="0"/>
                    <w:jc w:val="center"/>
                    <w:rPr>
                      <w:rFonts w:hint="default"/>
                      <w:b/>
                      <w:bCs/>
                      <w:color w:val="000000" w:themeColor="text1"/>
                      <w:sz w:val="21"/>
                      <w:szCs w:val="21"/>
                      <w:lang w:val="en-US" w:eastAsia="zh-CN"/>
                      <w14:textFill>
                        <w14:solidFill>
                          <w14:schemeClr w14:val="tx1"/>
                        </w14:solidFill>
                      </w14:textFill>
                    </w:rPr>
                  </w:pPr>
                  <w:r>
                    <w:rPr>
                      <w:rFonts w:hint="default"/>
                      <w:b/>
                      <w:bCs/>
                      <w:color w:val="000000" w:themeColor="text1"/>
                      <w:sz w:val="21"/>
                      <w:szCs w:val="21"/>
                      <w:lang w:val="en-US" w:eastAsia="zh-CN"/>
                      <w14:textFill>
                        <w14:solidFill>
                          <w14:schemeClr w14:val="tx1"/>
                        </w14:solidFill>
                      </w14:textFill>
                    </w:rPr>
                    <w:t>污染源</w:t>
                  </w:r>
                </w:p>
              </w:tc>
              <w:tc>
                <w:tcPr>
                  <w:tcW w:w="1352" w:type="dxa"/>
                  <w:vAlign w:val="center"/>
                </w:tcPr>
                <w:p>
                  <w:pPr>
                    <w:pageBreakBefore w:val="0"/>
                    <w:wordWrap w:val="0"/>
                    <w:bidi w:val="0"/>
                    <w:spacing w:line="240" w:lineRule="auto"/>
                    <w:ind w:firstLine="0" w:firstLineChars="0"/>
                    <w:jc w:val="center"/>
                    <w:rPr>
                      <w:rFonts w:hint="default"/>
                      <w:b/>
                      <w:bCs/>
                      <w:color w:val="000000" w:themeColor="text1"/>
                      <w:sz w:val="21"/>
                      <w:szCs w:val="21"/>
                      <w:lang w:val="en-US" w:eastAsia="zh-CN"/>
                      <w14:textFill>
                        <w14:solidFill>
                          <w14:schemeClr w14:val="tx1"/>
                        </w14:solidFill>
                      </w14:textFill>
                    </w:rPr>
                  </w:pPr>
                  <w:r>
                    <w:rPr>
                      <w:rFonts w:hint="default"/>
                      <w:b/>
                      <w:bCs/>
                      <w:color w:val="000000" w:themeColor="text1"/>
                      <w:sz w:val="21"/>
                      <w:szCs w:val="21"/>
                      <w:lang w:val="en-US" w:eastAsia="zh-CN"/>
                      <w14:textFill>
                        <w14:solidFill>
                          <w14:schemeClr w14:val="tx1"/>
                        </w14:solidFill>
                      </w14:textFill>
                    </w:rPr>
                    <w:t>监测项目</w:t>
                  </w:r>
                </w:p>
              </w:tc>
              <w:tc>
                <w:tcPr>
                  <w:tcW w:w="1363" w:type="dxa"/>
                  <w:vAlign w:val="center"/>
                </w:tcPr>
                <w:p>
                  <w:pPr>
                    <w:pageBreakBefore w:val="0"/>
                    <w:wordWrap w:val="0"/>
                    <w:bidi w:val="0"/>
                    <w:spacing w:line="240" w:lineRule="auto"/>
                    <w:ind w:firstLine="0" w:firstLineChars="0"/>
                    <w:jc w:val="center"/>
                    <w:rPr>
                      <w:rFonts w:hint="default"/>
                      <w:b/>
                      <w:bCs/>
                      <w:color w:val="000000" w:themeColor="text1"/>
                      <w:sz w:val="21"/>
                      <w:szCs w:val="21"/>
                      <w:lang w:val="en-US" w:eastAsia="zh-CN"/>
                      <w14:textFill>
                        <w14:solidFill>
                          <w14:schemeClr w14:val="tx1"/>
                        </w14:solidFill>
                      </w14:textFill>
                    </w:rPr>
                  </w:pPr>
                  <w:r>
                    <w:rPr>
                      <w:rFonts w:hint="default"/>
                      <w:b/>
                      <w:bCs/>
                      <w:color w:val="000000" w:themeColor="text1"/>
                      <w:sz w:val="21"/>
                      <w:szCs w:val="21"/>
                      <w:lang w:val="en-US" w:eastAsia="zh-CN"/>
                      <w14:textFill>
                        <w14:solidFill>
                          <w14:schemeClr w14:val="tx1"/>
                        </w14:solidFill>
                      </w14:textFill>
                    </w:rPr>
                    <w:t>监测点位</w:t>
                  </w:r>
                </w:p>
              </w:tc>
              <w:tc>
                <w:tcPr>
                  <w:tcW w:w="1417" w:type="dxa"/>
                  <w:vAlign w:val="center"/>
                </w:tcPr>
                <w:p>
                  <w:pPr>
                    <w:pageBreakBefore w:val="0"/>
                    <w:wordWrap w:val="0"/>
                    <w:bidi w:val="0"/>
                    <w:spacing w:line="240" w:lineRule="auto"/>
                    <w:ind w:firstLine="0" w:firstLineChars="0"/>
                    <w:jc w:val="center"/>
                    <w:rPr>
                      <w:rFonts w:hint="default"/>
                      <w:b/>
                      <w:bCs/>
                      <w:color w:val="000000" w:themeColor="text1"/>
                      <w:sz w:val="21"/>
                      <w:szCs w:val="21"/>
                      <w:lang w:val="en-US" w:eastAsia="zh-CN"/>
                      <w14:textFill>
                        <w14:solidFill>
                          <w14:schemeClr w14:val="tx1"/>
                        </w14:solidFill>
                      </w14:textFill>
                    </w:rPr>
                  </w:pPr>
                  <w:r>
                    <w:rPr>
                      <w:rFonts w:hint="default"/>
                      <w:b/>
                      <w:bCs/>
                      <w:color w:val="000000" w:themeColor="text1"/>
                      <w:sz w:val="21"/>
                      <w:szCs w:val="21"/>
                      <w:lang w:val="en-US" w:eastAsia="zh-CN"/>
                      <w14:textFill>
                        <w14:solidFill>
                          <w14:schemeClr w14:val="tx1"/>
                        </w14:solidFill>
                      </w14:textFill>
                    </w:rPr>
                    <w:t>监测频次</w:t>
                  </w:r>
                </w:p>
              </w:tc>
              <w:tc>
                <w:tcPr>
                  <w:tcW w:w="2524" w:type="dxa"/>
                  <w:vAlign w:val="center"/>
                </w:tcPr>
                <w:p>
                  <w:pPr>
                    <w:pageBreakBefore w:val="0"/>
                    <w:wordWrap w:val="0"/>
                    <w:bidi w:val="0"/>
                    <w:spacing w:line="240" w:lineRule="auto"/>
                    <w:ind w:firstLine="0" w:firstLineChars="0"/>
                    <w:jc w:val="center"/>
                    <w:rPr>
                      <w:rFonts w:hint="default"/>
                      <w:b/>
                      <w:bCs/>
                      <w:color w:val="000000" w:themeColor="text1"/>
                      <w:sz w:val="21"/>
                      <w:szCs w:val="21"/>
                      <w:lang w:val="en-US" w:eastAsia="zh-CN"/>
                      <w14:textFill>
                        <w14:solidFill>
                          <w14:schemeClr w14:val="tx1"/>
                        </w14:solidFill>
                      </w14:textFill>
                    </w:rPr>
                  </w:pPr>
                  <w:r>
                    <w:rPr>
                      <w:rFonts w:hint="default"/>
                      <w:b/>
                      <w:bCs/>
                      <w:color w:val="000000" w:themeColor="text1"/>
                      <w:sz w:val="21"/>
                      <w:szCs w:val="21"/>
                      <w:lang w:val="en-US" w:eastAsia="zh-CN"/>
                      <w14:textFill>
                        <w14:solidFill>
                          <w14:schemeClr w14:val="tx1"/>
                        </w14:solidFill>
                      </w14:textFill>
                    </w:rPr>
                    <w:t>控制标准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122" w:type="dxa"/>
                  <w:vAlign w:val="center"/>
                </w:tcPr>
                <w:p>
                  <w:pPr>
                    <w:pageBreakBefore w:val="0"/>
                    <w:wordWrap w:val="0"/>
                    <w:bidi w:val="0"/>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厂界噪声</w:t>
                  </w:r>
                </w:p>
              </w:tc>
              <w:tc>
                <w:tcPr>
                  <w:tcW w:w="1352" w:type="dxa"/>
                  <w:vAlign w:val="center"/>
                </w:tcPr>
                <w:p>
                  <w:pPr>
                    <w:pageBreakBefore w:val="0"/>
                    <w:wordWrap w:val="0"/>
                    <w:bidi w:val="0"/>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Leq(A)</w:t>
                  </w:r>
                </w:p>
              </w:tc>
              <w:tc>
                <w:tcPr>
                  <w:tcW w:w="1363" w:type="dxa"/>
                  <w:vAlign w:val="center"/>
                </w:tcPr>
                <w:p>
                  <w:pPr>
                    <w:pageBreakBefore w:val="0"/>
                    <w:wordWrap w:val="0"/>
                    <w:bidi w:val="0"/>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厂界四周</w:t>
                  </w:r>
                </w:p>
              </w:tc>
              <w:tc>
                <w:tcPr>
                  <w:tcW w:w="1417" w:type="dxa"/>
                  <w:vAlign w:val="center"/>
                </w:tcPr>
                <w:p>
                  <w:pPr>
                    <w:pageBreakBefore w:val="0"/>
                    <w:wordWrap w:val="0"/>
                    <w:bidi w:val="0"/>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每季度一次</w:t>
                  </w:r>
                </w:p>
              </w:tc>
              <w:tc>
                <w:tcPr>
                  <w:tcW w:w="2524" w:type="dxa"/>
                  <w:vAlign w:val="center"/>
                </w:tcPr>
                <w:p>
                  <w:pPr>
                    <w:pageBreakBefore w:val="0"/>
                    <w:wordWrap w:val="0"/>
                    <w:bidi w:val="0"/>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《工业企业厂界环境噪声排放标准》（GB12348-2008）中2类标准</w:t>
                  </w:r>
                </w:p>
              </w:tc>
            </w:tr>
          </w:tbl>
          <w:p>
            <w:pPr>
              <w:pageBreakBefore w:val="0"/>
              <w:wordWrap w:val="0"/>
              <w:bidi w:val="0"/>
              <w:ind w:firstLine="0" w:firstLineChars="0"/>
              <w:rPr>
                <w:b/>
                <w:bCs/>
              </w:rPr>
            </w:pPr>
            <w:r>
              <w:rPr>
                <w:b/>
                <w:bCs/>
              </w:rPr>
              <w:t>4、固体废物</w:t>
            </w:r>
          </w:p>
          <w:p>
            <w:pPr>
              <w:pageBreakBefore w:val="0"/>
              <w:wordWrap w:val="0"/>
              <w:bidi w:val="0"/>
              <w:ind w:firstLine="480"/>
            </w:pPr>
            <w:r>
              <w:t>固废主要来源于沉淀池</w:t>
            </w:r>
            <w:r>
              <w:rPr>
                <w:rFonts w:hint="eastAsia"/>
              </w:rPr>
              <w:t>底泥</w:t>
            </w:r>
            <w:r>
              <w:t>、职工生活垃圾和</w:t>
            </w:r>
            <w:r>
              <w:rPr>
                <w:rFonts w:hint="eastAsia"/>
              </w:rPr>
              <w:t>废机油</w:t>
            </w:r>
            <w:r>
              <w:t>。</w:t>
            </w:r>
          </w:p>
          <w:p>
            <w:pPr>
              <w:pStyle w:val="16"/>
              <w:pageBreakBefore w:val="0"/>
              <w:wordWrap w:val="0"/>
              <w:bidi w:val="0"/>
              <w:ind w:firstLine="480"/>
              <w:jc w:val="both"/>
              <w:rPr>
                <w:sz w:val="24"/>
                <w:highlight w:val="red"/>
              </w:rPr>
            </w:pPr>
            <w:r>
              <w:rPr>
                <w:sz w:val="24"/>
              </w:rPr>
              <w:t>（</w:t>
            </w:r>
            <w:r>
              <w:rPr>
                <w:rFonts w:hint="eastAsia"/>
                <w:sz w:val="24"/>
              </w:rPr>
              <w:t>1</w:t>
            </w:r>
            <w:r>
              <w:rPr>
                <w:sz w:val="24"/>
              </w:rPr>
              <w:t>）</w:t>
            </w:r>
            <w:r>
              <w:rPr>
                <w:rFonts w:hint="eastAsia"/>
                <w:sz w:val="24"/>
              </w:rPr>
              <w:t>生产固废</w:t>
            </w:r>
          </w:p>
          <w:p>
            <w:pPr>
              <w:pStyle w:val="16"/>
              <w:pageBreakBefore w:val="0"/>
              <w:wordWrap w:val="0"/>
              <w:bidi w:val="0"/>
              <w:ind w:firstLine="480"/>
              <w:jc w:val="both"/>
              <w:rPr>
                <w:sz w:val="24"/>
                <w:highlight w:val="none"/>
              </w:rPr>
            </w:pPr>
            <w:r>
              <w:rPr>
                <w:rFonts w:hint="eastAsia"/>
                <w:sz w:val="24"/>
                <w:highlight w:val="none"/>
                <w:lang w:val="en-US" w:eastAsia="zh-CN"/>
              </w:rPr>
              <w:t>①</w:t>
            </w:r>
            <w:r>
              <w:rPr>
                <w:rFonts w:hint="eastAsia"/>
                <w:sz w:val="24"/>
                <w:highlight w:val="none"/>
              </w:rPr>
              <w:t>洗砂池底泥：沉淀池底泥产生量约为10t/a，沉淀池底泥</w:t>
            </w:r>
            <w:r>
              <w:rPr>
                <w:rFonts w:hint="eastAsia"/>
                <w:sz w:val="24"/>
                <w:highlight w:val="none"/>
                <w:lang w:eastAsia="zh-CN"/>
              </w:rPr>
              <w:t>主要成分为</w:t>
            </w:r>
            <w:r>
              <w:rPr>
                <w:rFonts w:hint="eastAsia"/>
                <w:sz w:val="24"/>
                <w:highlight w:val="none"/>
              </w:rPr>
              <w:t>砂石，自然风干后定期回填至采坑。</w:t>
            </w:r>
          </w:p>
          <w:p>
            <w:pPr>
              <w:pStyle w:val="16"/>
              <w:pageBreakBefore w:val="0"/>
              <w:wordWrap w:val="0"/>
              <w:bidi w:val="0"/>
              <w:ind w:firstLine="480"/>
              <w:jc w:val="both"/>
              <w:rPr>
                <w:rFonts w:hint="eastAsia"/>
                <w:sz w:val="24"/>
                <w:highlight w:val="none"/>
              </w:rPr>
            </w:pPr>
            <w:r>
              <w:rPr>
                <w:rFonts w:hint="eastAsia"/>
                <w:sz w:val="24"/>
                <w:lang w:val="en-US" w:eastAsia="zh-CN"/>
              </w:rPr>
              <w:t>②</w:t>
            </w:r>
            <w:r>
              <w:rPr>
                <w:rFonts w:hint="eastAsia"/>
                <w:sz w:val="24"/>
              </w:rPr>
              <w:t>清洗废水底泥：洗车平台清洗废水进入沉淀池，其中含有石子、砂子等。产生底泥1</w:t>
            </w:r>
            <w:r>
              <w:rPr>
                <w:sz w:val="24"/>
              </w:rPr>
              <w:t>t/a</w:t>
            </w:r>
            <w:r>
              <w:rPr>
                <w:rFonts w:hint="eastAsia"/>
                <w:sz w:val="24"/>
              </w:rPr>
              <w:t>。自然风干后定期回填至采坑</w:t>
            </w:r>
            <w:r>
              <w:rPr>
                <w:rFonts w:hint="eastAsia"/>
                <w:sz w:val="24"/>
                <w:highlight w:val="none"/>
              </w:rPr>
              <w:t>。</w:t>
            </w:r>
          </w:p>
          <w:p>
            <w:pPr>
              <w:pStyle w:val="16"/>
              <w:pageBreakBefore w:val="0"/>
              <w:wordWrap w:val="0"/>
              <w:bidi w:val="0"/>
              <w:ind w:firstLine="480"/>
              <w:jc w:val="both"/>
              <w:rPr>
                <w:sz w:val="24"/>
              </w:rPr>
            </w:pPr>
            <w:r>
              <w:rPr>
                <w:sz w:val="24"/>
              </w:rPr>
              <w:t>（</w:t>
            </w:r>
            <w:r>
              <w:rPr>
                <w:rFonts w:hint="eastAsia"/>
                <w:sz w:val="24"/>
              </w:rPr>
              <w:t>2</w:t>
            </w:r>
            <w:r>
              <w:rPr>
                <w:sz w:val="24"/>
              </w:rPr>
              <w:t>）职工生活垃圾</w:t>
            </w:r>
          </w:p>
          <w:p>
            <w:pPr>
              <w:pStyle w:val="16"/>
              <w:pageBreakBefore w:val="0"/>
              <w:wordWrap w:val="0"/>
              <w:bidi w:val="0"/>
              <w:ind w:firstLine="480"/>
              <w:jc w:val="both"/>
              <w:rPr>
                <w:sz w:val="24"/>
                <w:lang w:val="zh-CN"/>
              </w:rPr>
            </w:pPr>
            <w:r>
              <w:rPr>
                <w:sz w:val="24"/>
              </w:rPr>
              <w:t>职工生活垃圾以每人每天0.5kg计，项目员工人数</w:t>
            </w:r>
            <w:r>
              <w:rPr>
                <w:rFonts w:hint="eastAsia"/>
                <w:sz w:val="24"/>
                <w:lang w:val="en-US" w:eastAsia="zh-CN"/>
              </w:rPr>
              <w:t>13</w:t>
            </w:r>
            <w:r>
              <w:rPr>
                <w:sz w:val="24"/>
              </w:rPr>
              <w:t>人，</w:t>
            </w:r>
            <w:r>
              <w:rPr>
                <w:rFonts w:hint="eastAsia"/>
                <w:sz w:val="24"/>
                <w:lang w:eastAsia="zh-CN"/>
              </w:rPr>
              <w:t>年运行</w:t>
            </w:r>
            <w:r>
              <w:rPr>
                <w:rFonts w:hint="eastAsia"/>
                <w:sz w:val="24"/>
              </w:rPr>
              <w:t>为</w:t>
            </w:r>
            <w:r>
              <w:rPr>
                <w:rFonts w:hint="eastAsia"/>
                <w:sz w:val="24"/>
                <w:lang w:val="en-US" w:eastAsia="zh-CN"/>
              </w:rPr>
              <w:t>250</w:t>
            </w:r>
            <w:r>
              <w:rPr>
                <w:sz w:val="24"/>
              </w:rPr>
              <w:t>天，则生活垃圾产生量</w:t>
            </w:r>
            <w:r>
              <w:rPr>
                <w:rFonts w:hint="eastAsia"/>
                <w:sz w:val="24"/>
                <w:lang w:val="en-US" w:eastAsia="zh-CN"/>
              </w:rPr>
              <w:t>6.5</w:t>
            </w:r>
            <w:r>
              <w:rPr>
                <w:sz w:val="24"/>
              </w:rPr>
              <w:t>kg/d，</w:t>
            </w:r>
            <w:r>
              <w:rPr>
                <w:rFonts w:hint="eastAsia"/>
                <w:sz w:val="24"/>
                <w:lang w:val="en-US" w:eastAsia="zh-CN"/>
              </w:rPr>
              <w:t>1.63</w:t>
            </w:r>
            <w:r>
              <w:rPr>
                <w:sz w:val="24"/>
              </w:rPr>
              <w:t>t/</w:t>
            </w:r>
            <w:r>
              <w:rPr>
                <w:rFonts w:hint="eastAsia"/>
                <w:sz w:val="24"/>
              </w:rPr>
              <w:t>a</w:t>
            </w:r>
            <w:r>
              <w:rPr>
                <w:sz w:val="24"/>
              </w:rPr>
              <w:t>，</w:t>
            </w:r>
            <w:r>
              <w:rPr>
                <w:rFonts w:hint="eastAsia"/>
                <w:sz w:val="24"/>
              </w:rPr>
              <w:t>生活垃圾在</w:t>
            </w:r>
            <w:r>
              <w:rPr>
                <w:rFonts w:hint="eastAsia"/>
                <w:sz w:val="24"/>
                <w:lang w:val="zh-CN"/>
              </w:rPr>
              <w:t>厂内设置垃圾桶，集中分类收集后定期清运至当地乡镇垃圾中转站，由当地环卫部门统一清运处理。</w:t>
            </w:r>
          </w:p>
          <w:p>
            <w:pPr>
              <w:pStyle w:val="16"/>
              <w:pageBreakBefore w:val="0"/>
              <w:wordWrap w:val="0"/>
              <w:bidi w:val="0"/>
              <w:ind w:firstLine="480"/>
              <w:jc w:val="both"/>
              <w:rPr>
                <w:rFonts w:hint="eastAsia" w:eastAsia="宋体"/>
                <w:sz w:val="24"/>
                <w:lang w:eastAsia="zh-CN"/>
              </w:rPr>
            </w:pPr>
            <w:r>
              <w:rPr>
                <w:sz w:val="24"/>
              </w:rPr>
              <w:t>（</w:t>
            </w:r>
            <w:r>
              <w:rPr>
                <w:rFonts w:hint="eastAsia"/>
                <w:sz w:val="24"/>
              </w:rPr>
              <w:t>3</w:t>
            </w:r>
            <w:r>
              <w:rPr>
                <w:sz w:val="24"/>
              </w:rPr>
              <w:t>）废机油</w:t>
            </w:r>
          </w:p>
          <w:p>
            <w:pPr>
              <w:pStyle w:val="16"/>
              <w:pageBreakBefore w:val="0"/>
              <w:wordWrap w:val="0"/>
              <w:bidi w:val="0"/>
              <w:ind w:firstLine="480"/>
              <w:jc w:val="both"/>
              <w:rPr>
                <w:b/>
                <w:bCs/>
                <w:kern w:val="2"/>
                <w:sz w:val="24"/>
                <w:szCs w:val="24"/>
              </w:rPr>
            </w:pPr>
            <w:r>
              <w:rPr>
                <w:sz w:val="24"/>
              </w:rPr>
              <w:t>运营期间</w:t>
            </w:r>
            <w:r>
              <w:rPr>
                <w:rFonts w:hint="eastAsia"/>
                <w:sz w:val="24"/>
              </w:rPr>
              <w:t>对机械、设备等进行维修、保养等会</w:t>
            </w:r>
            <w:r>
              <w:rPr>
                <w:sz w:val="24"/>
              </w:rPr>
              <w:t>产生废机油</w:t>
            </w:r>
            <w:r>
              <w:rPr>
                <w:rFonts w:hint="eastAsia"/>
                <w:sz w:val="24"/>
                <w:lang w:eastAsia="zh-CN"/>
              </w:rPr>
              <w:t>，</w:t>
            </w:r>
            <w:r>
              <w:rPr>
                <w:rFonts w:hint="eastAsia"/>
                <w:sz w:val="24"/>
              </w:rPr>
              <w:t>年</w:t>
            </w:r>
            <w:r>
              <w:rPr>
                <w:sz w:val="24"/>
              </w:rPr>
              <w:t>产生量约</w:t>
            </w:r>
            <w:r>
              <w:rPr>
                <w:rFonts w:hint="eastAsia"/>
                <w:sz w:val="24"/>
              </w:rPr>
              <w:t>0.</w:t>
            </w:r>
            <w:r>
              <w:rPr>
                <w:rFonts w:hint="eastAsia"/>
                <w:sz w:val="24"/>
                <w:lang w:val="en-US" w:eastAsia="zh-CN"/>
              </w:rPr>
              <w:t>2</w:t>
            </w:r>
            <w:r>
              <w:rPr>
                <w:sz w:val="24"/>
              </w:rPr>
              <w:t>t，</w:t>
            </w:r>
            <w:r>
              <w:rPr>
                <w:rFonts w:hint="eastAsia"/>
                <w:sz w:val="24"/>
              </w:rPr>
              <w:t xml:space="preserve">根据《国家危险废物名录（2021年版）》，废矿物油为HW08类危险废物，废物代码为 900-214-08 </w:t>
            </w:r>
            <w:r>
              <w:rPr>
                <w:rFonts w:hint="eastAsia"/>
                <w:sz w:val="24"/>
                <w:lang w:eastAsia="zh-CN"/>
              </w:rPr>
              <w:t>，</w:t>
            </w:r>
            <w:r>
              <w:rPr>
                <w:rFonts w:hint="eastAsia"/>
                <w:sz w:val="24"/>
              </w:rPr>
              <w:t>废矿物油采用专用容器收集后暂存于危废间内，委托有资质单位清运处置。为保证固体废物暂存场内暂存的危险废物不对环境产生污染，项目危废暂存间严格按照《危险废物贮存污染控制标准》</w:t>
            </w:r>
            <w:r>
              <w:rPr>
                <w:rFonts w:hint="eastAsia"/>
                <w:sz w:val="24"/>
                <w:lang w:eastAsia="zh-CN"/>
              </w:rPr>
              <w:t>(</w:t>
            </w:r>
            <w:r>
              <w:rPr>
                <w:rFonts w:hint="eastAsia"/>
                <w:sz w:val="24"/>
              </w:rPr>
              <w:t>GB18</w:t>
            </w:r>
            <w:r>
              <w:rPr>
                <w:rFonts w:hint="eastAsia"/>
                <w:sz w:val="24"/>
                <w:lang w:val="en-US" w:eastAsia="zh-CN"/>
              </w:rPr>
              <w:t>5</w:t>
            </w:r>
            <w:r>
              <w:rPr>
                <w:rFonts w:hint="eastAsia"/>
                <w:sz w:val="24"/>
              </w:rPr>
              <w:t>97-20</w:t>
            </w:r>
            <w:r>
              <w:rPr>
                <w:sz w:val="24"/>
              </w:rPr>
              <w:t>23</w:t>
            </w:r>
            <w:r>
              <w:rPr>
                <w:rFonts w:hint="eastAsia"/>
                <w:sz w:val="24"/>
                <w:lang w:eastAsia="zh-CN"/>
              </w:rPr>
              <w:t>)</w:t>
            </w:r>
            <w:r>
              <w:rPr>
                <w:rFonts w:hint="eastAsia"/>
                <w:sz w:val="24"/>
              </w:rPr>
              <w:t>要求进行建设，并做好相关台账记录</w:t>
            </w:r>
            <w:r>
              <w:rPr>
                <w:sz w:val="24"/>
              </w:rPr>
              <w:t>。</w:t>
            </w:r>
          </w:p>
          <w:p>
            <w:pPr>
              <w:pStyle w:val="19"/>
              <w:pageBreakBefore w:val="0"/>
              <w:wordWrap w:val="0"/>
              <w:bidi w:val="0"/>
              <w:spacing w:after="0" w:line="240" w:lineRule="auto"/>
              <w:ind w:firstLine="0" w:firstLineChars="0"/>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表4-</w:t>
            </w:r>
            <w:r>
              <w:rPr>
                <w:rFonts w:hint="eastAsia" w:cs="Times New Roman"/>
                <w:b/>
                <w:color w:val="000000"/>
                <w:sz w:val="21"/>
                <w:szCs w:val="21"/>
                <w:lang w:val="en-US" w:eastAsia="zh-CN"/>
              </w:rPr>
              <w:t>8</w:t>
            </w:r>
            <w:r>
              <w:rPr>
                <w:rFonts w:hint="eastAsia" w:ascii="Times New Roman" w:hAnsi="Times New Roman" w:cs="Times New Roman"/>
                <w:b/>
                <w:color w:val="000000"/>
                <w:sz w:val="21"/>
                <w:szCs w:val="21"/>
                <w:lang w:val="en-US" w:eastAsia="zh-CN"/>
              </w:rPr>
              <w:t xml:space="preserve">  </w:t>
            </w:r>
            <w:r>
              <w:rPr>
                <w:rFonts w:hint="default" w:ascii="Times New Roman" w:hAnsi="Times New Roman" w:cs="Times New Roman"/>
                <w:b/>
                <w:color w:val="000000"/>
                <w:sz w:val="21"/>
                <w:szCs w:val="21"/>
                <w:lang w:val="en-US" w:eastAsia="zh-CN"/>
              </w:rPr>
              <w:t xml:space="preserve"> </w:t>
            </w:r>
            <w:r>
              <w:rPr>
                <w:rFonts w:hint="default" w:ascii="Times New Roman" w:hAnsi="Times New Roman" w:cs="Times New Roman"/>
                <w:b/>
                <w:color w:val="000000"/>
                <w:sz w:val="21"/>
                <w:szCs w:val="21"/>
              </w:rPr>
              <w:t>固体废物产量一览表</w:t>
            </w:r>
          </w:p>
          <w:tbl>
            <w:tblPr>
              <w:tblStyle w:val="23"/>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130"/>
              <w:gridCol w:w="1093"/>
              <w:gridCol w:w="1264"/>
              <w:gridCol w:w="1125"/>
              <w:gridCol w:w="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Align w:val="center"/>
                </w:tcPr>
                <w:p>
                  <w:pPr>
                    <w:pageBreakBefore w:val="0"/>
                    <w:wordWrap w:val="0"/>
                    <w:bidi w:val="0"/>
                    <w:spacing w:line="240" w:lineRule="auto"/>
                    <w:ind w:firstLine="0" w:firstLineChars="0"/>
                    <w:jc w:val="center"/>
                    <w:rPr>
                      <w:b/>
                      <w:bCs/>
                      <w:sz w:val="21"/>
                      <w:szCs w:val="21"/>
                    </w:rPr>
                  </w:pPr>
                  <w:r>
                    <w:rPr>
                      <w:b/>
                      <w:bCs/>
                      <w:sz w:val="21"/>
                      <w:szCs w:val="21"/>
                    </w:rPr>
                    <w:t>序号</w:t>
                  </w:r>
                </w:p>
              </w:tc>
              <w:tc>
                <w:tcPr>
                  <w:tcW w:w="727" w:type="pct"/>
                  <w:vAlign w:val="center"/>
                </w:tcPr>
                <w:p>
                  <w:pPr>
                    <w:pageBreakBefore w:val="0"/>
                    <w:wordWrap w:val="0"/>
                    <w:bidi w:val="0"/>
                    <w:spacing w:line="240" w:lineRule="auto"/>
                    <w:ind w:firstLine="0" w:firstLineChars="0"/>
                    <w:jc w:val="center"/>
                    <w:rPr>
                      <w:b/>
                      <w:bCs/>
                      <w:sz w:val="21"/>
                      <w:szCs w:val="21"/>
                    </w:rPr>
                  </w:pPr>
                  <w:r>
                    <w:rPr>
                      <w:b/>
                      <w:bCs/>
                      <w:sz w:val="21"/>
                      <w:szCs w:val="21"/>
                    </w:rPr>
                    <w:t>性质</w:t>
                  </w:r>
                </w:p>
              </w:tc>
              <w:tc>
                <w:tcPr>
                  <w:tcW w:w="703" w:type="pct"/>
                  <w:vAlign w:val="center"/>
                </w:tcPr>
                <w:p>
                  <w:pPr>
                    <w:pageBreakBefore w:val="0"/>
                    <w:wordWrap w:val="0"/>
                    <w:bidi w:val="0"/>
                    <w:spacing w:line="240" w:lineRule="auto"/>
                    <w:ind w:firstLine="0" w:firstLineChars="0"/>
                    <w:jc w:val="center"/>
                    <w:rPr>
                      <w:b/>
                      <w:bCs/>
                      <w:sz w:val="21"/>
                      <w:szCs w:val="21"/>
                    </w:rPr>
                  </w:pPr>
                  <w:r>
                    <w:rPr>
                      <w:b/>
                      <w:bCs/>
                      <w:sz w:val="21"/>
                      <w:szCs w:val="21"/>
                    </w:rPr>
                    <w:t>污染源</w:t>
                  </w:r>
                </w:p>
              </w:tc>
              <w:tc>
                <w:tcPr>
                  <w:tcW w:w="813" w:type="pct"/>
                  <w:vAlign w:val="center"/>
                </w:tcPr>
                <w:p>
                  <w:pPr>
                    <w:pageBreakBefore w:val="0"/>
                    <w:wordWrap w:val="0"/>
                    <w:bidi w:val="0"/>
                    <w:spacing w:line="240" w:lineRule="auto"/>
                    <w:ind w:firstLine="0" w:firstLineChars="0"/>
                    <w:jc w:val="center"/>
                    <w:rPr>
                      <w:b/>
                      <w:bCs/>
                      <w:sz w:val="21"/>
                      <w:szCs w:val="21"/>
                    </w:rPr>
                  </w:pPr>
                  <w:r>
                    <w:rPr>
                      <w:b/>
                      <w:bCs/>
                      <w:sz w:val="21"/>
                      <w:szCs w:val="21"/>
                    </w:rPr>
                    <w:t>危废代码</w:t>
                  </w:r>
                </w:p>
              </w:tc>
              <w:tc>
                <w:tcPr>
                  <w:tcW w:w="724" w:type="pct"/>
                  <w:vAlign w:val="center"/>
                </w:tcPr>
                <w:p>
                  <w:pPr>
                    <w:pageBreakBefore w:val="0"/>
                    <w:wordWrap w:val="0"/>
                    <w:bidi w:val="0"/>
                    <w:spacing w:line="240" w:lineRule="auto"/>
                    <w:ind w:firstLine="0" w:firstLineChars="0"/>
                    <w:jc w:val="center"/>
                    <w:rPr>
                      <w:b/>
                      <w:bCs/>
                      <w:sz w:val="21"/>
                      <w:szCs w:val="21"/>
                    </w:rPr>
                  </w:pPr>
                  <w:r>
                    <w:rPr>
                      <w:b/>
                      <w:bCs/>
                      <w:sz w:val="21"/>
                      <w:szCs w:val="21"/>
                    </w:rPr>
                    <w:t>产生量</w:t>
                  </w:r>
                  <w:r>
                    <w:rPr>
                      <w:rFonts w:hint="eastAsia"/>
                      <w:b/>
                      <w:bCs/>
                      <w:sz w:val="21"/>
                      <w:szCs w:val="21"/>
                    </w:rPr>
                    <w:t>t/a</w:t>
                  </w:r>
                </w:p>
              </w:tc>
              <w:tc>
                <w:tcPr>
                  <w:tcW w:w="1580" w:type="pct"/>
                  <w:vAlign w:val="center"/>
                </w:tcPr>
                <w:p>
                  <w:pPr>
                    <w:pageBreakBefore w:val="0"/>
                    <w:wordWrap w:val="0"/>
                    <w:bidi w:val="0"/>
                    <w:spacing w:line="240" w:lineRule="auto"/>
                    <w:ind w:firstLine="0" w:firstLineChars="0"/>
                    <w:jc w:val="center"/>
                    <w:rPr>
                      <w:b/>
                      <w:bCs/>
                      <w:sz w:val="21"/>
                      <w:szCs w:val="21"/>
                    </w:rPr>
                  </w:pPr>
                  <w:r>
                    <w:rPr>
                      <w:rFonts w:hint="eastAsia"/>
                      <w:b/>
                      <w:bCs/>
                      <w:sz w:val="21"/>
                      <w:szCs w:val="21"/>
                    </w:rPr>
                    <w:t>处置去向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451" w:type="pct"/>
                  <w:vAlign w:val="center"/>
                </w:tcPr>
                <w:p>
                  <w:pPr>
                    <w:pageBreakBefore w:val="0"/>
                    <w:wordWrap w:val="0"/>
                    <w:bidi w:val="0"/>
                    <w:spacing w:line="240" w:lineRule="auto"/>
                    <w:ind w:firstLine="0" w:firstLineChars="0"/>
                    <w:jc w:val="center"/>
                    <w:rPr>
                      <w:sz w:val="21"/>
                      <w:szCs w:val="21"/>
                    </w:rPr>
                  </w:pPr>
                  <w:r>
                    <w:rPr>
                      <w:sz w:val="21"/>
                      <w:szCs w:val="21"/>
                    </w:rPr>
                    <w:t>1</w:t>
                  </w:r>
                </w:p>
              </w:tc>
              <w:tc>
                <w:tcPr>
                  <w:tcW w:w="727" w:type="pct"/>
                  <w:vAlign w:val="center"/>
                </w:tcPr>
                <w:p>
                  <w:pPr>
                    <w:pageBreakBefore w:val="0"/>
                    <w:wordWrap w:val="0"/>
                    <w:bidi w:val="0"/>
                    <w:spacing w:line="240" w:lineRule="auto"/>
                    <w:ind w:firstLine="0" w:firstLineChars="0"/>
                    <w:jc w:val="center"/>
                    <w:rPr>
                      <w:sz w:val="21"/>
                      <w:szCs w:val="21"/>
                    </w:rPr>
                  </w:pPr>
                  <w:r>
                    <w:rPr>
                      <w:sz w:val="21"/>
                      <w:szCs w:val="21"/>
                    </w:rPr>
                    <w:t>一般工业固废</w:t>
                  </w:r>
                </w:p>
              </w:tc>
              <w:tc>
                <w:tcPr>
                  <w:tcW w:w="703" w:type="pct"/>
                  <w:vAlign w:val="center"/>
                </w:tcPr>
                <w:p>
                  <w:pPr>
                    <w:pageBreakBefore w:val="0"/>
                    <w:wordWrap w:val="0"/>
                    <w:bidi w:val="0"/>
                    <w:spacing w:line="240" w:lineRule="auto"/>
                    <w:ind w:firstLine="0" w:firstLineChars="0"/>
                    <w:jc w:val="center"/>
                    <w:rPr>
                      <w:sz w:val="21"/>
                      <w:szCs w:val="21"/>
                    </w:rPr>
                  </w:pPr>
                  <w:r>
                    <w:rPr>
                      <w:rFonts w:hint="eastAsia"/>
                      <w:sz w:val="21"/>
                      <w:szCs w:val="21"/>
                    </w:rPr>
                    <w:t>沉淀池底泥</w:t>
                  </w:r>
                </w:p>
              </w:tc>
              <w:tc>
                <w:tcPr>
                  <w:tcW w:w="813" w:type="pct"/>
                  <w:vAlign w:val="center"/>
                </w:tcPr>
                <w:p>
                  <w:pPr>
                    <w:pageBreakBefore w:val="0"/>
                    <w:wordWrap w:val="0"/>
                    <w:bidi w:val="0"/>
                    <w:spacing w:line="240" w:lineRule="auto"/>
                    <w:ind w:firstLine="420"/>
                    <w:rPr>
                      <w:sz w:val="21"/>
                      <w:szCs w:val="21"/>
                    </w:rPr>
                  </w:pPr>
                  <w:r>
                    <w:rPr>
                      <w:rFonts w:hint="eastAsia"/>
                      <w:sz w:val="21"/>
                      <w:szCs w:val="21"/>
                    </w:rPr>
                    <w:t>/</w:t>
                  </w:r>
                </w:p>
              </w:tc>
              <w:tc>
                <w:tcPr>
                  <w:tcW w:w="724" w:type="pct"/>
                  <w:vAlign w:val="center"/>
                </w:tcPr>
                <w:p>
                  <w:pPr>
                    <w:pageBreakBefore w:val="0"/>
                    <w:wordWrap w:val="0"/>
                    <w:bidi w:val="0"/>
                    <w:spacing w:line="240" w:lineRule="auto"/>
                    <w:ind w:firstLine="0" w:firstLineChars="0"/>
                    <w:jc w:val="center"/>
                    <w:rPr>
                      <w:rFonts w:hint="default" w:eastAsia="宋体"/>
                      <w:sz w:val="21"/>
                      <w:szCs w:val="21"/>
                      <w:lang w:val="en-US" w:eastAsia="zh-CN"/>
                    </w:rPr>
                  </w:pPr>
                  <w:r>
                    <w:rPr>
                      <w:rFonts w:hint="eastAsia"/>
                      <w:sz w:val="21"/>
                      <w:szCs w:val="21"/>
                      <w:lang w:val="en-US" w:eastAsia="zh-CN"/>
                    </w:rPr>
                    <w:t>11</w:t>
                  </w:r>
                </w:p>
              </w:tc>
              <w:tc>
                <w:tcPr>
                  <w:tcW w:w="1580" w:type="pct"/>
                  <w:vAlign w:val="center"/>
                </w:tcPr>
                <w:p>
                  <w:pPr>
                    <w:pageBreakBefore w:val="0"/>
                    <w:wordWrap w:val="0"/>
                    <w:bidi w:val="0"/>
                    <w:spacing w:line="240" w:lineRule="auto"/>
                    <w:ind w:firstLine="0" w:firstLineChars="0"/>
                    <w:jc w:val="center"/>
                    <w:rPr>
                      <w:sz w:val="21"/>
                      <w:szCs w:val="21"/>
                    </w:rPr>
                  </w:pPr>
                  <w:r>
                    <w:rPr>
                      <w:rFonts w:hint="eastAsia"/>
                      <w:sz w:val="21"/>
                      <w:szCs w:val="21"/>
                    </w:rPr>
                    <w:t>自然风干后定期回填至采坑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451" w:type="pct"/>
                  <w:vAlign w:val="center"/>
                </w:tcPr>
                <w:p>
                  <w:pPr>
                    <w:pageBreakBefore w:val="0"/>
                    <w:wordWrap w:val="0"/>
                    <w:bidi w:val="0"/>
                    <w:spacing w:line="240" w:lineRule="auto"/>
                    <w:ind w:firstLine="0" w:firstLineChars="0"/>
                    <w:jc w:val="center"/>
                    <w:rPr>
                      <w:sz w:val="21"/>
                      <w:szCs w:val="21"/>
                    </w:rPr>
                  </w:pPr>
                  <w:r>
                    <w:rPr>
                      <w:rFonts w:hint="eastAsia"/>
                      <w:sz w:val="21"/>
                      <w:szCs w:val="21"/>
                    </w:rPr>
                    <w:t>2</w:t>
                  </w:r>
                </w:p>
              </w:tc>
              <w:tc>
                <w:tcPr>
                  <w:tcW w:w="727" w:type="pct"/>
                  <w:vAlign w:val="center"/>
                </w:tcPr>
                <w:p>
                  <w:pPr>
                    <w:pageBreakBefore w:val="0"/>
                    <w:wordWrap w:val="0"/>
                    <w:bidi w:val="0"/>
                    <w:spacing w:line="240" w:lineRule="auto"/>
                    <w:ind w:firstLine="0" w:firstLineChars="0"/>
                    <w:jc w:val="center"/>
                    <w:rPr>
                      <w:sz w:val="21"/>
                      <w:szCs w:val="21"/>
                    </w:rPr>
                  </w:pPr>
                  <w:r>
                    <w:rPr>
                      <w:sz w:val="21"/>
                      <w:szCs w:val="21"/>
                    </w:rPr>
                    <w:t>生活垃圾</w:t>
                  </w:r>
                </w:p>
              </w:tc>
              <w:tc>
                <w:tcPr>
                  <w:tcW w:w="703" w:type="pct"/>
                  <w:vAlign w:val="center"/>
                </w:tcPr>
                <w:p>
                  <w:pPr>
                    <w:pageBreakBefore w:val="0"/>
                    <w:wordWrap w:val="0"/>
                    <w:bidi w:val="0"/>
                    <w:spacing w:line="240" w:lineRule="auto"/>
                    <w:ind w:firstLine="0" w:firstLineChars="0"/>
                    <w:jc w:val="center"/>
                    <w:rPr>
                      <w:sz w:val="21"/>
                      <w:szCs w:val="21"/>
                    </w:rPr>
                  </w:pPr>
                  <w:r>
                    <w:rPr>
                      <w:rFonts w:hint="eastAsia"/>
                      <w:sz w:val="21"/>
                      <w:szCs w:val="21"/>
                    </w:rPr>
                    <w:t>员工生活垃圾</w:t>
                  </w:r>
                </w:p>
              </w:tc>
              <w:tc>
                <w:tcPr>
                  <w:tcW w:w="813" w:type="pct"/>
                  <w:vAlign w:val="center"/>
                </w:tcPr>
                <w:p>
                  <w:pPr>
                    <w:pageBreakBefore w:val="0"/>
                    <w:wordWrap w:val="0"/>
                    <w:bidi w:val="0"/>
                    <w:spacing w:line="240" w:lineRule="auto"/>
                    <w:ind w:firstLine="420"/>
                    <w:rPr>
                      <w:sz w:val="21"/>
                      <w:szCs w:val="21"/>
                    </w:rPr>
                  </w:pPr>
                  <w:r>
                    <w:rPr>
                      <w:sz w:val="21"/>
                      <w:szCs w:val="21"/>
                    </w:rPr>
                    <w:t>/</w:t>
                  </w:r>
                </w:p>
              </w:tc>
              <w:tc>
                <w:tcPr>
                  <w:tcW w:w="724" w:type="pct"/>
                  <w:vAlign w:val="center"/>
                </w:tcPr>
                <w:p>
                  <w:pPr>
                    <w:pageBreakBefore w:val="0"/>
                    <w:wordWrap w:val="0"/>
                    <w:bidi w:val="0"/>
                    <w:spacing w:line="240" w:lineRule="auto"/>
                    <w:ind w:firstLine="0" w:firstLineChars="0"/>
                    <w:jc w:val="center"/>
                    <w:rPr>
                      <w:rFonts w:hint="default" w:eastAsia="宋体"/>
                      <w:sz w:val="21"/>
                      <w:szCs w:val="21"/>
                      <w:lang w:val="en-US" w:eastAsia="zh-CN"/>
                    </w:rPr>
                  </w:pPr>
                  <w:r>
                    <w:rPr>
                      <w:rFonts w:hint="eastAsia"/>
                      <w:sz w:val="21"/>
                      <w:szCs w:val="21"/>
                      <w:lang w:val="en-US" w:eastAsia="zh-CN"/>
                    </w:rPr>
                    <w:t>1.63</w:t>
                  </w:r>
                </w:p>
              </w:tc>
              <w:tc>
                <w:tcPr>
                  <w:tcW w:w="1580" w:type="pct"/>
                  <w:vAlign w:val="center"/>
                </w:tcPr>
                <w:p>
                  <w:pPr>
                    <w:pageBreakBefore w:val="0"/>
                    <w:wordWrap w:val="0"/>
                    <w:bidi w:val="0"/>
                    <w:spacing w:line="240" w:lineRule="auto"/>
                    <w:ind w:firstLine="0" w:firstLineChars="0"/>
                    <w:jc w:val="left"/>
                    <w:rPr>
                      <w:sz w:val="21"/>
                      <w:szCs w:val="21"/>
                    </w:rPr>
                  </w:pPr>
                  <w:r>
                    <w:rPr>
                      <w:rFonts w:hint="eastAsia"/>
                      <w:sz w:val="21"/>
                      <w:szCs w:val="21"/>
                    </w:rPr>
                    <w:t>集中分类收集后，由当地环卫部门统一清运处理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51" w:type="pct"/>
                  <w:vAlign w:val="center"/>
                </w:tcPr>
                <w:p>
                  <w:pPr>
                    <w:pageBreakBefore w:val="0"/>
                    <w:wordWrap w:val="0"/>
                    <w:bidi w:val="0"/>
                    <w:spacing w:line="240" w:lineRule="auto"/>
                    <w:ind w:firstLine="0" w:firstLineChars="0"/>
                    <w:jc w:val="center"/>
                    <w:rPr>
                      <w:sz w:val="21"/>
                      <w:szCs w:val="21"/>
                    </w:rPr>
                  </w:pPr>
                  <w:r>
                    <w:rPr>
                      <w:rFonts w:hint="eastAsia"/>
                      <w:sz w:val="21"/>
                      <w:szCs w:val="21"/>
                    </w:rPr>
                    <w:t>3</w:t>
                  </w:r>
                </w:p>
              </w:tc>
              <w:tc>
                <w:tcPr>
                  <w:tcW w:w="727" w:type="pct"/>
                  <w:vAlign w:val="center"/>
                </w:tcPr>
                <w:p>
                  <w:pPr>
                    <w:pageBreakBefore w:val="0"/>
                    <w:wordWrap w:val="0"/>
                    <w:bidi w:val="0"/>
                    <w:spacing w:line="240" w:lineRule="auto"/>
                    <w:ind w:firstLine="0" w:firstLineChars="0"/>
                    <w:jc w:val="center"/>
                    <w:rPr>
                      <w:sz w:val="21"/>
                      <w:szCs w:val="21"/>
                    </w:rPr>
                  </w:pPr>
                  <w:r>
                    <w:rPr>
                      <w:rFonts w:hint="eastAsia"/>
                      <w:sz w:val="21"/>
                      <w:szCs w:val="21"/>
                    </w:rPr>
                    <w:t>危险废物</w:t>
                  </w:r>
                </w:p>
              </w:tc>
              <w:tc>
                <w:tcPr>
                  <w:tcW w:w="703" w:type="pct"/>
                  <w:vAlign w:val="center"/>
                </w:tcPr>
                <w:p>
                  <w:pPr>
                    <w:pageBreakBefore w:val="0"/>
                    <w:wordWrap w:val="0"/>
                    <w:bidi w:val="0"/>
                    <w:spacing w:line="240" w:lineRule="auto"/>
                    <w:ind w:firstLine="0" w:firstLineChars="0"/>
                    <w:jc w:val="center"/>
                    <w:rPr>
                      <w:sz w:val="21"/>
                      <w:szCs w:val="21"/>
                    </w:rPr>
                  </w:pPr>
                  <w:r>
                    <w:rPr>
                      <w:sz w:val="21"/>
                      <w:szCs w:val="21"/>
                    </w:rPr>
                    <w:t>废机油</w:t>
                  </w:r>
                </w:p>
              </w:tc>
              <w:tc>
                <w:tcPr>
                  <w:tcW w:w="813" w:type="pct"/>
                  <w:vAlign w:val="center"/>
                </w:tcPr>
                <w:p>
                  <w:pPr>
                    <w:pageBreakBefore w:val="0"/>
                    <w:wordWrap w:val="0"/>
                    <w:bidi w:val="0"/>
                    <w:spacing w:line="240" w:lineRule="auto"/>
                    <w:ind w:firstLine="0" w:firstLineChars="0"/>
                    <w:jc w:val="center"/>
                    <w:rPr>
                      <w:sz w:val="21"/>
                      <w:szCs w:val="21"/>
                    </w:rPr>
                  </w:pPr>
                  <w:r>
                    <w:rPr>
                      <w:sz w:val="21"/>
                      <w:szCs w:val="21"/>
                    </w:rPr>
                    <w:t>900-218-08</w:t>
                  </w:r>
                </w:p>
              </w:tc>
              <w:tc>
                <w:tcPr>
                  <w:tcW w:w="724" w:type="pct"/>
                  <w:vAlign w:val="center"/>
                </w:tcPr>
                <w:p>
                  <w:pPr>
                    <w:pageBreakBefore w:val="0"/>
                    <w:wordWrap w:val="0"/>
                    <w:bidi w:val="0"/>
                    <w:spacing w:line="240" w:lineRule="auto"/>
                    <w:ind w:firstLine="0" w:firstLineChars="0"/>
                    <w:jc w:val="center"/>
                    <w:rPr>
                      <w:rFonts w:hint="eastAsia" w:eastAsia="宋体"/>
                      <w:sz w:val="21"/>
                      <w:szCs w:val="21"/>
                      <w:lang w:eastAsia="zh-CN"/>
                    </w:rPr>
                  </w:pPr>
                  <w:r>
                    <w:rPr>
                      <w:rFonts w:hint="eastAsia"/>
                      <w:sz w:val="21"/>
                      <w:szCs w:val="21"/>
                    </w:rPr>
                    <w:t>0.</w:t>
                  </w:r>
                  <w:r>
                    <w:rPr>
                      <w:rFonts w:hint="eastAsia"/>
                      <w:sz w:val="21"/>
                      <w:szCs w:val="21"/>
                      <w:lang w:val="en-US" w:eastAsia="zh-CN"/>
                    </w:rPr>
                    <w:t>2</w:t>
                  </w:r>
                </w:p>
              </w:tc>
              <w:tc>
                <w:tcPr>
                  <w:tcW w:w="1580" w:type="pct"/>
                  <w:vAlign w:val="center"/>
                </w:tcPr>
                <w:p>
                  <w:pPr>
                    <w:pageBreakBefore w:val="0"/>
                    <w:wordWrap w:val="0"/>
                    <w:bidi w:val="0"/>
                    <w:spacing w:line="240" w:lineRule="auto"/>
                    <w:ind w:firstLine="0" w:firstLineChars="0"/>
                    <w:jc w:val="center"/>
                    <w:rPr>
                      <w:sz w:val="21"/>
                      <w:szCs w:val="21"/>
                    </w:rPr>
                  </w:pPr>
                  <w:r>
                    <w:rPr>
                      <w:rFonts w:hint="eastAsia"/>
                      <w:sz w:val="21"/>
                      <w:szCs w:val="21"/>
                      <w:lang w:eastAsia="zh-CN"/>
                    </w:rPr>
                    <w:t>危废暂存间暂存，定期</w:t>
                  </w:r>
                  <w:r>
                    <w:rPr>
                      <w:rFonts w:hint="eastAsia"/>
                      <w:sz w:val="21"/>
                      <w:szCs w:val="21"/>
                    </w:rPr>
                    <w:t>委托有资质单位处置</w:t>
                  </w:r>
                </w:p>
              </w:tc>
            </w:tr>
          </w:tbl>
          <w:p>
            <w:pPr>
              <w:pageBreakBefore w:val="0"/>
              <w:wordWrap w:val="0"/>
              <w:bidi w:val="0"/>
              <w:ind w:firstLine="0" w:firstLineChars="0"/>
              <w:rPr>
                <w:rFonts w:hint="eastAsia"/>
                <w:b/>
                <w:bCs/>
                <w:kern w:val="0"/>
                <w:szCs w:val="20"/>
              </w:rPr>
            </w:pPr>
            <w:r>
              <w:rPr>
                <w:rFonts w:hint="eastAsia"/>
                <w:b/>
                <w:bCs/>
                <w:kern w:val="0"/>
                <w:szCs w:val="20"/>
                <w:lang w:val="en-US" w:eastAsia="zh-CN"/>
              </w:rPr>
              <w:t xml:space="preserve">5.生态环境影响分析 </w:t>
            </w:r>
          </w:p>
          <w:p>
            <w:pPr>
              <w:pageBreakBefore w:val="0"/>
              <w:wordWrap w:val="0"/>
              <w:bidi w:val="0"/>
              <w:rPr>
                <w:rFonts w:hint="eastAsia"/>
              </w:rPr>
            </w:pPr>
            <w:r>
              <w:rPr>
                <w:rFonts w:hint="eastAsia"/>
                <w:lang w:val="en-US" w:eastAsia="zh-CN"/>
              </w:rPr>
              <w:t>采石的过程，一般都伴随着植被的破坏，表层土体的剥离，岩石的开采与破碎等过程。这些过程破坏了生态系统的稳定与良性循环，产生了一定的生态环境影响和危害。</w:t>
            </w:r>
          </w:p>
          <w:p>
            <w:pPr>
              <w:pageBreakBefore w:val="0"/>
              <w:wordWrap w:val="0"/>
              <w:bidi w:val="0"/>
              <w:rPr>
                <w:rFonts w:hint="eastAsia"/>
                <w:b/>
                <w:bCs/>
                <w:kern w:val="0"/>
                <w:szCs w:val="20"/>
              </w:rPr>
            </w:pPr>
            <w:r>
              <w:rPr>
                <w:rFonts w:hint="eastAsia"/>
                <w:b/>
                <w:bCs/>
                <w:kern w:val="0"/>
                <w:szCs w:val="20"/>
                <w:lang w:val="en-US" w:eastAsia="zh-CN"/>
              </w:rPr>
              <w:t xml:space="preserve">5.1对植物的影响 </w:t>
            </w:r>
          </w:p>
          <w:p>
            <w:pPr>
              <w:pageBreakBefore w:val="0"/>
              <w:wordWrap w:val="0"/>
              <w:bidi w:val="0"/>
              <w:rPr>
                <w:rFonts w:hint="eastAsia"/>
                <w:b/>
                <w:bCs/>
                <w:kern w:val="0"/>
                <w:szCs w:val="20"/>
              </w:rPr>
            </w:pPr>
            <w:r>
              <w:rPr>
                <w:rFonts w:hint="eastAsia"/>
                <w:lang w:val="en-US" w:eastAsia="zh-CN"/>
              </w:rPr>
              <w:t>矿区地形平坦，矿体近水平层状产出，直接出露地表，剥离表土用于场地生态修复，矿体厚度为松散的堆积物，其土地类型主要是裸岩石砾地，矿山开采期间，将造成评价区生物量损失。矿区开采结束后，采区内原地貌、生态系统不复存在，形成裸露地表和采矿区，影响矿区地貌景观，破坏了原地貌地表植被和土地。根据现场调查，矿区及其可能影响范围内，无珍稀、濒危的野生动、植物分布，偶尔有零星杂草生长，植被覆盖度极低，不到1%。因此，本项目矿山开采对区域内植被影响较小，造成的生物量损失较少。闭矿后通过土地整治与生态恢复措施，项目开采行为对区域植被及景观环境影响较小。</w:t>
            </w:r>
            <w:r>
              <w:rPr>
                <w:rFonts w:hint="eastAsia"/>
                <w:b/>
                <w:bCs/>
                <w:kern w:val="0"/>
                <w:szCs w:val="20"/>
                <w:lang w:val="en-US" w:eastAsia="zh-CN"/>
              </w:rPr>
              <w:t xml:space="preserve"> </w:t>
            </w:r>
          </w:p>
          <w:p>
            <w:pPr>
              <w:pageBreakBefore w:val="0"/>
              <w:wordWrap w:val="0"/>
              <w:bidi w:val="0"/>
              <w:ind w:firstLine="482" w:firstLineChars="200"/>
              <w:rPr>
                <w:rFonts w:hint="eastAsia"/>
                <w:b/>
                <w:bCs/>
                <w:kern w:val="0"/>
                <w:szCs w:val="20"/>
              </w:rPr>
            </w:pPr>
            <w:r>
              <w:rPr>
                <w:rFonts w:hint="eastAsia"/>
                <w:b/>
                <w:bCs/>
                <w:kern w:val="0"/>
                <w:szCs w:val="20"/>
                <w:lang w:val="en-US" w:eastAsia="zh-CN"/>
              </w:rPr>
              <w:t xml:space="preserve">5.2对动物的影响 </w:t>
            </w:r>
          </w:p>
          <w:p>
            <w:pPr>
              <w:pageBreakBefore w:val="0"/>
              <w:wordWrap w:val="0"/>
              <w:bidi w:val="0"/>
            </w:pPr>
            <w:r>
              <w:rPr>
                <w:rFonts w:hint="eastAsia"/>
                <w:lang w:val="en-US" w:eastAsia="zh-CN"/>
              </w:rPr>
              <w:t>采石场建设对植被破坏的同时，也破坏了原有生态环境小型野生动物的栖息环境，加上矿山施工机械噪声及人员活动产生的影响，对周围动物的生活造成干扰，使它们的生活受到威胁而迁徙，远离矿山施工地周围。在直接影响区，动物将</w:t>
            </w:r>
            <w:r>
              <w:rPr>
                <w:rFonts w:hint="eastAsia"/>
                <w:b w:val="0"/>
                <w:bCs w:val="0"/>
                <w:kern w:val="0"/>
                <w:szCs w:val="20"/>
                <w:lang w:val="en-US" w:eastAsia="zh-CN"/>
              </w:rPr>
              <w:t>不会出现。因此，矿山建设对评价区小型野生动物的类型及数量会产</w:t>
            </w:r>
            <w:r>
              <w:rPr>
                <w:lang w:val="en-US" w:eastAsia="zh-CN"/>
              </w:rPr>
              <w:t>生一定负面影响。但矿区分布的小型野生动物为当地常见类型，无国家和省级重点保护的野生动物，且由于当地人为活动频繁，这些动物已经对人为活动有一定的适应能力，因此，矿山生产不会造成该区域某一物种消失，对这些动物的生存影响较小</w:t>
            </w:r>
            <w:r>
              <w:rPr>
                <w:rFonts w:ascii="仿宋_GB2312" w:hAnsi="仿宋_GB2312" w:eastAsia="仿宋_GB2312" w:cs="仿宋_GB2312"/>
                <w:color w:val="000000"/>
                <w:kern w:val="0"/>
                <w:szCs w:val="24"/>
                <w:lang w:val="en-US" w:eastAsia="zh-CN" w:bidi="ar"/>
              </w:rPr>
              <w:t>。</w:t>
            </w:r>
          </w:p>
          <w:p>
            <w:pPr>
              <w:pageBreakBefore w:val="0"/>
              <w:wordWrap w:val="0"/>
              <w:bidi w:val="0"/>
              <w:ind w:firstLine="482" w:firstLineChars="200"/>
              <w:rPr>
                <w:rFonts w:hint="eastAsia"/>
                <w:b/>
                <w:bCs/>
                <w:kern w:val="0"/>
                <w:szCs w:val="20"/>
              </w:rPr>
            </w:pPr>
            <w:r>
              <w:rPr>
                <w:rFonts w:hint="default"/>
                <w:b/>
                <w:bCs/>
                <w:kern w:val="0"/>
                <w:szCs w:val="20"/>
                <w:lang w:val="en-US" w:eastAsia="zh-CN"/>
              </w:rPr>
              <w:t>5.3</w:t>
            </w:r>
            <w:r>
              <w:rPr>
                <w:rFonts w:hint="eastAsia"/>
                <w:b/>
                <w:bCs/>
                <w:kern w:val="0"/>
                <w:szCs w:val="20"/>
                <w:lang w:val="en-US" w:eastAsia="zh-CN"/>
              </w:rPr>
              <w:t>对景观的影响</w:t>
            </w:r>
          </w:p>
          <w:p>
            <w:pPr>
              <w:pageBreakBefore w:val="0"/>
              <w:wordWrap w:val="0"/>
              <w:bidi w:val="0"/>
              <w:rPr>
                <w:rFonts w:hint="eastAsia"/>
                <w:lang w:val="en-US" w:eastAsia="zh-CN"/>
              </w:rPr>
            </w:pPr>
            <w:r>
              <w:rPr>
                <w:rFonts w:hint="eastAsia"/>
                <w:lang w:val="en-US" w:eastAsia="zh-CN"/>
              </w:rPr>
              <w:t>项目建设过程中，由于矿石的采掘，造成原有植被的破坏，裸露地貌的出现，对当地的景观美学造成较大程度的影响，使得景观破碎性与异质性增加，在原有大植被景观斑块中出现部分小的人工裸露景观斑块，这在一定程度上降低了生态系统的连通性，对景观的视觉美、心理舒适感和协调性将会产生一定程度的不利影响。因此必须在开采过程中和开采完毕后及时进行修复和重塑，对开采区边缘和堆料场进行及时绿化，减少开采造成的视觉冲击。</w:t>
            </w:r>
          </w:p>
          <w:p>
            <w:pPr>
              <w:pageBreakBefore w:val="0"/>
              <w:wordWrap w:val="0"/>
              <w:bidi w:val="0"/>
              <w:rPr>
                <w:lang w:val="en-US" w:eastAsia="zh-CN"/>
              </w:rPr>
            </w:pPr>
            <w:r>
              <w:rPr>
                <w:rFonts w:hint="eastAsia"/>
                <w:lang w:val="en-US" w:eastAsia="zh-CN"/>
              </w:rPr>
              <w:t>同时由于砂石矿场及周边范围内没有保护文物，通过调整开采朝向及采取生态修复措施后，项目对区域自然景观影响可以接受。随着砖瓦用砂石矿服务期满后，对场地的平整、复垦、水土流失的防治等，会形成新的景观，保持现有评价区域内生态系统平衡，促进该地区景观生态系统向良性方向发展</w:t>
            </w:r>
            <w:r>
              <w:rPr>
                <w:lang w:val="en-US" w:eastAsia="zh-CN"/>
              </w:rPr>
              <w:t>。</w:t>
            </w:r>
          </w:p>
          <w:p>
            <w:pPr>
              <w:pageBreakBefore w:val="0"/>
              <w:wordWrap w:val="0"/>
              <w:bidi w:val="0"/>
              <w:ind w:firstLine="480"/>
              <w:rPr>
                <w:rFonts w:hint="default" w:ascii="Times New Roman" w:hAnsi="Times New Roman" w:eastAsia="宋体"/>
                <w:b/>
                <w:bCs/>
              </w:rPr>
            </w:pPr>
            <w:r>
              <w:rPr>
                <w:rFonts w:hint="eastAsia" w:ascii="Times New Roman" w:hAnsi="Times New Roman" w:eastAsia="宋体"/>
                <w:b/>
                <w:bCs/>
                <w:lang w:val="en-US" w:eastAsia="zh-CN"/>
              </w:rPr>
              <w:t>5.4</w:t>
            </w:r>
            <w:r>
              <w:rPr>
                <w:rFonts w:hint="default" w:ascii="Times New Roman" w:hAnsi="Times New Roman" w:eastAsia="宋体"/>
                <w:b/>
                <w:bCs/>
              </w:rPr>
              <w:t>对土地利用功能的影响分析</w:t>
            </w:r>
          </w:p>
          <w:p>
            <w:pPr>
              <w:pageBreakBefore w:val="0"/>
              <w:wordWrap w:val="0"/>
              <w:bidi w:val="0"/>
              <w:ind w:firstLine="480"/>
              <w:rPr>
                <w:rFonts w:hint="default" w:ascii="Times New Roman" w:hAnsi="Times New Roman" w:eastAsia="宋体"/>
              </w:rPr>
            </w:pPr>
            <w:r>
              <w:rPr>
                <w:rFonts w:hint="default" w:ascii="Times New Roman" w:hAnsi="Times New Roman" w:eastAsia="宋体"/>
              </w:rPr>
              <w:t>本项目占地范围土地利用类型属于</w:t>
            </w:r>
            <w:r>
              <w:rPr>
                <w:rFonts w:hint="eastAsia" w:ascii="Times New Roman" w:hAnsi="Times New Roman" w:eastAsia="宋体"/>
                <w:lang w:eastAsia="zh-CN"/>
              </w:rPr>
              <w:t>裸岩石砾地</w:t>
            </w:r>
            <w:r>
              <w:rPr>
                <w:rFonts w:hint="default" w:ascii="Times New Roman" w:hAnsi="Times New Roman" w:eastAsia="宋体"/>
              </w:rPr>
              <w:t>。运营期</w:t>
            </w:r>
            <w:r>
              <w:rPr>
                <w:rFonts w:hint="default" w:ascii="Times New Roman" w:hAnsi="Times New Roman" w:eastAsia="宋体"/>
                <w:lang w:val="en-US" w:eastAsia="zh-CN"/>
              </w:rPr>
              <w:t>损坏土地</w:t>
            </w:r>
            <w:r>
              <w:rPr>
                <w:rFonts w:hint="default" w:ascii="Times New Roman" w:hAnsi="Times New Roman" w:eastAsia="宋体"/>
              </w:rPr>
              <w:t>占地面积为</w:t>
            </w:r>
            <w:r>
              <w:rPr>
                <w:rFonts w:hint="eastAsia"/>
                <w:lang w:val="en-US" w:eastAsia="zh-CN"/>
              </w:rPr>
              <w:t>182000</w:t>
            </w:r>
            <w:r>
              <w:rPr>
                <w:rFonts w:hint="default" w:ascii="Times New Roman" w:hAnsi="Times New Roman" w:eastAsia="宋体"/>
              </w:rPr>
              <w:t>m</w:t>
            </w:r>
            <w:r>
              <w:rPr>
                <w:rFonts w:hint="default" w:ascii="Times New Roman" w:hAnsi="Times New Roman" w:eastAsia="宋体"/>
                <w:vertAlign w:val="superscript"/>
              </w:rPr>
              <w:t>2</w:t>
            </w:r>
            <w:r>
              <w:rPr>
                <w:rFonts w:hint="default" w:ascii="Times New Roman" w:hAnsi="Times New Roman" w:eastAsia="宋体"/>
              </w:rPr>
              <w:t>。本项目占地情况见表4-</w:t>
            </w:r>
            <w:r>
              <w:rPr>
                <w:rFonts w:hint="eastAsia"/>
                <w:lang w:val="en-US" w:eastAsia="zh-CN"/>
              </w:rPr>
              <w:t>9</w:t>
            </w:r>
            <w:r>
              <w:rPr>
                <w:rFonts w:hint="default" w:ascii="Times New Roman" w:hAnsi="Times New Roman" w:eastAsia="宋体"/>
              </w:rPr>
              <w:t>。</w:t>
            </w:r>
          </w:p>
          <w:p>
            <w:pPr>
              <w:autoSpaceDE w:val="0"/>
              <w:autoSpaceDN w:val="0"/>
              <w:adjustRightInd w:val="0"/>
              <w:snapToGrid w:val="0"/>
              <w:spacing w:line="240" w:lineRule="auto"/>
              <w:ind w:firstLine="0" w:firstLineChars="0"/>
              <w:jc w:val="center"/>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b/>
                <w:color w:val="auto"/>
                <w:kern w:val="0"/>
                <w:sz w:val="21"/>
                <w:szCs w:val="21"/>
              </w:rPr>
              <w:t>表4-</w:t>
            </w:r>
            <w:r>
              <w:rPr>
                <w:rFonts w:hint="eastAsia" w:cs="Times New Roman"/>
                <w:b/>
                <w:color w:val="auto"/>
                <w:kern w:val="0"/>
                <w:sz w:val="21"/>
                <w:szCs w:val="21"/>
                <w:lang w:val="en-US" w:eastAsia="zh-CN"/>
              </w:rPr>
              <w:t>9</w:t>
            </w:r>
            <w:r>
              <w:rPr>
                <w:rFonts w:hint="eastAsia" w:ascii="Times New Roman" w:hAnsi="Times New Roman" w:eastAsia="宋体" w:cs="Times New Roman"/>
                <w:b/>
                <w:color w:val="auto"/>
                <w:kern w:val="0"/>
                <w:sz w:val="21"/>
                <w:szCs w:val="21"/>
                <w:lang w:val="en-US" w:eastAsia="zh-CN"/>
              </w:rPr>
              <w:t xml:space="preserve">   </w:t>
            </w:r>
            <w:r>
              <w:rPr>
                <w:rFonts w:hint="default" w:ascii="Times New Roman" w:hAnsi="Times New Roman" w:eastAsia="宋体" w:cs="Times New Roman"/>
                <w:b/>
                <w:color w:val="auto"/>
                <w:kern w:val="0"/>
                <w:sz w:val="21"/>
                <w:szCs w:val="21"/>
              </w:rPr>
              <w:t>项目占地情况表</w:t>
            </w:r>
          </w:p>
          <w:tbl>
            <w:tblPr>
              <w:tblStyle w:val="2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605"/>
              <w:gridCol w:w="427"/>
              <w:gridCol w:w="1097"/>
              <w:gridCol w:w="1024"/>
              <w:gridCol w:w="749"/>
              <w:gridCol w:w="1596"/>
              <w:gridCol w:w="1111"/>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pPr>
                    <w:pStyle w:val="52"/>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规划</w:t>
                  </w:r>
                </w:p>
              </w:tc>
              <w:tc>
                <w:tcPr>
                  <w:tcW w:w="389" w:type="pct"/>
                  <w:noWrap w:val="0"/>
                  <w:vAlign w:val="center"/>
                </w:tcPr>
                <w:p>
                  <w:pPr>
                    <w:pStyle w:val="52"/>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范围</w:t>
                  </w:r>
                </w:p>
              </w:tc>
              <w:tc>
                <w:tcPr>
                  <w:tcW w:w="274" w:type="pct"/>
                  <w:noWrap w:val="0"/>
                  <w:vAlign w:val="center"/>
                </w:tcPr>
                <w:p>
                  <w:pPr>
                    <w:pStyle w:val="52"/>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704" w:type="pct"/>
                  <w:noWrap w:val="0"/>
                  <w:vAlign w:val="center"/>
                </w:tcPr>
                <w:p>
                  <w:pPr>
                    <w:pStyle w:val="52"/>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项目名称</w:t>
                  </w:r>
                </w:p>
              </w:tc>
              <w:tc>
                <w:tcPr>
                  <w:tcW w:w="659" w:type="pct"/>
                  <w:noWrap w:val="0"/>
                  <w:vAlign w:val="center"/>
                </w:tcPr>
                <w:p>
                  <w:pPr>
                    <w:pStyle w:val="52"/>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面积（平方米）</w:t>
                  </w:r>
                </w:p>
              </w:tc>
              <w:tc>
                <w:tcPr>
                  <w:tcW w:w="482" w:type="pct"/>
                  <w:noWrap w:val="0"/>
                  <w:vAlign w:val="center"/>
                </w:tcPr>
                <w:p>
                  <w:pPr>
                    <w:pStyle w:val="52"/>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破坏</w:t>
                  </w:r>
                </w:p>
                <w:p>
                  <w:pPr>
                    <w:pStyle w:val="52"/>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方式</w:t>
                  </w:r>
                </w:p>
              </w:tc>
              <w:tc>
                <w:tcPr>
                  <w:tcW w:w="1027" w:type="pct"/>
                  <w:noWrap w:val="0"/>
                  <w:vAlign w:val="center"/>
                </w:tcPr>
                <w:p>
                  <w:pPr>
                    <w:pStyle w:val="52"/>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占地</w:t>
                  </w:r>
                </w:p>
                <w:p>
                  <w:pPr>
                    <w:pStyle w:val="52"/>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类型</w:t>
                  </w:r>
                </w:p>
              </w:tc>
              <w:tc>
                <w:tcPr>
                  <w:tcW w:w="714" w:type="pct"/>
                  <w:noWrap w:val="0"/>
                  <w:vAlign w:val="center"/>
                </w:tcPr>
                <w:p>
                  <w:pPr>
                    <w:pStyle w:val="52"/>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场地位置</w:t>
                  </w:r>
                </w:p>
              </w:tc>
              <w:tc>
                <w:tcPr>
                  <w:tcW w:w="409" w:type="pct"/>
                  <w:noWrap w:val="0"/>
                  <w:vAlign w:val="center"/>
                </w:tcPr>
                <w:p>
                  <w:pPr>
                    <w:pStyle w:val="52"/>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土地</w:t>
                  </w:r>
                </w:p>
                <w:p>
                  <w:pPr>
                    <w:pStyle w:val="52"/>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权属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38" w:type="pct"/>
                  <w:vMerge w:val="restart"/>
                  <w:noWrap w:val="0"/>
                  <w:vAlign w:val="center"/>
                </w:tcPr>
                <w:p>
                  <w:pPr>
                    <w:pStyle w:val="52"/>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规划地面布局</w:t>
                  </w:r>
                </w:p>
              </w:tc>
              <w:tc>
                <w:tcPr>
                  <w:tcW w:w="389" w:type="pct"/>
                  <w:vMerge w:val="restart"/>
                  <w:noWrap w:val="0"/>
                  <w:vAlign w:val="center"/>
                </w:tcPr>
                <w:p>
                  <w:pPr>
                    <w:pStyle w:val="52"/>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矿区范围内</w:t>
                  </w:r>
                </w:p>
              </w:tc>
              <w:tc>
                <w:tcPr>
                  <w:tcW w:w="274" w:type="pct"/>
                  <w:noWrap w:val="0"/>
                  <w:vAlign w:val="center"/>
                </w:tcPr>
                <w:p>
                  <w:pPr>
                    <w:pStyle w:val="52"/>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704" w:type="pct"/>
                  <w:noWrap w:val="0"/>
                  <w:vAlign w:val="center"/>
                </w:tcPr>
                <w:p>
                  <w:pPr>
                    <w:pStyle w:val="52"/>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规划露天采场</w:t>
                  </w:r>
                </w:p>
              </w:tc>
              <w:tc>
                <w:tcPr>
                  <w:tcW w:w="659" w:type="pct"/>
                  <w:noWrap w:val="0"/>
                  <w:vAlign w:val="center"/>
                </w:tcPr>
                <w:p>
                  <w:pPr>
                    <w:pStyle w:val="52"/>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182000</w:t>
                  </w:r>
                </w:p>
              </w:tc>
              <w:tc>
                <w:tcPr>
                  <w:tcW w:w="482" w:type="pct"/>
                  <w:noWrap w:val="0"/>
                  <w:vAlign w:val="center"/>
                </w:tcPr>
                <w:p>
                  <w:pPr>
                    <w:pStyle w:val="52"/>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挖损</w:t>
                  </w:r>
                </w:p>
              </w:tc>
              <w:tc>
                <w:tcPr>
                  <w:tcW w:w="1027" w:type="pct"/>
                  <w:noWrap w:val="0"/>
                  <w:vAlign w:val="center"/>
                </w:tcPr>
                <w:p>
                  <w:pPr>
                    <w:pStyle w:val="52"/>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其他土地</w:t>
                  </w:r>
                </w:p>
                <w:p>
                  <w:pPr>
                    <w:pStyle w:val="52"/>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裸岩石砾地</w:t>
                  </w:r>
                  <w:r>
                    <w:rPr>
                      <w:rFonts w:hint="default" w:ascii="Times New Roman" w:hAnsi="Times New Roman" w:eastAsia="宋体" w:cs="Times New Roman"/>
                      <w:color w:val="auto"/>
                      <w:sz w:val="21"/>
                      <w:szCs w:val="21"/>
                    </w:rPr>
                    <w:t>）</w:t>
                  </w:r>
                </w:p>
              </w:tc>
              <w:tc>
                <w:tcPr>
                  <w:tcW w:w="714" w:type="pct"/>
                  <w:noWrap w:val="0"/>
                  <w:vAlign w:val="center"/>
                </w:tcPr>
                <w:p>
                  <w:pPr>
                    <w:pStyle w:val="52"/>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砂石料矿体</w:t>
                  </w:r>
                </w:p>
              </w:tc>
              <w:tc>
                <w:tcPr>
                  <w:tcW w:w="409" w:type="pct"/>
                  <w:vMerge w:val="restart"/>
                  <w:noWrap w:val="0"/>
                  <w:vAlign w:val="center"/>
                </w:tcPr>
                <w:p>
                  <w:pPr>
                    <w:pStyle w:val="52"/>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国有土地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noWrap w:val="0"/>
                  <w:vAlign w:val="center"/>
                </w:tcPr>
                <w:p>
                  <w:pPr>
                    <w:pStyle w:val="52"/>
                    <w:spacing w:line="240" w:lineRule="auto"/>
                    <w:jc w:val="center"/>
                    <w:rPr>
                      <w:rFonts w:hint="default" w:ascii="Times New Roman" w:hAnsi="Times New Roman" w:eastAsia="宋体" w:cs="Times New Roman"/>
                      <w:color w:val="auto"/>
                      <w:sz w:val="21"/>
                      <w:szCs w:val="21"/>
                    </w:rPr>
                  </w:pPr>
                </w:p>
              </w:tc>
              <w:tc>
                <w:tcPr>
                  <w:tcW w:w="389" w:type="pct"/>
                  <w:vMerge w:val="continue"/>
                  <w:noWrap w:val="0"/>
                  <w:vAlign w:val="center"/>
                </w:tcPr>
                <w:p>
                  <w:pPr>
                    <w:pStyle w:val="52"/>
                    <w:spacing w:line="240" w:lineRule="auto"/>
                    <w:jc w:val="center"/>
                    <w:rPr>
                      <w:rFonts w:hint="default" w:ascii="Times New Roman" w:hAnsi="Times New Roman" w:eastAsia="宋体" w:cs="Times New Roman"/>
                      <w:color w:val="auto"/>
                      <w:sz w:val="21"/>
                      <w:szCs w:val="21"/>
                    </w:rPr>
                  </w:pPr>
                </w:p>
              </w:tc>
              <w:tc>
                <w:tcPr>
                  <w:tcW w:w="274" w:type="pct"/>
                  <w:noWrap w:val="0"/>
                  <w:vAlign w:val="center"/>
                </w:tcPr>
                <w:p>
                  <w:pPr>
                    <w:pStyle w:val="52"/>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704" w:type="pct"/>
                  <w:noWrap w:val="0"/>
                  <w:vAlign w:val="center"/>
                </w:tcPr>
                <w:p>
                  <w:pPr>
                    <w:pStyle w:val="52"/>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规划工业广场</w:t>
                  </w:r>
                </w:p>
              </w:tc>
              <w:tc>
                <w:tcPr>
                  <w:tcW w:w="659" w:type="pct"/>
                  <w:noWrap w:val="0"/>
                  <w:vAlign w:val="center"/>
                </w:tcPr>
                <w:p>
                  <w:pPr>
                    <w:pStyle w:val="52"/>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15000</w:t>
                  </w:r>
                </w:p>
              </w:tc>
              <w:tc>
                <w:tcPr>
                  <w:tcW w:w="482" w:type="pct"/>
                  <w:noWrap w:val="0"/>
                  <w:vAlign w:val="center"/>
                </w:tcPr>
                <w:p>
                  <w:pPr>
                    <w:pStyle w:val="52"/>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压占</w:t>
                  </w:r>
                </w:p>
              </w:tc>
              <w:tc>
                <w:tcPr>
                  <w:tcW w:w="1027" w:type="pct"/>
                  <w:noWrap w:val="0"/>
                  <w:vAlign w:val="center"/>
                </w:tcPr>
                <w:p>
                  <w:pPr>
                    <w:pStyle w:val="52"/>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其他土地</w:t>
                  </w:r>
                </w:p>
                <w:p>
                  <w:pPr>
                    <w:pStyle w:val="52"/>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裸岩石砾地</w:t>
                  </w:r>
                  <w:r>
                    <w:rPr>
                      <w:rFonts w:hint="default" w:ascii="Times New Roman" w:hAnsi="Times New Roman" w:eastAsia="宋体" w:cs="Times New Roman"/>
                      <w:color w:val="auto"/>
                      <w:sz w:val="21"/>
                      <w:szCs w:val="21"/>
                    </w:rPr>
                    <w:t>）</w:t>
                  </w:r>
                </w:p>
              </w:tc>
              <w:tc>
                <w:tcPr>
                  <w:tcW w:w="714" w:type="pct"/>
                  <w:noWrap w:val="0"/>
                  <w:vAlign w:val="center"/>
                </w:tcPr>
                <w:p>
                  <w:pPr>
                    <w:pStyle w:val="52"/>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矿区</w:t>
                  </w:r>
                  <w:r>
                    <w:rPr>
                      <w:rFonts w:hint="default" w:ascii="Times New Roman" w:hAnsi="Times New Roman" w:eastAsia="宋体" w:cs="Times New Roman"/>
                      <w:color w:val="auto"/>
                      <w:sz w:val="21"/>
                      <w:szCs w:val="21"/>
                      <w:lang w:val="en-US" w:eastAsia="zh-CN"/>
                    </w:rPr>
                    <w:t>内中</w:t>
                  </w:r>
                  <w:r>
                    <w:rPr>
                      <w:rFonts w:hint="default" w:ascii="Times New Roman" w:hAnsi="Times New Roman" w:eastAsia="宋体" w:cs="Times New Roman"/>
                      <w:color w:val="auto"/>
                      <w:sz w:val="21"/>
                      <w:szCs w:val="21"/>
                      <w:lang w:eastAsia="zh-CN"/>
                    </w:rPr>
                    <w:t>部</w:t>
                  </w:r>
                </w:p>
              </w:tc>
              <w:tc>
                <w:tcPr>
                  <w:tcW w:w="409" w:type="pct"/>
                  <w:vMerge w:val="continue"/>
                  <w:noWrap w:val="0"/>
                  <w:vAlign w:val="center"/>
                </w:tcPr>
                <w:p>
                  <w:pPr>
                    <w:pStyle w:val="52"/>
                    <w:spacing w:line="240" w:lineRule="auto"/>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noWrap w:val="0"/>
                  <w:vAlign w:val="center"/>
                </w:tcPr>
                <w:p>
                  <w:pPr>
                    <w:pStyle w:val="52"/>
                    <w:spacing w:line="240" w:lineRule="auto"/>
                    <w:jc w:val="center"/>
                    <w:rPr>
                      <w:rFonts w:hint="default" w:ascii="Times New Roman" w:hAnsi="Times New Roman" w:eastAsia="宋体" w:cs="Times New Roman"/>
                      <w:color w:val="auto"/>
                      <w:sz w:val="21"/>
                      <w:szCs w:val="21"/>
                    </w:rPr>
                  </w:pPr>
                </w:p>
              </w:tc>
              <w:tc>
                <w:tcPr>
                  <w:tcW w:w="389" w:type="pct"/>
                  <w:vMerge w:val="continue"/>
                  <w:noWrap w:val="0"/>
                  <w:vAlign w:val="center"/>
                </w:tcPr>
                <w:p>
                  <w:pPr>
                    <w:pStyle w:val="52"/>
                    <w:spacing w:line="240" w:lineRule="auto"/>
                    <w:jc w:val="center"/>
                    <w:rPr>
                      <w:rFonts w:hint="default" w:ascii="Times New Roman" w:hAnsi="Times New Roman" w:eastAsia="宋体" w:cs="Times New Roman"/>
                      <w:color w:val="auto"/>
                      <w:sz w:val="21"/>
                      <w:szCs w:val="21"/>
                    </w:rPr>
                  </w:pPr>
                </w:p>
              </w:tc>
              <w:tc>
                <w:tcPr>
                  <w:tcW w:w="274" w:type="pct"/>
                  <w:noWrap w:val="0"/>
                  <w:vAlign w:val="center"/>
                </w:tcPr>
                <w:p>
                  <w:pPr>
                    <w:pStyle w:val="52"/>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704" w:type="pct"/>
                  <w:noWrap w:val="0"/>
                  <w:vAlign w:val="center"/>
                </w:tcPr>
                <w:p>
                  <w:pPr>
                    <w:pStyle w:val="52"/>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规划办公生活区</w:t>
                  </w:r>
                </w:p>
              </w:tc>
              <w:tc>
                <w:tcPr>
                  <w:tcW w:w="659" w:type="pct"/>
                  <w:noWrap w:val="0"/>
                  <w:vAlign w:val="center"/>
                </w:tcPr>
                <w:p>
                  <w:pPr>
                    <w:pStyle w:val="52"/>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4000</w:t>
                  </w:r>
                </w:p>
              </w:tc>
              <w:tc>
                <w:tcPr>
                  <w:tcW w:w="482" w:type="pct"/>
                  <w:noWrap w:val="0"/>
                  <w:vAlign w:val="center"/>
                </w:tcPr>
                <w:p>
                  <w:pPr>
                    <w:pStyle w:val="52"/>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压占</w:t>
                  </w:r>
                </w:p>
              </w:tc>
              <w:tc>
                <w:tcPr>
                  <w:tcW w:w="1027" w:type="pct"/>
                  <w:noWrap w:val="0"/>
                  <w:vAlign w:val="center"/>
                </w:tcPr>
                <w:p>
                  <w:pPr>
                    <w:pStyle w:val="52"/>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其他土地</w:t>
                  </w:r>
                </w:p>
                <w:p>
                  <w:pPr>
                    <w:pStyle w:val="52"/>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裸岩石砾地</w:t>
                  </w:r>
                  <w:r>
                    <w:rPr>
                      <w:rFonts w:hint="default" w:ascii="Times New Roman" w:hAnsi="Times New Roman" w:eastAsia="宋体" w:cs="Times New Roman"/>
                      <w:color w:val="auto"/>
                      <w:sz w:val="21"/>
                      <w:szCs w:val="21"/>
                    </w:rPr>
                    <w:t>）</w:t>
                  </w:r>
                </w:p>
              </w:tc>
              <w:tc>
                <w:tcPr>
                  <w:tcW w:w="714" w:type="pct"/>
                  <w:noWrap w:val="0"/>
                  <w:vAlign w:val="center"/>
                </w:tcPr>
                <w:p>
                  <w:pPr>
                    <w:pStyle w:val="52"/>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矿区</w:t>
                  </w:r>
                  <w:r>
                    <w:rPr>
                      <w:rFonts w:hint="default" w:ascii="Times New Roman" w:hAnsi="Times New Roman" w:eastAsia="宋体" w:cs="Times New Roman"/>
                      <w:color w:val="auto"/>
                      <w:sz w:val="21"/>
                      <w:szCs w:val="21"/>
                      <w:lang w:val="en-US" w:eastAsia="zh-CN"/>
                    </w:rPr>
                    <w:t>内</w:t>
                  </w:r>
                  <w:r>
                    <w:rPr>
                      <w:rFonts w:hint="eastAsia" w:ascii="Times New Roman" w:hAnsi="Times New Roman" w:eastAsia="宋体" w:cs="Times New Roman"/>
                      <w:color w:val="auto"/>
                      <w:sz w:val="21"/>
                      <w:szCs w:val="21"/>
                      <w:lang w:val="en-US" w:eastAsia="zh-CN"/>
                    </w:rPr>
                    <w:t>西</w:t>
                  </w:r>
                  <w:r>
                    <w:rPr>
                      <w:rFonts w:hint="default" w:ascii="Times New Roman" w:hAnsi="Times New Roman" w:eastAsia="宋体" w:cs="Times New Roman"/>
                      <w:color w:val="auto"/>
                      <w:sz w:val="21"/>
                      <w:szCs w:val="21"/>
                      <w:lang w:eastAsia="zh-CN"/>
                    </w:rPr>
                    <w:t>部</w:t>
                  </w:r>
                </w:p>
              </w:tc>
              <w:tc>
                <w:tcPr>
                  <w:tcW w:w="409" w:type="pct"/>
                  <w:vMerge w:val="continue"/>
                  <w:noWrap w:val="0"/>
                  <w:vAlign w:val="center"/>
                </w:tcPr>
                <w:p>
                  <w:pPr>
                    <w:pStyle w:val="52"/>
                    <w:spacing w:line="240" w:lineRule="auto"/>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noWrap w:val="0"/>
                  <w:vAlign w:val="center"/>
                </w:tcPr>
                <w:p>
                  <w:pPr>
                    <w:pStyle w:val="52"/>
                    <w:spacing w:line="240" w:lineRule="auto"/>
                    <w:jc w:val="center"/>
                    <w:rPr>
                      <w:rFonts w:hint="default" w:ascii="Times New Roman" w:hAnsi="Times New Roman" w:eastAsia="宋体" w:cs="Times New Roman"/>
                      <w:color w:val="auto"/>
                      <w:sz w:val="21"/>
                      <w:szCs w:val="21"/>
                    </w:rPr>
                  </w:pPr>
                </w:p>
              </w:tc>
              <w:tc>
                <w:tcPr>
                  <w:tcW w:w="389" w:type="pct"/>
                  <w:vMerge w:val="continue"/>
                  <w:noWrap w:val="0"/>
                  <w:vAlign w:val="center"/>
                </w:tcPr>
                <w:p>
                  <w:pPr>
                    <w:pStyle w:val="52"/>
                    <w:spacing w:line="240" w:lineRule="auto"/>
                    <w:jc w:val="center"/>
                    <w:rPr>
                      <w:rFonts w:hint="default" w:ascii="Times New Roman" w:hAnsi="Times New Roman" w:eastAsia="宋体" w:cs="Times New Roman"/>
                      <w:color w:val="auto"/>
                      <w:sz w:val="21"/>
                      <w:szCs w:val="21"/>
                      <w:lang w:eastAsia="zh-CN"/>
                    </w:rPr>
                  </w:pPr>
                </w:p>
              </w:tc>
              <w:tc>
                <w:tcPr>
                  <w:tcW w:w="274" w:type="pct"/>
                  <w:noWrap w:val="0"/>
                  <w:vAlign w:val="center"/>
                </w:tcPr>
                <w:p>
                  <w:pPr>
                    <w:pStyle w:val="52"/>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704" w:type="pct"/>
                  <w:noWrap w:val="0"/>
                  <w:vAlign w:val="center"/>
                </w:tcPr>
                <w:p>
                  <w:pPr>
                    <w:pStyle w:val="52"/>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规划矿山道路</w:t>
                  </w:r>
                </w:p>
              </w:tc>
              <w:tc>
                <w:tcPr>
                  <w:tcW w:w="659" w:type="pct"/>
                  <w:noWrap w:val="0"/>
                  <w:vAlign w:val="center"/>
                </w:tcPr>
                <w:p>
                  <w:pPr>
                    <w:pStyle w:val="52"/>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1000</w:t>
                  </w:r>
                </w:p>
              </w:tc>
              <w:tc>
                <w:tcPr>
                  <w:tcW w:w="482" w:type="pct"/>
                  <w:noWrap w:val="0"/>
                  <w:vAlign w:val="center"/>
                </w:tcPr>
                <w:p>
                  <w:pPr>
                    <w:pStyle w:val="52"/>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压占</w:t>
                  </w:r>
                </w:p>
              </w:tc>
              <w:tc>
                <w:tcPr>
                  <w:tcW w:w="1027" w:type="pct"/>
                  <w:noWrap w:val="0"/>
                  <w:vAlign w:val="center"/>
                </w:tcPr>
                <w:p>
                  <w:pPr>
                    <w:pStyle w:val="52"/>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其他土地</w:t>
                  </w:r>
                </w:p>
                <w:p>
                  <w:pPr>
                    <w:pStyle w:val="5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裸岩石砾地</w:t>
                  </w:r>
                  <w:r>
                    <w:rPr>
                      <w:rFonts w:hint="default" w:ascii="Times New Roman" w:hAnsi="Times New Roman" w:eastAsia="宋体" w:cs="Times New Roman"/>
                      <w:color w:val="auto"/>
                      <w:sz w:val="21"/>
                      <w:szCs w:val="21"/>
                    </w:rPr>
                    <w:t>）</w:t>
                  </w:r>
                </w:p>
              </w:tc>
              <w:tc>
                <w:tcPr>
                  <w:tcW w:w="714" w:type="pct"/>
                  <w:noWrap w:val="0"/>
                  <w:vAlign w:val="center"/>
                </w:tcPr>
                <w:p>
                  <w:pPr>
                    <w:pStyle w:val="52"/>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连接采场各个设施及场地</w:t>
                  </w:r>
                </w:p>
              </w:tc>
              <w:tc>
                <w:tcPr>
                  <w:tcW w:w="409" w:type="pct"/>
                  <w:vMerge w:val="continue"/>
                  <w:noWrap w:val="0"/>
                  <w:vAlign w:val="center"/>
                </w:tcPr>
                <w:p>
                  <w:pPr>
                    <w:pStyle w:val="52"/>
                    <w:spacing w:line="240" w:lineRule="auto"/>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pct"/>
                  <w:gridSpan w:val="4"/>
                  <w:noWrap w:val="0"/>
                  <w:vAlign w:val="center"/>
                </w:tcPr>
                <w:p>
                  <w:pPr>
                    <w:pStyle w:val="52"/>
                    <w:spacing w:line="240"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合计</w:t>
                  </w:r>
                </w:p>
              </w:tc>
              <w:tc>
                <w:tcPr>
                  <w:tcW w:w="2883" w:type="pct"/>
                  <w:gridSpan w:val="4"/>
                  <w:noWrap w:val="0"/>
                  <w:vAlign w:val="center"/>
                </w:tcPr>
                <w:p>
                  <w:pPr>
                    <w:pStyle w:val="52"/>
                    <w:spacing w:line="240"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val="en-US" w:eastAsia="zh-CN"/>
                    </w:rPr>
                    <w:t>182000</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sz w:val="21"/>
                      <w:szCs w:val="21"/>
                      <w:lang w:val="en-US" w:eastAsia="zh-CN"/>
                    </w:rPr>
                    <w:t>规划设施均位于规划露天采场范围内，共计面积182000平方米</w:t>
                  </w:r>
                  <w:r>
                    <w:rPr>
                      <w:rFonts w:hint="default" w:ascii="Times New Roman" w:hAnsi="Times New Roman" w:eastAsia="宋体" w:cs="Times New Roman"/>
                      <w:b w:val="0"/>
                      <w:bCs/>
                      <w:color w:val="auto"/>
                      <w:sz w:val="21"/>
                      <w:szCs w:val="21"/>
                    </w:rPr>
                    <w:t>）</w:t>
                  </w:r>
                </w:p>
              </w:tc>
              <w:tc>
                <w:tcPr>
                  <w:tcW w:w="409" w:type="pct"/>
                  <w:vMerge w:val="continue"/>
                  <w:noWrap w:val="0"/>
                  <w:vAlign w:val="center"/>
                </w:tcPr>
                <w:p>
                  <w:pPr>
                    <w:pStyle w:val="52"/>
                    <w:spacing w:line="240" w:lineRule="auto"/>
                    <w:jc w:val="center"/>
                    <w:rPr>
                      <w:rFonts w:hint="default" w:ascii="Times New Roman" w:hAnsi="Times New Roman" w:eastAsia="宋体" w:cs="Times New Roman"/>
                      <w:b/>
                      <w:color w:val="auto"/>
                      <w:sz w:val="21"/>
                      <w:szCs w:val="21"/>
                    </w:rPr>
                  </w:pPr>
                </w:p>
              </w:tc>
            </w:tr>
          </w:tbl>
          <w:p>
            <w:pPr>
              <w:pageBreakBefore w:val="0"/>
              <w:wordWrap w:val="0"/>
              <w:bidi w:val="0"/>
              <w:ind w:firstLine="480"/>
              <w:rPr>
                <w:rFonts w:hint="eastAsia" w:ascii="Times New Roman" w:hAnsi="Times New Roman" w:eastAsia="宋体"/>
                <w:lang w:val="en-US" w:eastAsia="zh-CN"/>
              </w:rPr>
            </w:pPr>
            <w:r>
              <w:rPr>
                <w:rFonts w:hint="default" w:ascii="Times New Roman" w:hAnsi="Times New Roman" w:eastAsia="宋体"/>
              </w:rPr>
              <w:t>矿区内各个单元占地面积</w:t>
            </w:r>
            <w:r>
              <w:rPr>
                <w:rFonts w:hint="default" w:ascii="Times New Roman" w:hAnsi="Times New Roman" w:eastAsia="宋体"/>
                <w:lang w:eastAsia="zh-CN"/>
              </w:rPr>
              <w:t>较大</w:t>
            </w:r>
            <w:r>
              <w:rPr>
                <w:rFonts w:hint="default" w:ascii="Times New Roman" w:hAnsi="Times New Roman" w:eastAsia="宋体"/>
              </w:rPr>
              <w:t>，损毁土地的形式主要为压占、挖损，矿山开采在一定程度上加剧了土壤的侵蚀性，易导致水土流失，土地复垦工程通过土地平整、生态恢复等土体重塑，植被重建过程，可起到有效涵养水源、保持水土作用，防止周边生态系统退化的作用</w:t>
            </w:r>
            <w:r>
              <w:rPr>
                <w:rFonts w:hint="eastAsia" w:ascii="Times New Roman" w:hAnsi="Times New Roman" w:eastAsia="宋体"/>
                <w:lang w:eastAsia="zh-CN"/>
              </w:rPr>
              <w:t>。</w:t>
            </w:r>
          </w:p>
          <w:p>
            <w:pPr>
              <w:pageBreakBefore w:val="0"/>
              <w:numPr>
                <w:ilvl w:val="0"/>
                <w:numId w:val="0"/>
              </w:numPr>
              <w:wordWrap w:val="0"/>
              <w:bidi w:val="0"/>
              <w:ind w:firstLine="0" w:firstLineChars="0"/>
              <w:rPr>
                <w:rFonts w:hint="eastAsia"/>
                <w:b/>
                <w:bCs/>
                <w:kern w:val="0"/>
                <w:szCs w:val="20"/>
                <w:lang w:val="en-US" w:eastAsia="zh-CN"/>
              </w:rPr>
            </w:pPr>
            <w:r>
              <w:rPr>
                <w:rFonts w:hint="eastAsia" w:ascii="Times New Roman" w:hAnsi="Times New Roman" w:eastAsia="宋体" w:cstheme="minorBidi"/>
                <w:b/>
                <w:bCs/>
                <w:kern w:val="0"/>
                <w:sz w:val="24"/>
                <w:szCs w:val="20"/>
                <w:lang w:val="en-US" w:eastAsia="zh-CN" w:bidi="ar-SA"/>
              </w:rPr>
              <w:t>6、</w:t>
            </w:r>
            <w:r>
              <w:rPr>
                <w:rFonts w:hint="eastAsia"/>
                <w:b/>
                <w:bCs/>
                <w:kern w:val="0"/>
                <w:szCs w:val="20"/>
                <w:lang w:val="en-US" w:eastAsia="zh-CN"/>
              </w:rPr>
              <w:t>闭矿期环境影响分析</w:t>
            </w:r>
          </w:p>
          <w:p>
            <w:pPr>
              <w:pageBreakBefore w:val="0"/>
              <w:numPr>
                <w:ilvl w:val="0"/>
                <w:numId w:val="0"/>
              </w:numPr>
              <w:wordWrap w:val="0"/>
              <w:bidi w:val="0"/>
              <w:ind w:firstLine="480" w:firstLineChars="200"/>
              <w:rPr>
                <w:rFonts w:hint="default"/>
                <w:lang w:val="en-US" w:eastAsia="zh-CN"/>
              </w:rPr>
            </w:pPr>
            <w:r>
              <w:rPr>
                <w:rFonts w:hint="default"/>
                <w:lang w:val="en-US" w:eastAsia="zh-CN"/>
              </w:rPr>
              <w:t>运营期满后，会按照国家有关规定进行闭矿。砂石矿在闭矿期的时段内，与运营期相比，对自然环境诸要素的影响将趋于减缓，主要体现在：</w:t>
            </w:r>
          </w:p>
          <w:p>
            <w:pPr>
              <w:pageBreakBefore w:val="0"/>
              <w:numPr>
                <w:ilvl w:val="0"/>
                <w:numId w:val="0"/>
              </w:numPr>
              <w:wordWrap w:val="0"/>
              <w:bidi w:val="0"/>
              <w:ind w:firstLine="480" w:firstLineChars="200"/>
              <w:rPr>
                <w:rFonts w:hint="default"/>
                <w:lang w:val="en-US" w:eastAsia="zh-CN"/>
              </w:rPr>
            </w:pPr>
            <w:r>
              <w:rPr>
                <w:rFonts w:hint="default"/>
                <w:lang w:val="en-US" w:eastAsia="zh-CN"/>
              </w:rPr>
              <w:t>①采掘行业特有的地表变形问题，将随着开采活动的停止而逐渐趋于稳定，不会再有新的沉陷区出现；</w:t>
            </w:r>
          </w:p>
          <w:p>
            <w:pPr>
              <w:pageBreakBefore w:val="0"/>
              <w:numPr>
                <w:ilvl w:val="0"/>
                <w:numId w:val="0"/>
              </w:numPr>
              <w:wordWrap w:val="0"/>
              <w:bidi w:val="0"/>
              <w:ind w:firstLine="480" w:firstLineChars="200"/>
              <w:rPr>
                <w:rFonts w:hint="default"/>
                <w:lang w:val="en-US" w:eastAsia="zh-CN"/>
              </w:rPr>
            </w:pPr>
            <w:r>
              <w:rPr>
                <w:rFonts w:hint="default"/>
                <w:lang w:val="en-US" w:eastAsia="zh-CN"/>
              </w:rPr>
              <w:t>②闭矿期内开采、加工和利用的设备也将停止运行，产污环节消失，将使该区域污染状况逐步好转；</w:t>
            </w:r>
          </w:p>
          <w:p>
            <w:pPr>
              <w:pageBreakBefore w:val="0"/>
              <w:numPr>
                <w:ilvl w:val="0"/>
                <w:numId w:val="0"/>
              </w:numPr>
              <w:wordWrap w:val="0"/>
              <w:bidi w:val="0"/>
              <w:ind w:firstLine="480" w:firstLineChars="200"/>
              <w:rPr>
                <w:rFonts w:hint="default"/>
                <w:lang w:val="en-US" w:eastAsia="zh-CN"/>
              </w:rPr>
            </w:pPr>
            <w:r>
              <w:rPr>
                <w:rFonts w:hint="default"/>
                <w:lang w:val="en-US" w:eastAsia="zh-CN"/>
              </w:rPr>
              <w:t>③工业场地关闭并全部复垦及绿化，从而使工业场地及其附近区域的生态环境得到较大改善；</w:t>
            </w:r>
          </w:p>
          <w:p>
            <w:pPr>
              <w:pageBreakBefore w:val="0"/>
              <w:numPr>
                <w:ilvl w:val="0"/>
                <w:numId w:val="0"/>
              </w:numPr>
              <w:wordWrap w:val="0"/>
              <w:bidi w:val="0"/>
              <w:ind w:firstLine="480" w:firstLineChars="200"/>
              <w:rPr>
                <w:rFonts w:hint="default"/>
                <w:lang w:val="en-US" w:eastAsia="zh-CN"/>
              </w:rPr>
            </w:pPr>
            <w:r>
              <w:rPr>
                <w:rFonts w:hint="default"/>
                <w:lang w:val="en-US" w:eastAsia="zh-CN"/>
              </w:rPr>
              <w:t>④对开采区的土地进行削坡及固坡，从而改善开采区的水土流失，此外在缓坡地带进行土地复垦及绿化，从而使开采区及周边区域的生态环境得到较大改善。</w:t>
            </w:r>
          </w:p>
          <w:p>
            <w:pPr>
              <w:pageBreakBefore w:val="0"/>
              <w:numPr>
                <w:ilvl w:val="0"/>
                <w:numId w:val="0"/>
              </w:numPr>
              <w:wordWrap w:val="0"/>
              <w:bidi w:val="0"/>
              <w:ind w:firstLine="480" w:firstLineChars="200"/>
              <w:rPr>
                <w:rFonts w:hint="default"/>
                <w:lang w:val="en-US" w:eastAsia="zh-CN"/>
              </w:rPr>
            </w:pPr>
            <w:r>
              <w:rPr>
                <w:rFonts w:hint="default"/>
                <w:lang w:val="en-US" w:eastAsia="zh-CN"/>
              </w:rPr>
              <w:t>⑤本项目恢复治理完成后，生态环境及动物生存环境改善，可能会吸引部分动物进入该区域，增加区域的生物多样性。</w:t>
            </w:r>
          </w:p>
          <w:p>
            <w:pPr>
              <w:pageBreakBefore w:val="0"/>
              <w:numPr>
                <w:ilvl w:val="0"/>
                <w:numId w:val="0"/>
              </w:numPr>
              <w:wordWrap w:val="0"/>
              <w:bidi w:val="0"/>
              <w:ind w:firstLine="480" w:firstLineChars="200"/>
              <w:rPr>
                <w:rFonts w:hint="default"/>
                <w:lang w:val="en-US" w:eastAsia="zh-CN"/>
              </w:rPr>
            </w:pPr>
            <w:r>
              <w:rPr>
                <w:rFonts w:hint="default"/>
                <w:lang w:val="en-US" w:eastAsia="zh-CN"/>
              </w:rPr>
              <w:t>⑥项目封场生态恢复后，地表覆盖率显著增加，植被群落物种增加，异质性增大，视觉效果大幅改善，色彩鲜明，景观效果改善，与周边环境协调性增加。</w:t>
            </w:r>
          </w:p>
          <w:p>
            <w:pPr>
              <w:pageBreakBefore w:val="0"/>
              <w:numPr>
                <w:ilvl w:val="0"/>
                <w:numId w:val="0"/>
              </w:numPr>
              <w:wordWrap w:val="0"/>
              <w:bidi w:val="0"/>
              <w:ind w:firstLine="480" w:firstLineChars="200"/>
              <w:rPr>
                <w:rFonts w:hint="default"/>
                <w:lang w:val="en-US" w:eastAsia="zh-CN"/>
              </w:rPr>
            </w:pPr>
            <w:r>
              <w:rPr>
                <w:rFonts w:hint="default"/>
                <w:lang w:val="en-US" w:eastAsia="zh-CN"/>
              </w:rPr>
              <w:t>因此，矿区闭矿期后，项目评价区的生态环境将得到明显地改善。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45" w:type="dxa"/>
            <w:vAlign w:val="center"/>
          </w:tcPr>
          <w:p>
            <w:pPr>
              <w:pStyle w:val="31"/>
              <w:pageBreakBefore w:val="0"/>
              <w:wordWrap w:val="0"/>
              <w:bidi w:val="0"/>
              <w:rPr>
                <w:rFonts w:hint="default"/>
              </w:rPr>
            </w:pPr>
            <w:r>
              <w:t>选址选线环境合理性分析</w:t>
            </w:r>
          </w:p>
        </w:tc>
        <w:tc>
          <w:tcPr>
            <w:tcW w:w="7874" w:type="dxa"/>
            <w:vAlign w:val="center"/>
          </w:tcPr>
          <w:p>
            <w:pPr>
              <w:pStyle w:val="20"/>
              <w:pageBreakBefore w:val="0"/>
              <w:widowControl/>
              <w:numPr>
                <w:ilvl w:val="0"/>
                <w:numId w:val="0"/>
              </w:numPr>
              <w:wordWrap w:val="0"/>
              <w:bidi w:val="0"/>
              <w:spacing w:beforeAutospacing="0" w:afterAutospacing="0"/>
              <w:ind w:left="0" w:leftChars="0" w:firstLine="0" w:firstLineChars="0"/>
              <w:rPr>
                <w:rFonts w:hint="eastAsia"/>
                <w:b/>
                <w:bCs/>
                <w:lang w:val="en-US" w:eastAsia="zh-CN"/>
              </w:rPr>
            </w:pPr>
            <w:r>
              <w:rPr>
                <w:rFonts w:hint="eastAsia" w:ascii="Times New Roman" w:hAnsi="Times New Roman" w:eastAsia="宋体" w:cs="Times New Roman"/>
                <w:b/>
                <w:bCs/>
                <w:kern w:val="0"/>
                <w:sz w:val="24"/>
                <w:szCs w:val="24"/>
                <w:lang w:val="en-US" w:eastAsia="zh-CN" w:bidi="ar-SA"/>
              </w:rPr>
              <w:t>1.</w:t>
            </w:r>
            <w:r>
              <w:rPr>
                <w:rFonts w:hint="eastAsia"/>
                <w:b/>
                <w:bCs/>
                <w:lang w:val="en-US" w:eastAsia="zh-CN"/>
              </w:rPr>
              <w:t>合理性分析</w:t>
            </w:r>
          </w:p>
          <w:p>
            <w:pPr>
              <w:pageBreakBefore w:val="0"/>
              <w:wordWrap w:val="0"/>
              <w:bidi w:val="0"/>
              <w:adjustRightInd w:val="0"/>
              <w:snapToGrid w:val="0"/>
              <w:spacing w:line="360" w:lineRule="auto"/>
              <w:ind w:firstLine="480" w:firstLineChars="200"/>
              <w:rPr>
                <w:color w:val="000000"/>
              </w:rPr>
            </w:pPr>
            <w:r>
              <w:rPr>
                <w:color w:val="000000"/>
              </w:rPr>
              <w:t>（1）功能区划符合性分析</w:t>
            </w:r>
          </w:p>
          <w:p>
            <w:pPr>
              <w:pageBreakBefore w:val="0"/>
              <w:wordWrap w:val="0"/>
              <w:bidi w:val="0"/>
              <w:adjustRightInd w:val="0"/>
              <w:snapToGrid w:val="0"/>
              <w:spacing w:line="360" w:lineRule="auto"/>
              <w:ind w:firstLine="480" w:firstLineChars="200"/>
              <w:rPr>
                <w:color w:val="000000"/>
              </w:rPr>
            </w:pPr>
            <w:r>
              <w:rPr>
                <w:color w:val="000000"/>
                <w:kern w:val="0"/>
                <w:szCs w:val="21"/>
              </w:rPr>
              <w:t>本项目位于</w:t>
            </w:r>
            <w:r>
              <w:rPr>
                <w:rFonts w:hint="eastAsia"/>
                <w:color w:val="000000"/>
                <w:kern w:val="0"/>
                <w:szCs w:val="21"/>
                <w:lang w:eastAsia="zh-CN"/>
              </w:rPr>
              <w:t>新疆维吾尔自治区</w:t>
            </w:r>
            <w:r>
              <w:rPr>
                <w:rFonts w:hint="eastAsia"/>
                <w:lang w:val="en-US" w:eastAsia="zh-CN"/>
              </w:rPr>
              <w:t>吐鲁番市托克逊县</w:t>
            </w:r>
            <w:r>
              <w:rPr>
                <w:rFonts w:hint="eastAsia"/>
                <w:lang w:eastAsia="zh-CN"/>
              </w:rPr>
              <w:t>，</w:t>
            </w:r>
            <w:r>
              <w:rPr>
                <w:color w:val="000000"/>
                <w:kern w:val="0"/>
                <w:szCs w:val="21"/>
              </w:rPr>
              <w:t>不涉及</w:t>
            </w:r>
            <w:r>
              <w:rPr>
                <w:color w:val="000000"/>
                <w:szCs w:val="21"/>
              </w:rPr>
              <w:t>国家级自然保护区、风景名胜区、</w:t>
            </w:r>
            <w:r>
              <w:rPr>
                <w:color w:val="000000"/>
                <w:kern w:val="0"/>
                <w:szCs w:val="21"/>
              </w:rPr>
              <w:t>饮用水源保护区等需要特殊保护的地区，同时项目所在区域无国家珍稀濒危保护物种、国家重点保护野生动植物，不存在特殊环境功能区制约因素。</w:t>
            </w:r>
          </w:p>
          <w:p>
            <w:pPr>
              <w:pageBreakBefore w:val="0"/>
              <w:wordWrap w:val="0"/>
              <w:bidi w:val="0"/>
              <w:adjustRightInd w:val="0"/>
              <w:snapToGrid w:val="0"/>
              <w:spacing w:line="360" w:lineRule="auto"/>
              <w:ind w:firstLine="480" w:firstLineChars="200"/>
              <w:rPr>
                <w:color w:val="000000"/>
              </w:rPr>
            </w:pPr>
            <w:r>
              <w:rPr>
                <w:color w:val="000000"/>
              </w:rPr>
              <w:t>（</w:t>
            </w:r>
            <w:r>
              <w:rPr>
                <w:rFonts w:hint="eastAsia"/>
                <w:color w:val="000000"/>
                <w:lang w:val="en-US" w:eastAsia="zh-CN"/>
              </w:rPr>
              <w:t>2</w:t>
            </w:r>
            <w:r>
              <w:rPr>
                <w:color w:val="000000"/>
              </w:rPr>
              <w:t>）环境影响程度合理性分析</w:t>
            </w:r>
          </w:p>
          <w:p>
            <w:pPr>
              <w:pageBreakBefore w:val="0"/>
              <w:wordWrap w:val="0"/>
              <w:bidi w:val="0"/>
              <w:adjustRightInd w:val="0"/>
              <w:snapToGrid w:val="0"/>
              <w:spacing w:line="360" w:lineRule="auto"/>
              <w:ind w:firstLine="480" w:firstLineChars="200"/>
              <w:rPr>
                <w:snapToGrid w:val="0"/>
                <w:color w:val="auto"/>
              </w:rPr>
            </w:pPr>
            <w:r>
              <w:rPr>
                <w:color w:val="000000"/>
              </w:rPr>
              <w:t>项目</w:t>
            </w:r>
            <w:r>
              <w:rPr>
                <w:rFonts w:hint="eastAsia"/>
                <w:color w:val="000000"/>
                <w:lang w:eastAsia="zh-CN"/>
              </w:rPr>
              <w:t>在运行期，对环境排放的污染物主要为颗粒物，排放量整体较小，对环境空气影响较小。</w:t>
            </w:r>
            <w:r>
              <w:rPr>
                <w:color w:val="000000"/>
              </w:rPr>
              <w:t>评价对环境有影响的上述因素均提出防治措施，其对环</w:t>
            </w:r>
            <w:r>
              <w:rPr>
                <w:color w:val="auto"/>
              </w:rPr>
              <w:t>境的影响大多是短期的、局部的、可逆的，建设活动结束后可恢复。</w:t>
            </w:r>
          </w:p>
          <w:p>
            <w:pPr>
              <w:keepNext w:val="0"/>
              <w:keepLines w:val="0"/>
              <w:pageBreakBefore w:val="0"/>
              <w:widowControl w:val="0"/>
              <w:numPr>
                <w:ilvl w:val="0"/>
                <w:numId w:val="6"/>
              </w:numPr>
              <w:kinsoku/>
              <w:wordWrap w:val="0"/>
              <w:overflowPunct/>
              <w:topLinePunct w:val="0"/>
              <w:autoSpaceDE/>
              <w:autoSpaceDN/>
              <w:bidi w:val="0"/>
              <w:adjustRightInd w:val="0"/>
              <w:snapToGrid w:val="0"/>
              <w:spacing w:line="360" w:lineRule="auto"/>
              <w:ind w:left="0" w:leftChars="0" w:firstLine="480" w:firstLineChars="200"/>
              <w:textAlignment w:val="auto"/>
              <w:rPr>
                <w:color w:val="auto"/>
              </w:rPr>
            </w:pPr>
            <w:r>
              <w:rPr>
                <w:color w:val="auto"/>
              </w:rPr>
              <w:t>与相关文件的符合性分析</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480" w:firstLineChars="200"/>
              <w:textAlignment w:val="auto"/>
              <w:rPr>
                <w:color w:val="auto"/>
              </w:rPr>
            </w:pPr>
            <w:r>
              <w:rPr>
                <w:color w:val="auto"/>
              </w:rPr>
              <w:t>本项目位于</w:t>
            </w:r>
            <w:r>
              <w:rPr>
                <w:rFonts w:hint="eastAsia"/>
                <w:color w:val="auto"/>
                <w:lang w:eastAsia="zh-CN"/>
              </w:rPr>
              <w:t>新疆维吾尔自治区</w:t>
            </w:r>
            <w:r>
              <w:rPr>
                <w:rFonts w:hint="eastAsia"/>
                <w:color w:val="auto"/>
                <w:lang w:val="en-US" w:eastAsia="zh-CN"/>
              </w:rPr>
              <w:t>吐鲁番市托克逊县</w:t>
            </w:r>
            <w:r>
              <w:rPr>
                <w:color w:val="auto"/>
              </w:rPr>
              <w:t>，项目于202</w:t>
            </w:r>
            <w:r>
              <w:rPr>
                <w:rFonts w:hint="eastAsia"/>
                <w:color w:val="auto"/>
                <w:lang w:val="en-US" w:eastAsia="zh-CN"/>
              </w:rPr>
              <w:t>4</w:t>
            </w:r>
            <w:r>
              <w:rPr>
                <w:color w:val="auto"/>
              </w:rPr>
              <w:t>年</w:t>
            </w:r>
            <w:r>
              <w:rPr>
                <w:rFonts w:hint="eastAsia"/>
                <w:color w:val="auto"/>
                <w:lang w:val="en-US" w:eastAsia="zh-CN"/>
              </w:rPr>
              <w:t>6</w:t>
            </w:r>
            <w:r>
              <w:rPr>
                <w:color w:val="auto"/>
              </w:rPr>
              <w:t>月</w:t>
            </w:r>
            <w:r>
              <w:rPr>
                <w:rFonts w:hint="eastAsia"/>
                <w:color w:val="auto"/>
              </w:rPr>
              <w:t>2</w:t>
            </w:r>
            <w:r>
              <w:rPr>
                <w:rFonts w:hint="eastAsia"/>
                <w:color w:val="auto"/>
                <w:lang w:val="en-US" w:eastAsia="zh-CN"/>
              </w:rPr>
              <w:t>7</w:t>
            </w:r>
            <w:r>
              <w:rPr>
                <w:color w:val="auto"/>
              </w:rPr>
              <w:t>日取得</w:t>
            </w:r>
            <w:r>
              <w:rPr>
                <w:rFonts w:hint="eastAsia"/>
                <w:color w:val="auto"/>
                <w:lang w:val="en-US" w:eastAsia="zh-CN"/>
              </w:rPr>
              <w:t>托克逊县资源局</w:t>
            </w:r>
            <w:r>
              <w:rPr>
                <w:color w:val="auto"/>
              </w:rPr>
              <w:t>出具的《</w:t>
            </w:r>
            <w:r>
              <w:rPr>
                <w:rFonts w:hint="eastAsia"/>
                <w:color w:val="auto"/>
                <w:lang w:eastAsia="zh-CN"/>
              </w:rPr>
              <w:t>中华人民共和国采矿许可证</w:t>
            </w:r>
            <w:r>
              <w:rPr>
                <w:color w:val="auto"/>
              </w:rPr>
              <w:t>》（</w:t>
            </w:r>
            <w:r>
              <w:rPr>
                <w:rFonts w:hint="eastAsia"/>
                <w:color w:val="auto"/>
                <w:lang w:val="en-US" w:eastAsia="zh-CN"/>
              </w:rPr>
              <w:t>证号：C6521232024067100157024</w:t>
            </w:r>
            <w:r>
              <w:rPr>
                <w:color w:val="auto"/>
              </w:rPr>
              <w:t>）</w:t>
            </w:r>
            <w:r>
              <w:rPr>
                <w:rFonts w:hint="eastAsia"/>
                <w:color w:val="auto"/>
              </w:rPr>
              <w:t>，行政区划属</w:t>
            </w:r>
            <w:r>
              <w:rPr>
                <w:rFonts w:hint="eastAsia"/>
                <w:color w:val="auto"/>
                <w:lang w:val="en-US" w:eastAsia="zh-CN"/>
              </w:rPr>
              <w:t>托克逊</w:t>
            </w:r>
            <w:r>
              <w:rPr>
                <w:rFonts w:hint="eastAsia"/>
                <w:color w:val="auto"/>
              </w:rPr>
              <w:t>县管辖。目前矿区尚未开采利用。项目所在区域属第四系全新统冲洪积层，地势比较平坦，南高北低，坡度不大，远离山区。区内冲沟不发育，且评估区干旱少雨，不具备泥石流灾害发生的基本条件。采砂活动不产生有毒、有害物质，砂石料在采掘及运输过程中会产生少量粉尘，但因矿山为露天开采，粉尘易扩散，</w:t>
            </w:r>
            <w:r>
              <w:rPr>
                <w:rFonts w:hint="eastAsia"/>
                <w:color w:val="auto"/>
                <w:lang w:eastAsia="zh-CN"/>
              </w:rPr>
              <w:t>矿</w:t>
            </w:r>
            <w:r>
              <w:rPr>
                <w:rFonts w:hint="eastAsia"/>
                <w:color w:val="auto"/>
              </w:rPr>
              <w:t>区及附近无</w:t>
            </w:r>
            <w:r>
              <w:rPr>
                <w:rFonts w:hint="eastAsia"/>
                <w:color w:val="auto"/>
                <w:lang w:eastAsia="zh-CN"/>
              </w:rPr>
              <w:t>居民区</w:t>
            </w:r>
            <w:r>
              <w:rPr>
                <w:rFonts w:hint="eastAsia"/>
                <w:color w:val="auto"/>
              </w:rPr>
              <w:t>，故对</w:t>
            </w:r>
            <w:r>
              <w:rPr>
                <w:rFonts w:hint="eastAsia"/>
                <w:color w:val="auto"/>
                <w:lang w:eastAsia="zh-CN"/>
              </w:rPr>
              <w:t>周边</w:t>
            </w:r>
            <w:r>
              <w:rPr>
                <w:rFonts w:hint="eastAsia"/>
                <w:color w:val="auto"/>
              </w:rPr>
              <w:t>环境影响较小。矿区与外部有简易碎石路，道路路况较好，交通较为便利。</w:t>
            </w:r>
            <w:r>
              <w:rPr>
                <w:rFonts w:hint="eastAsia"/>
                <w:color w:val="auto"/>
                <w:lang w:eastAsia="zh-CN"/>
              </w:rPr>
              <w:t>本项目已</w:t>
            </w:r>
            <w:r>
              <w:rPr>
                <w:rFonts w:hint="eastAsia"/>
                <w:color w:val="auto"/>
              </w:rPr>
              <w:t>取得《托克逊县博旭砂石有限公司新疆托克逊县英阿瓦提建筑用砂矿矿产资源开发利用与生态保护修复方案》专家组评审意见，依据划定矿区坐标，拟设采矿区为空白区，评价范围内无文物保护、饮用水源地等敏感环境保护目标。</w:t>
            </w:r>
          </w:p>
          <w:p>
            <w:pPr>
              <w:pageBreakBefore w:val="0"/>
              <w:wordWrap w:val="0"/>
              <w:bidi w:val="0"/>
              <w:adjustRightInd w:val="0"/>
              <w:snapToGrid w:val="0"/>
              <w:spacing w:line="360" w:lineRule="auto"/>
              <w:ind w:firstLine="480" w:firstLineChars="200"/>
              <w:rPr>
                <w:rFonts w:hint="default"/>
                <w:lang w:val="en-US" w:eastAsia="zh-CN"/>
              </w:rPr>
            </w:pPr>
            <w:r>
              <w:rPr>
                <w:color w:val="auto"/>
              </w:rPr>
              <w:t>综上所述，从功能区划符合性、环境影响程度合理性、与相关文件的符合性等方面进行分析，项目工程选址选线方案合理可行。</w:t>
            </w:r>
          </w:p>
        </w:tc>
      </w:tr>
    </w:tbl>
    <w:p>
      <w:pPr>
        <w:ind w:firstLine="480"/>
      </w:pPr>
      <w:r>
        <w:rPr>
          <w:rFonts w:hint="eastAsia"/>
        </w:rPr>
        <w:br w:type="page"/>
      </w:r>
    </w:p>
    <w:p>
      <w:pPr>
        <w:pStyle w:val="2"/>
        <w:numPr>
          <w:ilvl w:val="0"/>
          <w:numId w:val="0"/>
        </w:numPr>
        <w:jc w:val="center"/>
      </w:pPr>
      <w:r>
        <w:rPr>
          <w:rFonts w:hint="eastAsia" w:ascii="Times New Roman" w:hAnsi="Times New Roman" w:eastAsia="宋体" w:cstheme="minorBidi"/>
          <w:b/>
          <w:kern w:val="44"/>
          <w:sz w:val="30"/>
          <w:szCs w:val="24"/>
          <w:lang w:val="en-US" w:eastAsia="zh-CN" w:bidi="ar-SA"/>
        </w:rPr>
        <w:t>五、</w:t>
      </w:r>
      <w:r>
        <w:rPr>
          <w:rFonts w:hint="eastAsia"/>
        </w:rPr>
        <w:t>主要生态环境保护措施</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7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3" w:hRule="atLeast"/>
        </w:trPr>
        <w:tc>
          <w:tcPr>
            <w:tcW w:w="688" w:type="dxa"/>
            <w:vAlign w:val="center"/>
          </w:tcPr>
          <w:p>
            <w:pPr>
              <w:pStyle w:val="31"/>
              <w:rPr>
                <w:rFonts w:hint="default"/>
                <w:sz w:val="21"/>
                <w:szCs w:val="21"/>
              </w:rPr>
            </w:pPr>
            <w:r>
              <w:rPr>
                <w:sz w:val="21"/>
                <w:szCs w:val="21"/>
              </w:rPr>
              <w:t>施工期生态环境保护措施</w:t>
            </w:r>
          </w:p>
        </w:tc>
        <w:tc>
          <w:tcPr>
            <w:tcW w:w="7710" w:type="dxa"/>
          </w:tcPr>
          <w:p>
            <w:pPr>
              <w:pStyle w:val="3"/>
              <w:numPr>
                <w:ilvl w:val="0"/>
                <w:numId w:val="0"/>
              </w:numPr>
              <w:spacing w:before="156" w:after="156"/>
              <w:outlineLvl w:val="1"/>
              <w:rPr>
                <w:rFonts w:hint="default" w:ascii="宋体" w:hAnsi="宋体" w:eastAsia="宋体" w:cs="宋体"/>
                <w:b/>
                <w:kern w:val="2"/>
                <w:sz w:val="24"/>
                <w:szCs w:val="24"/>
                <w:lang w:val="en-US" w:eastAsia="zh-CN" w:bidi="ar-SA"/>
              </w:rPr>
            </w:pPr>
            <w:r>
              <w:rPr>
                <w:rFonts w:hint="eastAsia" w:ascii="宋体" w:hAnsi="宋体" w:cs="宋体"/>
                <w:b/>
                <w:kern w:val="2"/>
                <w:sz w:val="24"/>
                <w:szCs w:val="24"/>
                <w:lang w:val="en-US" w:eastAsia="zh-CN" w:bidi="ar-SA"/>
              </w:rPr>
              <w:t>1.生态环境减缓措施</w:t>
            </w:r>
          </w:p>
          <w:p>
            <w:pPr>
              <w:pStyle w:val="3"/>
              <w:numPr>
                <w:ilvl w:val="0"/>
                <w:numId w:val="0"/>
              </w:numPr>
              <w:spacing w:before="156" w:after="156"/>
              <w:outlineLvl w:val="1"/>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1.1</w:t>
            </w:r>
            <w:r>
              <w:rPr>
                <w:rFonts w:ascii="Times New Roman" w:hAnsi="Times New Roman" w:cs="Times New Roman"/>
                <w:b/>
                <w:bCs/>
                <w:color w:val="000000"/>
              </w:rPr>
              <w:t>工程占地及植被保护措施</w:t>
            </w:r>
          </w:p>
          <w:p>
            <w:pPr>
              <w:pStyle w:val="7"/>
              <w:spacing w:before="0" w:line="360" w:lineRule="auto"/>
              <w:ind w:firstLine="480" w:firstLineChars="200"/>
              <w:rPr>
                <w:rFonts w:ascii="Times New Roman" w:hAnsi="Times New Roman" w:cs="Times New Roman"/>
                <w:color w:val="000000"/>
              </w:rPr>
            </w:pPr>
            <w:r>
              <w:rPr>
                <w:rFonts w:ascii="Times New Roman" w:hAnsi="Times New Roman" w:cs="Times New Roman"/>
                <w:color w:val="000000"/>
              </w:rPr>
              <w:t>（1）在施工场地周边设置地界标志，将施工活动严格控制在征地范围内，禁止乱挖乱弃。严格控制行车范围，禁止车辆下道行驶，严格控制施工扰动范围，加强对项目区生态环境的保护和对水土流失的防治，将项目建设对水土流失和生态环境的影响降低</w:t>
            </w:r>
            <w:r>
              <w:rPr>
                <w:rFonts w:hint="eastAsia" w:ascii="Times New Roman" w:hAnsi="Times New Roman" w:cs="Times New Roman"/>
                <w:color w:val="000000"/>
                <w:lang w:eastAsia="zh-CN"/>
              </w:rPr>
              <w:t>到最低程度</w:t>
            </w:r>
            <w:r>
              <w:rPr>
                <w:rFonts w:ascii="Times New Roman" w:hAnsi="Times New Roman" w:cs="Times New Roman"/>
                <w:color w:val="000000"/>
              </w:rPr>
              <w:t>。</w:t>
            </w:r>
          </w:p>
          <w:p>
            <w:pPr>
              <w:pStyle w:val="7"/>
              <w:spacing w:before="0" w:line="360" w:lineRule="auto"/>
              <w:ind w:firstLine="480" w:firstLineChars="200"/>
              <w:rPr>
                <w:rFonts w:ascii="Times New Roman" w:hAnsi="Times New Roman" w:cs="Times New Roman"/>
                <w:color w:val="000000"/>
              </w:rPr>
            </w:pPr>
            <w:r>
              <w:rPr>
                <w:rFonts w:ascii="Times New Roman" w:hAnsi="Times New Roman" w:cs="Times New Roman"/>
                <w:color w:val="000000"/>
              </w:rPr>
              <w:t>（</w:t>
            </w:r>
            <w:r>
              <w:rPr>
                <w:rFonts w:hint="eastAsia" w:ascii="Times New Roman" w:hAnsi="Times New Roman" w:cs="Times New Roman"/>
                <w:color w:val="000000"/>
                <w:lang w:val="en-US" w:eastAsia="zh-CN"/>
              </w:rPr>
              <w:t>2</w:t>
            </w:r>
            <w:r>
              <w:rPr>
                <w:rFonts w:ascii="Times New Roman" w:hAnsi="Times New Roman" w:cs="Times New Roman"/>
                <w:color w:val="000000"/>
              </w:rPr>
              <w:t>）项目建设中尽量</w:t>
            </w:r>
            <w:r>
              <w:rPr>
                <w:rFonts w:hint="eastAsia" w:ascii="Times New Roman" w:hAnsi="Times New Roman" w:cs="Times New Roman"/>
                <w:color w:val="000000"/>
                <w:lang w:eastAsia="zh-CN"/>
              </w:rPr>
              <w:t>控制</w:t>
            </w:r>
            <w:r>
              <w:rPr>
                <w:rFonts w:ascii="Times New Roman" w:hAnsi="Times New Roman" w:cs="Times New Roman"/>
                <w:color w:val="000000"/>
              </w:rPr>
              <w:t>开挖</w:t>
            </w:r>
            <w:r>
              <w:rPr>
                <w:rFonts w:hint="eastAsia" w:ascii="Times New Roman" w:hAnsi="Times New Roman" w:cs="Times New Roman"/>
                <w:color w:val="000000"/>
                <w:lang w:eastAsia="zh-CN"/>
              </w:rPr>
              <w:t>面积</w:t>
            </w:r>
            <w:r>
              <w:rPr>
                <w:rFonts w:ascii="Times New Roman" w:hAnsi="Times New Roman" w:cs="Times New Roman"/>
                <w:color w:val="000000"/>
              </w:rPr>
              <w:t>，在施工过程中应边开挖、边运输、边回填、边碾压、边采取防护措施。</w:t>
            </w:r>
            <w:r>
              <w:rPr>
                <w:rFonts w:ascii="Times New Roman" w:hAnsi="Times New Roman" w:cs="Times New Roman"/>
                <w:color w:val="000000"/>
                <w:lang w:val="zh-CN"/>
              </w:rPr>
              <w:t>禁止大规模进行表土剥离和场地平整，严格控制占地，根据设计线路进行挖填方。</w:t>
            </w:r>
            <w:r>
              <w:rPr>
                <w:rFonts w:ascii="Times New Roman" w:hAnsi="Times New Roman" w:cs="Times New Roman"/>
                <w:color w:val="000000"/>
              </w:rPr>
              <w:t>对临时堆土和堆放的施工材料进行临时遮盖防护。</w:t>
            </w:r>
          </w:p>
          <w:p>
            <w:pPr>
              <w:pStyle w:val="7"/>
              <w:spacing w:before="0" w:line="360" w:lineRule="auto"/>
              <w:ind w:firstLine="480" w:firstLineChars="200"/>
              <w:rPr>
                <w:rFonts w:ascii="Times New Roman" w:hAnsi="Times New Roman" w:cs="Times New Roman"/>
                <w:color w:val="000000"/>
              </w:rPr>
            </w:pPr>
            <w:r>
              <w:rPr>
                <w:rFonts w:ascii="Times New Roman" w:hAnsi="Times New Roman" w:cs="Times New Roman"/>
                <w:color w:val="000000"/>
              </w:rPr>
              <w:t>（</w:t>
            </w:r>
            <w:r>
              <w:rPr>
                <w:rFonts w:hint="eastAsia" w:ascii="Times New Roman" w:hAnsi="Times New Roman" w:cs="Times New Roman"/>
                <w:color w:val="000000"/>
                <w:lang w:val="en-US" w:eastAsia="zh-CN"/>
              </w:rPr>
              <w:t>3</w:t>
            </w:r>
            <w:r>
              <w:rPr>
                <w:rFonts w:ascii="Times New Roman" w:hAnsi="Times New Roman" w:cs="Times New Roman"/>
                <w:color w:val="000000"/>
              </w:rPr>
              <w:t>）合理安排施工进度和施工时序，防止重复开挖和土石方多次倒运，减少裸露面积，缩短裸露时间；土石方工程施工尽量避开雨天、汛期等恶劣天气施工。</w:t>
            </w:r>
          </w:p>
          <w:p>
            <w:pPr>
              <w:pStyle w:val="7"/>
              <w:spacing w:before="0" w:line="360" w:lineRule="auto"/>
              <w:ind w:firstLine="480" w:firstLineChars="200"/>
              <w:rPr>
                <w:rFonts w:ascii="Times New Roman" w:hAnsi="Times New Roman" w:cs="Times New Roman"/>
                <w:color w:val="000000"/>
              </w:rPr>
            </w:pPr>
            <w:r>
              <w:rPr>
                <w:rFonts w:ascii="Times New Roman" w:hAnsi="Times New Roman" w:cs="Times New Roman"/>
                <w:color w:val="000000"/>
              </w:rPr>
              <w:t>（</w:t>
            </w:r>
            <w:r>
              <w:rPr>
                <w:rFonts w:hint="eastAsia" w:ascii="Times New Roman" w:hAnsi="Times New Roman" w:cs="Times New Roman"/>
                <w:color w:val="000000"/>
                <w:lang w:val="en-US" w:eastAsia="zh-CN"/>
              </w:rPr>
              <w:t>4</w:t>
            </w:r>
            <w:r>
              <w:rPr>
                <w:rFonts w:ascii="Times New Roman" w:hAnsi="Times New Roman" w:cs="Times New Roman"/>
                <w:color w:val="000000"/>
              </w:rPr>
              <w:t>）施工单位应</w:t>
            </w:r>
            <w:r>
              <w:rPr>
                <w:rFonts w:hint="eastAsia" w:ascii="Times New Roman" w:hAnsi="Times New Roman" w:cs="Times New Roman"/>
                <w:color w:val="000000"/>
                <w:lang w:eastAsia="zh-CN"/>
              </w:rPr>
              <w:t>加大</w:t>
            </w:r>
            <w:r>
              <w:rPr>
                <w:rFonts w:ascii="Times New Roman" w:hAnsi="Times New Roman" w:cs="Times New Roman"/>
                <w:color w:val="000000"/>
              </w:rPr>
              <w:t>环境保护宣传力度，增强施工人员环境保护意识</w:t>
            </w:r>
            <w:r>
              <w:rPr>
                <w:rFonts w:ascii="Times New Roman" w:hAnsi="Times New Roman" w:cs="Times New Roman"/>
                <w:color w:val="000000"/>
                <w:lang w:val="zh-CN"/>
              </w:rPr>
              <w:t>。</w:t>
            </w:r>
          </w:p>
          <w:p>
            <w:pPr>
              <w:pStyle w:val="7"/>
              <w:spacing w:before="0" w:line="360" w:lineRule="auto"/>
              <w:ind w:left="0" w:leftChars="0" w:firstLine="0" w:firstLineChars="0"/>
              <w:rPr>
                <w:rFonts w:ascii="Times New Roman" w:hAnsi="Times New Roman" w:cs="Times New Roman"/>
                <w:b/>
                <w:bCs/>
                <w:color w:val="000000"/>
              </w:rPr>
            </w:pPr>
            <w:r>
              <w:rPr>
                <w:rFonts w:hint="eastAsia" w:ascii="Times New Roman" w:hAnsi="Times New Roman" w:cs="Times New Roman"/>
                <w:b/>
                <w:bCs/>
                <w:color w:val="000000"/>
                <w:lang w:val="en-US" w:eastAsia="zh-CN"/>
              </w:rPr>
              <w:t>1.</w:t>
            </w:r>
            <w:r>
              <w:rPr>
                <w:rFonts w:ascii="Times New Roman" w:hAnsi="Times New Roman" w:cs="Times New Roman"/>
                <w:b/>
                <w:bCs/>
                <w:color w:val="000000"/>
              </w:rPr>
              <w:t>2野生动物保护措施</w:t>
            </w:r>
          </w:p>
          <w:p>
            <w:pPr>
              <w:pStyle w:val="7"/>
              <w:spacing w:before="0" w:line="360" w:lineRule="auto"/>
              <w:ind w:firstLine="480" w:firstLineChars="200"/>
              <w:rPr>
                <w:rFonts w:ascii="Times New Roman" w:hAnsi="Times New Roman" w:cs="Times New Roman"/>
                <w:color w:val="000000"/>
              </w:rPr>
            </w:pPr>
            <w:r>
              <w:rPr>
                <w:rFonts w:ascii="Times New Roman" w:hAnsi="Times New Roman" w:cs="Times New Roman"/>
                <w:color w:val="000000"/>
              </w:rPr>
              <w:t>（1）</w:t>
            </w:r>
            <w:r>
              <w:rPr>
                <w:rFonts w:hint="eastAsia" w:ascii="Times New Roman" w:hAnsi="Times New Roman" w:cs="Times New Roman"/>
                <w:color w:val="000000"/>
                <w:lang w:eastAsia="zh-CN"/>
              </w:rPr>
              <w:t>加大</w:t>
            </w:r>
            <w:r>
              <w:rPr>
                <w:rFonts w:ascii="Times New Roman" w:hAnsi="Times New Roman" w:cs="Times New Roman"/>
                <w:color w:val="000000"/>
              </w:rPr>
              <w:t>宣传力度，</w:t>
            </w:r>
            <w:r>
              <w:rPr>
                <w:rFonts w:hint="eastAsia" w:ascii="Times New Roman" w:hAnsi="Times New Roman" w:cs="Times New Roman"/>
                <w:color w:val="000000"/>
                <w:lang w:eastAsia="zh-CN"/>
              </w:rPr>
              <w:t>增强</w:t>
            </w:r>
            <w:r>
              <w:rPr>
                <w:rFonts w:ascii="Times New Roman" w:hAnsi="Times New Roman" w:cs="Times New Roman"/>
                <w:color w:val="000000"/>
              </w:rPr>
              <w:t>动植物保护意识。大力宣传相关法律法规，提高施工人员和管理人员的动物保护意识。</w:t>
            </w:r>
          </w:p>
          <w:p>
            <w:pPr>
              <w:pStyle w:val="7"/>
              <w:spacing w:before="0" w:line="360" w:lineRule="auto"/>
              <w:ind w:firstLine="480" w:firstLineChars="200"/>
              <w:rPr>
                <w:rFonts w:ascii="Times New Roman" w:hAnsi="Times New Roman" w:cs="Times New Roman"/>
                <w:color w:val="000000"/>
              </w:rPr>
            </w:pPr>
            <w:r>
              <w:rPr>
                <w:rFonts w:ascii="Times New Roman" w:hAnsi="Times New Roman" w:cs="Times New Roman"/>
                <w:color w:val="000000"/>
              </w:rPr>
              <w:t>（2）加强对施工人员的管理和教育，严禁偷猎、捕杀野生动物。加强巡护工作，防止偷猎、捕杀野生动物的行为发生。</w:t>
            </w:r>
          </w:p>
          <w:p>
            <w:pPr>
              <w:pStyle w:val="7"/>
              <w:spacing w:before="0" w:line="360" w:lineRule="auto"/>
              <w:ind w:firstLine="480" w:firstLineChars="200"/>
              <w:rPr>
                <w:rFonts w:ascii="Times New Roman" w:hAnsi="Times New Roman" w:cs="Times New Roman"/>
                <w:color w:val="000000"/>
              </w:rPr>
            </w:pPr>
            <w:r>
              <w:rPr>
                <w:rFonts w:ascii="Times New Roman" w:hAnsi="Times New Roman" w:cs="Times New Roman"/>
                <w:color w:val="000000"/>
              </w:rPr>
              <w:t>（3）调整工程施工时段和方式，</w:t>
            </w:r>
            <w:r>
              <w:rPr>
                <w:rFonts w:ascii="Times New Roman" w:hAnsi="Times New Roman" w:cs="Times New Roman"/>
                <w:bCs/>
                <w:color w:val="000000"/>
              </w:rPr>
              <w:t>合理安排施工时间，夜间不进行施工；严格控制工作人员活动范围。</w:t>
            </w:r>
            <w:r>
              <w:rPr>
                <w:rFonts w:ascii="Times New Roman" w:hAnsi="Times New Roman" w:cs="Times New Roman"/>
                <w:color w:val="000000"/>
              </w:rPr>
              <w:t>为了减少工程施工噪声对野生动物的惊扰，力求在早晨和黄昏降低施工强度。不进行夜间作业，力求做到不产生光污染，不影响动物的休息。</w:t>
            </w:r>
          </w:p>
          <w:p>
            <w:pPr>
              <w:pStyle w:val="7"/>
              <w:spacing w:before="0" w:line="360" w:lineRule="auto"/>
              <w:ind w:firstLine="480" w:firstLineChars="200"/>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bCs/>
                <w:color w:val="000000"/>
              </w:rPr>
              <w:t>优选低噪声设备，避免对周围声环境造成影响</w:t>
            </w:r>
            <w:r>
              <w:rPr>
                <w:rFonts w:ascii="Times New Roman" w:hAnsi="Times New Roman" w:cs="Times New Roman"/>
                <w:color w:val="000000"/>
              </w:rPr>
              <w:t>。</w:t>
            </w:r>
          </w:p>
          <w:p>
            <w:pPr>
              <w:pStyle w:val="7"/>
              <w:spacing w:before="0" w:line="360" w:lineRule="auto"/>
              <w:ind w:left="0" w:leftChars="0" w:firstLine="0" w:firstLineChars="0"/>
              <w:rPr>
                <w:rFonts w:hint="eastAsia" w:ascii="Times New Roman" w:hAnsi="Times New Roman" w:cs="Times New Roman"/>
                <w:b/>
                <w:bCs/>
                <w:color w:val="000000"/>
                <w:lang w:val="en-US" w:eastAsia="zh-CN"/>
              </w:rPr>
            </w:pPr>
            <w:r>
              <w:rPr>
                <w:rFonts w:hint="eastAsia" w:ascii="Times New Roman" w:hAnsi="Times New Roman" w:cs="Times New Roman"/>
                <w:b/>
                <w:bCs/>
                <w:color w:val="000000"/>
                <w:lang w:val="en-US" w:eastAsia="zh-CN"/>
              </w:rPr>
              <w:t>1.3水土保持措施</w:t>
            </w:r>
          </w:p>
          <w:p>
            <w:pPr>
              <w:adjustRightInd w:val="0"/>
              <w:snapToGrid w:val="0"/>
              <w:spacing w:line="360" w:lineRule="auto"/>
              <w:ind w:left="0" w:leftChars="0" w:firstLine="480" w:firstLineChars="200"/>
              <w:rPr>
                <w:rFonts w:hint="default"/>
                <w:lang w:val="en-US" w:eastAsia="zh-CN"/>
              </w:rPr>
            </w:pPr>
            <w:r>
              <w:rPr>
                <w:rFonts w:hint="eastAsia" w:ascii="Times New Roman" w:hAnsi="Times New Roman" w:eastAsia="宋体" w:cs="Times New Roman"/>
                <w:color w:val="000000"/>
                <w:kern w:val="2"/>
                <w:sz w:val="24"/>
                <w:szCs w:val="24"/>
                <w:lang w:val="en-US" w:eastAsia="zh-CN" w:bidi="ar-SA"/>
              </w:rPr>
              <w:t>合理安排工期，避开雨季施工，挖方及时回填和清运，回填土石方满足建筑用土需求，对松散土及时夯实，严格管理，尽早将裸露土地进行</w:t>
            </w:r>
            <w:r>
              <w:rPr>
                <w:rFonts w:hint="eastAsia" w:cs="Times New Roman"/>
                <w:color w:val="000000"/>
                <w:kern w:val="2"/>
                <w:sz w:val="24"/>
                <w:szCs w:val="24"/>
                <w:lang w:val="en-US" w:eastAsia="zh-CN" w:bidi="ar-SA"/>
              </w:rPr>
              <w:t>恢复</w:t>
            </w:r>
            <w:r>
              <w:rPr>
                <w:rFonts w:hint="eastAsia" w:ascii="Times New Roman" w:hAnsi="Times New Roman" w:eastAsia="宋体" w:cs="Times New Roman"/>
                <w:color w:val="000000"/>
                <w:kern w:val="2"/>
                <w:sz w:val="24"/>
                <w:szCs w:val="24"/>
                <w:lang w:val="en-US" w:eastAsia="zh-CN" w:bidi="ar-SA"/>
              </w:rPr>
              <w:t>，对工程临时占地及时进行迹地恢复。排土场紧密压实，采取设立围挡、苫布遮盖，定期洒水降尘措施；成品堆场采取设立围挡、苫布遮盖措施；设立编制水土保持方案，最大限度地避免水土流失。</w:t>
            </w:r>
          </w:p>
          <w:p>
            <w:pPr>
              <w:adjustRightInd w:val="0"/>
              <w:snapToGrid w:val="0"/>
              <w:spacing w:line="360" w:lineRule="auto"/>
              <w:ind w:left="0" w:leftChars="0" w:firstLine="0" w:firstLineChars="0"/>
              <w:rPr>
                <w:rFonts w:hint="default"/>
                <w:lang w:val="en-US" w:eastAsia="zh-CN"/>
              </w:rPr>
            </w:pPr>
            <w:r>
              <w:rPr>
                <w:rFonts w:hint="eastAsia"/>
                <w:b/>
                <w:bCs/>
                <w:color w:val="000000"/>
                <w:lang w:val="en-US" w:eastAsia="zh-CN"/>
              </w:rPr>
              <w:t>2.</w:t>
            </w:r>
            <w:r>
              <w:rPr>
                <w:b/>
                <w:bCs/>
                <w:color w:val="000000"/>
              </w:rPr>
              <w:t>大气环境影响减缓措施</w:t>
            </w:r>
          </w:p>
          <w:p>
            <w:pPr>
              <w:pStyle w:val="42"/>
              <w:autoSpaceDE w:val="0"/>
              <w:autoSpaceDN w:val="0"/>
              <w:adjustRightInd w:val="0"/>
              <w:snapToGrid w:val="0"/>
              <w:spacing w:line="360" w:lineRule="auto"/>
              <w:ind w:firstLine="480"/>
              <w:rPr>
                <w:szCs w:val="24"/>
              </w:rPr>
            </w:pPr>
            <w:r>
              <w:rPr>
                <w:rFonts w:hint="eastAsia"/>
                <w:szCs w:val="24"/>
              </w:rPr>
              <w:t>①土、砂、石料运输禁止超载，装高不得超过车厢板，并盖篷布，严禁沿途撒落</w:t>
            </w:r>
            <w:r>
              <w:rPr>
                <w:rFonts w:hint="eastAsia"/>
                <w:szCs w:val="24"/>
                <w:lang w:eastAsia="zh-CN"/>
              </w:rPr>
              <w:t>，</w:t>
            </w:r>
            <w:r>
              <w:rPr>
                <w:rFonts w:hint="eastAsia"/>
                <w:szCs w:val="24"/>
              </w:rPr>
              <w:t>运输沙、石、水泥、土方等易产尘物质的车辆必须封盖严密，严禁洒漏；</w:t>
            </w:r>
          </w:p>
          <w:p>
            <w:pPr>
              <w:pStyle w:val="42"/>
              <w:autoSpaceDE w:val="0"/>
              <w:autoSpaceDN w:val="0"/>
              <w:adjustRightInd w:val="0"/>
              <w:snapToGrid w:val="0"/>
              <w:spacing w:line="360" w:lineRule="auto"/>
              <w:ind w:firstLine="480"/>
              <w:rPr>
                <w:szCs w:val="24"/>
              </w:rPr>
            </w:pPr>
            <w:r>
              <w:rPr>
                <w:rFonts w:hint="eastAsia"/>
                <w:szCs w:val="24"/>
              </w:rPr>
              <w:t>②开挖的土方应及时转运至废弃采矿区用于场地平整，不进行临时堆放。</w:t>
            </w:r>
          </w:p>
          <w:p>
            <w:pPr>
              <w:pStyle w:val="42"/>
              <w:autoSpaceDE w:val="0"/>
              <w:autoSpaceDN w:val="0"/>
              <w:adjustRightInd w:val="0"/>
              <w:snapToGrid w:val="0"/>
              <w:spacing w:line="360" w:lineRule="auto"/>
              <w:ind w:firstLine="480"/>
            </w:pPr>
            <w:r>
              <w:rPr>
                <w:rFonts w:hint="eastAsia"/>
                <w:szCs w:val="24"/>
              </w:rPr>
              <w:t>③合理安排运输路线，尽量避开人群聚集地；合理控制运输车辆的车速。</w:t>
            </w:r>
          </w:p>
          <w:p>
            <w:pPr>
              <w:pStyle w:val="42"/>
              <w:autoSpaceDE w:val="0"/>
              <w:autoSpaceDN w:val="0"/>
              <w:adjustRightInd w:val="0"/>
              <w:snapToGrid w:val="0"/>
              <w:spacing w:line="360" w:lineRule="auto"/>
              <w:ind w:firstLine="480"/>
              <w:rPr>
                <w:szCs w:val="24"/>
              </w:rPr>
            </w:pPr>
            <w:r>
              <w:rPr>
                <w:rFonts w:hint="eastAsia"/>
                <w:szCs w:val="24"/>
                <w:lang w:val="en-US" w:eastAsia="zh-CN"/>
              </w:rPr>
              <w:t>④</w:t>
            </w:r>
            <w:r>
              <w:rPr>
                <w:rFonts w:hint="eastAsia"/>
                <w:szCs w:val="24"/>
              </w:rPr>
              <w:t>材料堆放场应设在当地主导风向下风向处；</w:t>
            </w:r>
          </w:p>
          <w:p>
            <w:pPr>
              <w:pStyle w:val="42"/>
              <w:autoSpaceDE w:val="0"/>
              <w:autoSpaceDN w:val="0"/>
              <w:adjustRightInd w:val="0"/>
              <w:snapToGrid w:val="0"/>
              <w:spacing w:line="360" w:lineRule="auto"/>
              <w:ind w:firstLine="480"/>
              <w:rPr>
                <w:szCs w:val="24"/>
              </w:rPr>
            </w:pPr>
            <w:r>
              <w:rPr>
                <w:rFonts w:hint="eastAsia"/>
                <w:szCs w:val="24"/>
                <w:lang w:val="en-US" w:eastAsia="zh-CN"/>
              </w:rPr>
              <w:t>⑤</w:t>
            </w:r>
            <w:r>
              <w:rPr>
                <w:rFonts w:hint="eastAsia"/>
                <w:szCs w:val="24"/>
              </w:rPr>
              <w:t>风速四级以上易产生扬尘时，施工单位应暂停土方开挖，采取覆盖堆料、湿润等措施，有效减少扬尘污染；</w:t>
            </w:r>
          </w:p>
          <w:p>
            <w:pPr>
              <w:pStyle w:val="42"/>
              <w:autoSpaceDE w:val="0"/>
              <w:autoSpaceDN w:val="0"/>
              <w:adjustRightInd w:val="0"/>
              <w:snapToGrid w:val="0"/>
              <w:spacing w:line="360" w:lineRule="auto"/>
              <w:ind w:firstLine="480"/>
              <w:rPr>
                <w:szCs w:val="24"/>
              </w:rPr>
            </w:pPr>
            <w:r>
              <w:rPr>
                <w:rFonts w:hint="eastAsia"/>
                <w:szCs w:val="24"/>
                <w:lang w:val="en-US" w:eastAsia="zh-CN"/>
              </w:rPr>
              <w:t>⑥</w:t>
            </w:r>
            <w:r>
              <w:rPr>
                <w:rFonts w:hint="eastAsia"/>
                <w:szCs w:val="24"/>
              </w:rPr>
              <w:t>及时清运施工废弃物，暂时不能清运的应采取覆盖等措施；</w:t>
            </w:r>
          </w:p>
          <w:p>
            <w:pPr>
              <w:pStyle w:val="42"/>
              <w:autoSpaceDE w:val="0"/>
              <w:autoSpaceDN w:val="0"/>
              <w:adjustRightInd w:val="0"/>
              <w:snapToGrid w:val="0"/>
              <w:spacing w:line="360" w:lineRule="auto"/>
              <w:ind w:firstLine="480"/>
              <w:rPr>
                <w:szCs w:val="24"/>
              </w:rPr>
            </w:pPr>
            <w:r>
              <w:rPr>
                <w:rFonts w:hint="eastAsia"/>
                <w:szCs w:val="24"/>
                <w:lang w:val="en-US" w:eastAsia="zh-CN"/>
              </w:rPr>
              <w:t>⑦</w:t>
            </w:r>
            <w:r>
              <w:rPr>
                <w:rFonts w:hint="eastAsia"/>
                <w:szCs w:val="24"/>
              </w:rPr>
              <w:t>工程完毕后及时清理施工场地。对施工场地、堆料场等，除及时进行清理外，进行</w:t>
            </w:r>
            <w:r>
              <w:rPr>
                <w:rFonts w:hint="eastAsia"/>
                <w:szCs w:val="24"/>
                <w:lang w:val="en-US" w:eastAsia="zh-CN"/>
              </w:rPr>
              <w:t>生态恢复</w:t>
            </w:r>
            <w:r>
              <w:rPr>
                <w:rFonts w:hint="eastAsia"/>
                <w:szCs w:val="24"/>
              </w:rPr>
              <w:t>；</w:t>
            </w:r>
          </w:p>
          <w:p>
            <w:pPr>
              <w:pStyle w:val="42"/>
              <w:autoSpaceDE w:val="0"/>
              <w:autoSpaceDN w:val="0"/>
              <w:adjustRightInd w:val="0"/>
              <w:snapToGrid w:val="0"/>
              <w:spacing w:line="360" w:lineRule="auto"/>
              <w:ind w:firstLine="480"/>
              <w:rPr>
                <w:rFonts w:hint="eastAsia"/>
                <w:szCs w:val="24"/>
              </w:rPr>
            </w:pPr>
            <w:r>
              <w:rPr>
                <w:rFonts w:hint="eastAsia"/>
                <w:szCs w:val="24"/>
                <w:lang w:val="en-US" w:eastAsia="zh-CN"/>
              </w:rPr>
              <w:t>⑧施工</w:t>
            </w:r>
            <w:r>
              <w:rPr>
                <w:rFonts w:hint="eastAsia"/>
                <w:szCs w:val="24"/>
              </w:rPr>
              <w:t>期间</w:t>
            </w:r>
            <w:r>
              <w:rPr>
                <w:rFonts w:hint="eastAsia"/>
                <w:szCs w:val="24"/>
                <w:lang w:val="en-US" w:eastAsia="zh-CN"/>
              </w:rPr>
              <w:t>在暂不施工区域</w:t>
            </w:r>
            <w:r>
              <w:rPr>
                <w:rFonts w:hint="eastAsia"/>
                <w:szCs w:val="24"/>
              </w:rPr>
              <w:t>采取临时苫盖、定期洒水降尘。</w:t>
            </w:r>
          </w:p>
          <w:p>
            <w:pPr>
              <w:adjustRightInd w:val="0"/>
              <w:snapToGrid w:val="0"/>
              <w:spacing w:line="360" w:lineRule="auto"/>
              <w:ind w:left="0" w:leftChars="0" w:firstLine="0" w:firstLineChars="0"/>
              <w:rPr>
                <w:b/>
                <w:color w:val="000000"/>
              </w:rPr>
            </w:pPr>
            <w:r>
              <w:rPr>
                <w:rFonts w:hint="eastAsia"/>
                <w:b/>
                <w:color w:val="000000"/>
                <w:lang w:val="en-US" w:eastAsia="zh-CN"/>
              </w:rPr>
              <w:t>3.</w:t>
            </w:r>
            <w:r>
              <w:rPr>
                <w:b/>
                <w:color w:val="000000"/>
              </w:rPr>
              <w:t>地表水环境影响减缓措施</w:t>
            </w:r>
          </w:p>
          <w:p>
            <w:pPr>
              <w:autoSpaceDE w:val="0"/>
              <w:autoSpaceDN w:val="0"/>
              <w:adjustRightInd w:val="0"/>
              <w:snapToGrid w:val="0"/>
              <w:spacing w:line="360" w:lineRule="auto"/>
              <w:ind w:left="0" w:leftChars="0" w:firstLine="0" w:firstLineChars="0"/>
              <w:jc w:val="both"/>
              <w:rPr>
                <w:b/>
                <w:color w:val="000000"/>
                <w:kern w:val="0"/>
              </w:rPr>
            </w:pPr>
            <w:r>
              <w:rPr>
                <w:rFonts w:hint="eastAsia"/>
                <w:b/>
                <w:color w:val="000000"/>
                <w:kern w:val="0"/>
                <w:lang w:val="en-US" w:eastAsia="zh-CN"/>
              </w:rPr>
              <w:t>3.</w:t>
            </w:r>
            <w:r>
              <w:rPr>
                <w:b/>
                <w:color w:val="000000"/>
                <w:kern w:val="0"/>
              </w:rPr>
              <w:t>1、施工生产废水防治措施</w:t>
            </w:r>
          </w:p>
          <w:p>
            <w:pPr>
              <w:pageBreakBefore w:val="0"/>
              <w:widowControl w:val="0"/>
              <w:kinsoku/>
              <w:wordWrap/>
              <w:overflowPunct/>
              <w:topLinePunct w:val="0"/>
              <w:bidi w:val="0"/>
              <w:adjustRightInd w:val="0"/>
              <w:snapToGrid w:val="0"/>
              <w:spacing w:line="360" w:lineRule="auto"/>
              <w:ind w:firstLine="480" w:firstLineChars="200"/>
              <w:textAlignment w:val="auto"/>
              <w:rPr>
                <w:color w:val="000000"/>
              </w:rPr>
            </w:pPr>
            <w:r>
              <w:rPr>
                <w:color w:val="000000"/>
              </w:rPr>
              <w:t>在施工场地内设置</w:t>
            </w:r>
            <w:r>
              <w:rPr>
                <w:rFonts w:hint="eastAsia"/>
                <w:color w:val="000000"/>
                <w:lang w:val="en-US" w:eastAsia="zh-CN"/>
              </w:rPr>
              <w:t>1座</w:t>
            </w:r>
            <w:r>
              <w:rPr>
                <w:color w:val="000000"/>
                <w:highlight w:val="none"/>
              </w:rPr>
              <w:t>沉淀池</w:t>
            </w:r>
            <w:r>
              <w:rPr>
                <w:color w:val="000000"/>
              </w:rPr>
              <w:t>，用防水布或塑料薄膜防渗，废水排入沉淀池后静置沉淀，处理后废水全部回用于降尘洒水。沉淀池采用混凝土防渗结构（抗渗等级P6，渗透系数K≤10</w:t>
            </w:r>
            <w:r>
              <w:rPr>
                <w:color w:val="000000"/>
                <w:vertAlign w:val="superscript"/>
              </w:rPr>
              <w:t>-7</w:t>
            </w:r>
            <w:r>
              <w:rPr>
                <w:color w:val="000000"/>
              </w:rPr>
              <w:t>cm/s）。沉淀池中沉淀的泥浆在间歇期通过蒸发、晒干等自然干化脱水处理后，就地平整。施工段结束后，及时对沉淀池进行填埋处理。</w:t>
            </w:r>
          </w:p>
          <w:p>
            <w:pPr>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both"/>
              <w:textAlignment w:val="auto"/>
              <w:rPr>
                <w:rFonts w:hint="eastAsia" w:ascii="Times New Roman" w:hAnsi="Times New Roman"/>
                <w:b/>
                <w:color w:val="000000"/>
                <w:kern w:val="0"/>
                <w:lang w:val="en-US" w:eastAsia="zh-CN"/>
              </w:rPr>
            </w:pPr>
            <w:r>
              <w:rPr>
                <w:rFonts w:hint="eastAsia" w:ascii="Times New Roman" w:hAnsi="Times New Roman"/>
                <w:b/>
                <w:color w:val="000000"/>
                <w:kern w:val="0"/>
                <w:lang w:val="en-US" w:eastAsia="zh-CN"/>
              </w:rPr>
              <w:t>3.2、生活污水防治措施</w:t>
            </w:r>
          </w:p>
          <w:p>
            <w:pPr>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cs="Times New Roman"/>
                <w:color w:val="000000"/>
                <w:lang w:val="en-US" w:eastAsia="zh-CN"/>
              </w:rPr>
            </w:pPr>
            <w:r>
              <w:rPr>
                <w:rFonts w:hint="eastAsia"/>
                <w:color w:val="000000"/>
                <w:lang w:val="en-US" w:eastAsia="zh-CN"/>
              </w:rPr>
              <w:t>排入临时可移动式环保厕所，定期委托吸污车清运至当地污水处理厂处置</w:t>
            </w:r>
            <w:r>
              <w:rPr>
                <w:rFonts w:hint="default" w:ascii="Times New Roman" w:hAnsi="Times New Roman" w:cs="Times New Roman"/>
                <w:color w:val="000000"/>
                <w:lang w:val="en-US" w:eastAsia="zh-CN"/>
              </w:rPr>
              <w:t>。</w:t>
            </w:r>
          </w:p>
          <w:p>
            <w:pPr>
              <w:pStyle w:val="3"/>
              <w:pageBreakBefore w:val="0"/>
              <w:widowControl w:val="0"/>
              <w:numPr>
                <w:ilvl w:val="0"/>
                <w:numId w:val="0"/>
              </w:numPr>
              <w:kinsoku/>
              <w:wordWrap/>
              <w:overflowPunct/>
              <w:topLinePunct w:val="0"/>
              <w:bidi w:val="0"/>
              <w:spacing w:beforeLines="0" w:afterLines="0" w:line="360" w:lineRule="auto"/>
              <w:textAlignment w:val="auto"/>
              <w:outlineLvl w:val="1"/>
              <w:rPr>
                <w:rFonts w:hint="default" w:ascii="Times New Roman" w:hAnsi="Times New Roman" w:cs="Times New Roman"/>
                <w:b/>
                <w:color w:val="000000"/>
              </w:rPr>
            </w:pPr>
            <w:r>
              <w:rPr>
                <w:rFonts w:hint="default" w:ascii="Times New Roman" w:hAnsi="Times New Roman" w:cs="Times New Roman"/>
                <w:b/>
                <w:color w:val="000000"/>
                <w:lang w:val="en-US" w:eastAsia="zh-CN"/>
              </w:rPr>
              <w:t>4.</w:t>
            </w:r>
            <w:r>
              <w:rPr>
                <w:rFonts w:hint="default" w:ascii="Times New Roman" w:hAnsi="Times New Roman" w:cs="Times New Roman"/>
                <w:b/>
                <w:color w:val="000000"/>
              </w:rPr>
              <w:t>噪声环境影响减缓措施</w:t>
            </w:r>
          </w:p>
          <w:p>
            <w:pPr>
              <w:adjustRightInd w:val="0"/>
              <w:snapToGrid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bCs/>
                <w:color w:val="000000"/>
              </w:rPr>
              <w:t>（1）</w:t>
            </w:r>
            <w:r>
              <w:rPr>
                <w:rFonts w:hint="default" w:ascii="Times New Roman" w:hAnsi="Times New Roman" w:cs="Times New Roman"/>
                <w:color w:val="000000"/>
              </w:rPr>
              <w:t>施工前对周边居民等声环境敏感对象进行宣传活动，使广大群众理解和支持工程建设。</w:t>
            </w:r>
          </w:p>
          <w:p>
            <w:pPr>
              <w:adjustRightInd w:val="0"/>
              <w:snapToGrid w:val="0"/>
              <w:spacing w:line="360" w:lineRule="auto"/>
              <w:ind w:firstLine="480" w:firstLineChars="200"/>
              <w:jc w:val="both"/>
              <w:rPr>
                <w:rFonts w:hint="default" w:ascii="Times New Roman" w:hAnsi="Times New Roman" w:cs="Times New Roman"/>
                <w:color w:val="000000"/>
              </w:rPr>
            </w:pPr>
            <w:r>
              <w:rPr>
                <w:rFonts w:hint="default" w:ascii="Times New Roman" w:hAnsi="Times New Roman" w:cs="Times New Roman"/>
                <w:bCs/>
                <w:color w:val="000000"/>
              </w:rPr>
              <w:t>（2）合</w:t>
            </w:r>
            <w:r>
              <w:rPr>
                <w:rFonts w:hint="default" w:ascii="Times New Roman" w:hAnsi="Times New Roman" w:cs="Times New Roman"/>
                <w:color w:val="000000"/>
              </w:rPr>
              <w:t>理施工安排施工布局及施工时间，禁止夜间施工，尽量缩短施工周期。</w:t>
            </w:r>
          </w:p>
          <w:p>
            <w:pPr>
              <w:adjustRightInd w:val="0"/>
              <w:snapToGrid w:val="0"/>
              <w:spacing w:line="360" w:lineRule="auto"/>
              <w:ind w:firstLine="480" w:firstLineChars="200"/>
              <w:rPr>
                <w:rFonts w:hint="default" w:ascii="Times New Roman" w:hAnsi="Times New Roman" w:cs="Times New Roman"/>
                <w:bCs/>
                <w:color w:val="000000"/>
                <w:szCs w:val="20"/>
              </w:rPr>
            </w:pPr>
            <w:r>
              <w:rPr>
                <w:rFonts w:hint="default" w:ascii="Times New Roman" w:hAnsi="Times New Roman" w:cs="Times New Roman"/>
                <w:bCs/>
                <w:color w:val="000000"/>
              </w:rPr>
              <w:t>（3）</w:t>
            </w:r>
            <w:r>
              <w:rPr>
                <w:rFonts w:hint="default" w:ascii="Times New Roman" w:hAnsi="Times New Roman" w:cs="Times New Roman"/>
                <w:bCs/>
                <w:color w:val="000000"/>
                <w:szCs w:val="20"/>
              </w:rPr>
              <w:t>从合理施工组织方面，注意选用效率高、噪声低的机械设备，并注意维修养护和正确使用，使之保持最佳工作状态和最低声级水平，可视情况给强噪声设备装减震机座控制施工噪声源强和振动，减轻施工噪声对工程区域声学环境质量的影响，力争做到施工噪声不扰民。</w:t>
            </w:r>
          </w:p>
          <w:p>
            <w:pPr>
              <w:adjustRightInd w:val="0"/>
              <w:snapToGrid w:val="0"/>
              <w:spacing w:line="360" w:lineRule="auto"/>
              <w:ind w:firstLine="480" w:firstLineChars="200"/>
              <w:rPr>
                <w:rFonts w:hint="default" w:ascii="Times New Roman" w:hAnsi="Times New Roman" w:cs="Times New Roman"/>
                <w:bCs/>
                <w:color w:val="000000"/>
              </w:rPr>
            </w:pPr>
            <w:r>
              <w:rPr>
                <w:rFonts w:hint="default" w:ascii="Times New Roman" w:hAnsi="Times New Roman" w:cs="Times New Roman"/>
                <w:bCs/>
                <w:color w:val="000000"/>
              </w:rPr>
              <w:t>（4）</w:t>
            </w:r>
            <w:r>
              <w:rPr>
                <w:rFonts w:hint="default" w:ascii="Times New Roman" w:hAnsi="Times New Roman" w:cs="Times New Roman"/>
                <w:color w:val="000000"/>
              </w:rPr>
              <w:t>高噪声设备的布设远离周边居民敏感点</w:t>
            </w:r>
            <w:r>
              <w:rPr>
                <w:rFonts w:hint="default" w:ascii="Times New Roman" w:hAnsi="Times New Roman" w:cs="Times New Roman"/>
                <w:bCs/>
                <w:color w:val="000000"/>
              </w:rPr>
              <w:t>。</w:t>
            </w:r>
          </w:p>
          <w:p>
            <w:pPr>
              <w:adjustRightInd w:val="0"/>
              <w:snapToGrid w:val="0"/>
              <w:spacing w:line="360" w:lineRule="auto"/>
              <w:ind w:firstLine="480" w:firstLineChars="200"/>
              <w:rPr>
                <w:rFonts w:hint="default" w:ascii="Times New Roman" w:hAnsi="Times New Roman" w:cs="Times New Roman"/>
                <w:bCs/>
                <w:color w:val="000000"/>
                <w:szCs w:val="20"/>
              </w:rPr>
            </w:pPr>
            <w:r>
              <w:rPr>
                <w:rFonts w:hint="default" w:ascii="Times New Roman" w:hAnsi="Times New Roman" w:cs="Times New Roman"/>
                <w:bCs/>
                <w:color w:val="000000"/>
                <w:szCs w:val="20"/>
              </w:rPr>
              <w:t>（5）建筑工程承包方在施工期应严格执行相关环境噪声（振动）管理规定，施工中除采用低噪声的施工机械外，施工时间、时段、施工进度、施工原材料购进时间应精心安排、系统规划、规范施工。</w:t>
            </w:r>
            <w:r>
              <w:rPr>
                <w:rFonts w:hint="default" w:ascii="Times New Roman" w:hAnsi="Times New Roman" w:cs="Times New Roman"/>
                <w:color w:val="000000"/>
              </w:rPr>
              <w:t>合理安排施工工序，尽量缩短施工周期。</w:t>
            </w:r>
          </w:p>
          <w:p>
            <w:pPr>
              <w:adjustRightInd w:val="0"/>
              <w:snapToGrid w:val="0"/>
              <w:spacing w:line="360" w:lineRule="auto"/>
              <w:ind w:firstLine="480" w:firstLineChars="200"/>
              <w:rPr>
                <w:rFonts w:hint="default" w:ascii="Times New Roman" w:hAnsi="Times New Roman" w:cs="Times New Roman"/>
                <w:bCs/>
                <w:color w:val="000000"/>
                <w:szCs w:val="20"/>
              </w:rPr>
            </w:pPr>
            <w:r>
              <w:rPr>
                <w:rFonts w:hint="default" w:ascii="Times New Roman" w:hAnsi="Times New Roman" w:cs="Times New Roman"/>
                <w:bCs/>
                <w:color w:val="000000"/>
                <w:szCs w:val="20"/>
              </w:rPr>
              <w:t>（6）对钢筋装卸、搬运应轻拿轻放，严禁抛掷；严禁进出施工场地的车辆鸣笛。</w:t>
            </w:r>
          </w:p>
          <w:p>
            <w:pPr>
              <w:adjustRightInd w:val="0"/>
              <w:snapToGrid w:val="0"/>
              <w:spacing w:line="360" w:lineRule="auto"/>
              <w:ind w:firstLine="480" w:firstLineChars="200"/>
              <w:rPr>
                <w:rFonts w:hint="default" w:ascii="Times New Roman" w:hAnsi="Times New Roman" w:cs="Times New Roman"/>
                <w:color w:val="000000"/>
                <w:szCs w:val="20"/>
              </w:rPr>
            </w:pPr>
            <w:r>
              <w:rPr>
                <w:rFonts w:hint="default" w:ascii="Times New Roman" w:hAnsi="Times New Roman" w:cs="Times New Roman"/>
                <w:bCs/>
                <w:color w:val="000000"/>
                <w:szCs w:val="20"/>
              </w:rPr>
              <w:t>（7）加强材料运输车辆的维护和管理，使车辆一直处于良好车况状态，运输车辆经过沿线居民点较多的区域时，应减速行驶，禁止鸣笛。</w:t>
            </w:r>
          </w:p>
          <w:p>
            <w:pPr>
              <w:pageBreakBefore w:val="0"/>
              <w:widowControl w:val="0"/>
              <w:kinsoku/>
              <w:wordWrap/>
              <w:overflowPunct/>
              <w:topLinePunct w:val="0"/>
              <w:bidi w:val="0"/>
              <w:adjustRightInd w:val="0"/>
              <w:snapToGrid/>
              <w:spacing w:line="360" w:lineRule="auto"/>
              <w:ind w:firstLine="480" w:firstLineChars="200"/>
              <w:textAlignment w:val="auto"/>
              <w:rPr>
                <w:rFonts w:hint="default" w:ascii="Times New Roman" w:hAnsi="Times New Roman" w:cs="Times New Roman"/>
                <w:bCs/>
                <w:color w:val="000000"/>
              </w:rPr>
            </w:pPr>
            <w:r>
              <w:rPr>
                <w:rFonts w:hint="default" w:ascii="Times New Roman" w:hAnsi="Times New Roman" w:cs="Times New Roman"/>
                <w:color w:val="000000"/>
              </w:rPr>
              <w:t>（8）合理安排施工车流量，设立标示牌，限制施工区内车辆时速在20km以内，严格控制车辆鸣笛，限制车辆等噪声污染。</w:t>
            </w:r>
          </w:p>
          <w:p>
            <w:pPr>
              <w:pStyle w:val="3"/>
              <w:pageBreakBefore w:val="0"/>
              <w:widowControl w:val="0"/>
              <w:numPr>
                <w:ilvl w:val="0"/>
                <w:numId w:val="0"/>
              </w:numPr>
              <w:kinsoku/>
              <w:wordWrap/>
              <w:overflowPunct/>
              <w:topLinePunct w:val="0"/>
              <w:bidi w:val="0"/>
              <w:snapToGrid/>
              <w:spacing w:beforeLines="0" w:afterLines="0" w:line="360" w:lineRule="auto"/>
              <w:textAlignment w:val="auto"/>
              <w:outlineLvl w:val="1"/>
              <w:rPr>
                <w:rFonts w:hint="default" w:ascii="Times New Roman" w:hAnsi="Times New Roman" w:cs="Times New Roman"/>
                <w:b/>
                <w:kern w:val="2"/>
                <w:sz w:val="24"/>
                <w:szCs w:val="24"/>
                <w:lang w:val="en-US" w:eastAsia="zh-CN" w:bidi="ar-SA"/>
              </w:rPr>
            </w:pPr>
            <w:r>
              <w:rPr>
                <w:rFonts w:hint="default" w:ascii="Times New Roman" w:hAnsi="Times New Roman" w:cs="Times New Roman"/>
                <w:b/>
                <w:kern w:val="2"/>
                <w:sz w:val="24"/>
                <w:szCs w:val="24"/>
                <w:lang w:val="en-US" w:eastAsia="zh-CN" w:bidi="ar-SA"/>
              </w:rPr>
              <w:t>5.固体废物减缓措施</w:t>
            </w:r>
          </w:p>
          <w:p>
            <w:pPr>
              <w:pageBreakBefore w:val="0"/>
              <w:widowControl w:val="0"/>
              <w:kinsoku/>
              <w:wordWrap/>
              <w:overflowPunct/>
              <w:topLinePunct w:val="0"/>
              <w:bidi w:val="0"/>
              <w:adjustRightInd w:val="0"/>
              <w:snapToGrid/>
              <w:spacing w:line="360" w:lineRule="auto"/>
              <w:ind w:firstLine="480" w:firstLineChars="200"/>
              <w:textAlignment w:val="auto"/>
              <w:rPr>
                <w:color w:val="000000"/>
              </w:rPr>
            </w:pPr>
            <w:r>
              <w:rPr>
                <w:rFonts w:hint="default" w:ascii="Times New Roman" w:hAnsi="Times New Roman" w:cs="Times New Roman"/>
                <w:color w:val="000000"/>
              </w:rPr>
              <w:t>（</w:t>
            </w:r>
            <w:r>
              <w:rPr>
                <w:rFonts w:hint="default" w:ascii="Times New Roman" w:hAnsi="Times New Roman" w:cs="Times New Roman"/>
                <w:color w:val="000000"/>
                <w:lang w:val="en-US" w:eastAsia="zh-CN"/>
              </w:rPr>
              <w:t>1</w:t>
            </w:r>
            <w:r>
              <w:rPr>
                <w:rFonts w:hint="default" w:ascii="Times New Roman" w:hAnsi="Times New Roman" w:cs="Times New Roman"/>
                <w:color w:val="000000"/>
              </w:rPr>
              <w:t>）项目的生活垃圾禁止随意丢弃，设垃圾桶分类收集后，运至附近生活垃圾收集点处置</w:t>
            </w:r>
            <w:r>
              <w:rPr>
                <w:color w:val="000000"/>
              </w:rPr>
              <w:t>。</w:t>
            </w:r>
          </w:p>
          <w:p>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pPr>
            <w:r>
              <w:rPr>
                <w:color w:val="000000"/>
              </w:rPr>
              <w:t>（</w:t>
            </w:r>
            <w:r>
              <w:rPr>
                <w:rFonts w:hint="eastAsia"/>
                <w:color w:val="000000"/>
                <w:lang w:val="en-US" w:eastAsia="zh-CN"/>
              </w:rPr>
              <w:t>2</w:t>
            </w:r>
            <w:r>
              <w:rPr>
                <w:color w:val="000000"/>
              </w:rPr>
              <w:t>）对本次建设过程中产生的建筑垃圾，可回收利用的建筑材料进行回收利用，不能回收利用的建筑垃圾经规范收集后运往一般固体废物处置场处置。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688" w:type="dxa"/>
            <w:vAlign w:val="center"/>
          </w:tcPr>
          <w:p>
            <w:pPr>
              <w:pStyle w:val="31"/>
              <w:rPr>
                <w:rFonts w:hint="default"/>
              </w:rPr>
            </w:pPr>
            <w:r>
              <w:rPr>
                <w:b w:val="0"/>
                <w:bCs w:val="0"/>
                <w:sz w:val="21"/>
                <w:szCs w:val="21"/>
                <w:highlight w:val="none"/>
              </w:rPr>
              <w:t>运营期生态环境保护措施</w:t>
            </w:r>
          </w:p>
        </w:tc>
        <w:tc>
          <w:tcPr>
            <w:tcW w:w="77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0" w:firstLineChars="0"/>
              <w:jc w:val="both"/>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1.大气污染防治措施</w:t>
            </w:r>
          </w:p>
          <w:p>
            <w:pPr>
              <w:keepNext w:val="0"/>
              <w:keepLines w:val="0"/>
              <w:pageBreakBefore w:val="0"/>
              <w:widowControl w:val="0"/>
              <w:kinsoku/>
              <w:wordWrap/>
              <w:overflowPunct/>
              <w:topLinePunct w:val="0"/>
              <w:autoSpaceDE/>
              <w:autoSpaceDN/>
              <w:bidi w:val="0"/>
              <w:snapToGrid/>
              <w:ind w:firstLine="480"/>
              <w:textAlignment w:val="auto"/>
              <w:rPr>
                <w:rFonts w:hint="eastAsia"/>
                <w:szCs w:val="32"/>
                <w:lang w:val="en-US" w:eastAsia="zh-CN"/>
              </w:rPr>
            </w:pPr>
            <w:r>
              <w:rPr>
                <w:rFonts w:hint="eastAsia"/>
                <w:szCs w:val="32"/>
                <w:lang w:val="en-US" w:eastAsia="zh-CN"/>
              </w:rPr>
              <w:t>根据本项目生产工艺流程可知。主要大气污染因子为开采粉尘、原料堆场粉尘、筛分粉尘、皮带输送粉尘、车辆尾气、车辆运输扬尘及食堂油烟废气等。</w:t>
            </w:r>
          </w:p>
          <w:p>
            <w:pPr>
              <w:bidi w:val="0"/>
              <w:spacing w:line="240" w:lineRule="auto"/>
              <w:ind w:left="0" w:leftChars="0" w:firstLine="0" w:firstLineChars="0"/>
              <w:jc w:val="center"/>
              <w:rPr>
                <w:rFonts w:hint="eastAsia"/>
                <w:sz w:val="21"/>
                <w:szCs w:val="21"/>
                <w:lang w:val="en-US" w:eastAsia="zh-CN"/>
              </w:rPr>
            </w:pPr>
            <w:r>
              <w:rPr>
                <w:rFonts w:hint="default" w:ascii="Times New Roman" w:hAnsi="Times New Roman" w:cs="Times New Roman"/>
                <w:b/>
                <w:bCs/>
                <w:sz w:val="21"/>
                <w:szCs w:val="21"/>
                <w:lang w:val="en-US" w:eastAsia="zh-CN"/>
              </w:rPr>
              <w:t>表5-1</w:t>
            </w:r>
            <w:r>
              <w:rPr>
                <w:rFonts w:hint="eastAsia" w:cs="Times New Roman"/>
                <w:b/>
                <w:bCs/>
                <w:sz w:val="21"/>
                <w:szCs w:val="21"/>
                <w:lang w:val="en-US" w:eastAsia="zh-CN"/>
              </w:rPr>
              <w:t xml:space="preserve">  </w:t>
            </w:r>
            <w:r>
              <w:rPr>
                <w:rFonts w:hint="default" w:ascii="Times New Roman" w:hAnsi="Times New Roman" w:cs="Times New Roman"/>
                <w:b/>
                <w:bCs/>
                <w:sz w:val="21"/>
                <w:szCs w:val="21"/>
                <w:lang w:val="en-US" w:eastAsia="zh-CN"/>
              </w:rPr>
              <w:t xml:space="preserve"> 运营期大气污染物措施一览表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4148"/>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4"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sz w:val="21"/>
                      <w:szCs w:val="21"/>
                    </w:rPr>
                  </w:pPr>
                  <w:r>
                    <w:rPr>
                      <w:b/>
                      <w:bCs/>
                      <w:sz w:val="21"/>
                      <w:szCs w:val="21"/>
                    </w:rPr>
                    <w:t>产排污环节</w:t>
                  </w:r>
                </w:p>
              </w:tc>
              <w:tc>
                <w:tcPr>
                  <w:tcW w:w="2771"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b/>
                      <w:color w:val="000000"/>
                      <w:sz w:val="21"/>
                      <w:szCs w:val="21"/>
                    </w:rPr>
                  </w:pPr>
                  <w:r>
                    <w:rPr>
                      <w:b/>
                      <w:color w:val="000000"/>
                      <w:sz w:val="21"/>
                      <w:szCs w:val="21"/>
                    </w:rPr>
                    <w:t>治理措施</w:t>
                  </w:r>
                </w:p>
              </w:tc>
              <w:tc>
                <w:tcPr>
                  <w:tcW w:w="1083"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ascii="Times New Roman" w:hAnsi="Times New Roman" w:eastAsia="宋体" w:cstheme="minorBidi"/>
                      <w:b/>
                      <w:color w:val="000000"/>
                      <w:kern w:val="2"/>
                      <w:sz w:val="21"/>
                      <w:szCs w:val="21"/>
                      <w:lang w:val="en-US" w:eastAsia="zh-CN" w:bidi="ar-SA"/>
                    </w:rPr>
                  </w:pPr>
                  <w:r>
                    <w:rPr>
                      <w:b/>
                      <w:color w:val="000000"/>
                      <w:sz w:val="21"/>
                      <w:szCs w:val="21"/>
                    </w:rPr>
                    <w:t>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4"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eastAsia" w:eastAsia="宋体"/>
                      <w:b/>
                      <w:bCs/>
                      <w:sz w:val="21"/>
                      <w:szCs w:val="21"/>
                      <w:lang w:eastAsia="zh-CN"/>
                    </w:rPr>
                  </w:pPr>
                  <w:r>
                    <w:rPr>
                      <w:rFonts w:hint="eastAsia"/>
                      <w:b w:val="0"/>
                      <w:bCs w:val="0"/>
                      <w:sz w:val="21"/>
                      <w:szCs w:val="21"/>
                      <w:lang w:eastAsia="zh-CN"/>
                    </w:rPr>
                    <w:t>开采</w:t>
                  </w:r>
                </w:p>
              </w:tc>
              <w:tc>
                <w:tcPr>
                  <w:tcW w:w="2771"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eastAsia" w:eastAsia="宋体"/>
                      <w:b w:val="0"/>
                      <w:bCs/>
                      <w:color w:val="000000"/>
                      <w:sz w:val="21"/>
                      <w:szCs w:val="21"/>
                      <w:lang w:eastAsia="zh-CN"/>
                    </w:rPr>
                  </w:pPr>
                  <w:r>
                    <w:rPr>
                      <w:rFonts w:hint="eastAsia"/>
                      <w:b w:val="0"/>
                      <w:bCs/>
                      <w:color w:val="000000"/>
                      <w:sz w:val="21"/>
                      <w:szCs w:val="21"/>
                      <w:lang w:eastAsia="zh-CN"/>
                    </w:rPr>
                    <w:t>湿式作业</w:t>
                  </w:r>
                </w:p>
              </w:tc>
              <w:tc>
                <w:tcPr>
                  <w:tcW w:w="1083" w:type="pct"/>
                  <w:vMerge w:val="restar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heme="minorBidi"/>
                      <w:color w:val="000000"/>
                      <w:kern w:val="2"/>
                      <w:sz w:val="21"/>
                      <w:szCs w:val="21"/>
                      <w:lang w:val="en-US" w:eastAsia="zh-CN" w:bidi="ar-SA"/>
                    </w:rPr>
                  </w:pPr>
                  <w:r>
                    <w:rPr>
                      <w:rFonts w:hint="eastAsia"/>
                      <w:color w:val="000000"/>
                      <w:sz w:val="21"/>
                      <w:szCs w:val="21"/>
                      <w:lang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4"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sz w:val="21"/>
                      <w:szCs w:val="21"/>
                    </w:rPr>
                  </w:pPr>
                  <w:r>
                    <w:rPr>
                      <w:rFonts w:hint="eastAsia"/>
                      <w:sz w:val="21"/>
                      <w:szCs w:val="21"/>
                    </w:rPr>
                    <w:t>堆场</w:t>
                  </w:r>
                  <w:r>
                    <w:rPr>
                      <w:rFonts w:hint="eastAsia"/>
                      <w:sz w:val="21"/>
                      <w:szCs w:val="21"/>
                      <w:lang w:eastAsia="zh-CN"/>
                    </w:rPr>
                    <w:t>、装卸</w:t>
                  </w:r>
                </w:p>
              </w:tc>
              <w:tc>
                <w:tcPr>
                  <w:tcW w:w="2771"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eastAsia="宋体"/>
                      <w:color w:val="000000"/>
                      <w:kern w:val="0"/>
                      <w:sz w:val="21"/>
                      <w:szCs w:val="21"/>
                      <w:lang w:val="en-US" w:eastAsia="zh-CN"/>
                    </w:rPr>
                  </w:pPr>
                  <w:r>
                    <w:rPr>
                      <w:rFonts w:hint="eastAsia"/>
                      <w:color w:val="000000"/>
                      <w:kern w:val="0"/>
                      <w:sz w:val="21"/>
                      <w:szCs w:val="21"/>
                      <w:lang w:val="en-US" w:eastAsia="zh-CN"/>
                    </w:rPr>
                    <w:t>防尘网覆盖，并定期洒水降尘。</w:t>
                  </w:r>
                  <w:r>
                    <w:rPr>
                      <w:rFonts w:hint="eastAsia"/>
                      <w:color w:val="000000"/>
                      <w:sz w:val="21"/>
                      <w:szCs w:val="21"/>
                      <w:lang w:eastAsia="zh-CN"/>
                    </w:rPr>
                    <w:t>物料</w:t>
                  </w:r>
                  <w:r>
                    <w:rPr>
                      <w:rFonts w:hint="eastAsia"/>
                      <w:color w:val="000000"/>
                      <w:sz w:val="21"/>
                      <w:szCs w:val="21"/>
                    </w:rPr>
                    <w:t>装卸时</w:t>
                  </w:r>
                  <w:r>
                    <w:rPr>
                      <w:rFonts w:hint="eastAsia"/>
                      <w:color w:val="000000"/>
                      <w:sz w:val="21"/>
                      <w:szCs w:val="21"/>
                      <w:lang w:eastAsia="zh-CN"/>
                    </w:rPr>
                    <w:t>洒水降尘</w:t>
                  </w:r>
                  <w:r>
                    <w:rPr>
                      <w:rFonts w:hint="eastAsia"/>
                      <w:color w:val="000000"/>
                      <w:sz w:val="21"/>
                      <w:szCs w:val="21"/>
                    </w:rPr>
                    <w:t>，湿法作业</w:t>
                  </w:r>
                  <w:r>
                    <w:rPr>
                      <w:rFonts w:hint="eastAsia"/>
                      <w:color w:val="000000"/>
                      <w:sz w:val="21"/>
                      <w:szCs w:val="21"/>
                      <w:lang w:eastAsia="zh-CN"/>
                    </w:rPr>
                    <w:t>。</w:t>
                  </w:r>
                </w:p>
              </w:tc>
              <w:tc>
                <w:tcPr>
                  <w:tcW w:w="1083" w:type="pct"/>
                  <w:vMerge w:val="continue"/>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heme="minorBidi"/>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4" w:type="pct"/>
                  <w:vMerge w:val="restar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color w:val="000000"/>
                      <w:sz w:val="21"/>
                      <w:szCs w:val="21"/>
                    </w:rPr>
                  </w:pPr>
                  <w:r>
                    <w:rPr>
                      <w:rFonts w:hint="eastAsia"/>
                      <w:color w:val="000000"/>
                      <w:sz w:val="21"/>
                      <w:szCs w:val="21"/>
                      <w:highlight w:val="none"/>
                    </w:rPr>
                    <w:t>筛分</w:t>
                  </w:r>
                </w:p>
              </w:tc>
              <w:tc>
                <w:tcPr>
                  <w:tcW w:w="2771"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color w:val="000000"/>
                      <w:sz w:val="21"/>
                      <w:szCs w:val="21"/>
                    </w:rPr>
                  </w:pPr>
                  <w:r>
                    <w:rPr>
                      <w:rFonts w:hint="eastAsia"/>
                      <w:color w:val="000000"/>
                      <w:sz w:val="21"/>
                      <w:szCs w:val="21"/>
                      <w:lang w:eastAsia="zh-CN"/>
                    </w:rPr>
                    <w:t>集气罩收集</w:t>
                  </w:r>
                  <w:r>
                    <w:rPr>
                      <w:color w:val="000000"/>
                      <w:sz w:val="21"/>
                      <w:szCs w:val="21"/>
                    </w:rPr>
                    <w:t>+布袋除尘器</w:t>
                  </w:r>
                </w:p>
              </w:tc>
              <w:tc>
                <w:tcPr>
                  <w:tcW w:w="1083" w:type="pct"/>
                  <w:vMerge w:val="continue"/>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ascii="Times New Roman" w:hAnsi="Times New Roman" w:eastAsia="宋体" w:cstheme="minorBidi"/>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4" w:type="pct"/>
                  <w:vMerge w:val="continue"/>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eastAsia"/>
                      <w:color w:val="000000"/>
                      <w:sz w:val="21"/>
                      <w:szCs w:val="21"/>
                      <w:highlight w:val="none"/>
                    </w:rPr>
                  </w:pPr>
                </w:p>
              </w:tc>
              <w:tc>
                <w:tcPr>
                  <w:tcW w:w="2771"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eastAsia" w:eastAsia="宋体"/>
                      <w:color w:val="000000"/>
                      <w:sz w:val="21"/>
                      <w:szCs w:val="21"/>
                      <w:lang w:eastAsia="zh-CN"/>
                    </w:rPr>
                  </w:pPr>
                  <w:r>
                    <w:rPr>
                      <w:rFonts w:hint="eastAsia"/>
                      <w:color w:val="000000"/>
                      <w:sz w:val="21"/>
                      <w:szCs w:val="21"/>
                      <w:lang w:eastAsia="zh-CN"/>
                    </w:rPr>
                    <w:t>全封闭车间</w:t>
                  </w:r>
                </w:p>
              </w:tc>
              <w:tc>
                <w:tcPr>
                  <w:tcW w:w="1083" w:type="pct"/>
                  <w:vMerge w:val="continue"/>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4"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color w:val="000000"/>
                      <w:sz w:val="21"/>
                      <w:szCs w:val="21"/>
                    </w:rPr>
                  </w:pPr>
                  <w:r>
                    <w:rPr>
                      <w:rFonts w:hint="eastAsia"/>
                      <w:color w:val="000000"/>
                      <w:sz w:val="21"/>
                      <w:szCs w:val="21"/>
                    </w:rPr>
                    <w:t>皮带输送粉尘</w:t>
                  </w:r>
                </w:p>
              </w:tc>
              <w:tc>
                <w:tcPr>
                  <w:tcW w:w="2771"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eastAsia="宋体"/>
                      <w:color w:val="000000"/>
                      <w:sz w:val="21"/>
                      <w:szCs w:val="21"/>
                      <w:lang w:eastAsia="zh-CN"/>
                    </w:rPr>
                  </w:pPr>
                  <w:r>
                    <w:rPr>
                      <w:rFonts w:hint="eastAsia"/>
                      <w:color w:val="000000"/>
                      <w:sz w:val="21"/>
                      <w:szCs w:val="21"/>
                      <w:lang w:eastAsia="zh-CN"/>
                    </w:rPr>
                    <w:t>喷雾抑尘</w:t>
                  </w:r>
                </w:p>
              </w:tc>
              <w:tc>
                <w:tcPr>
                  <w:tcW w:w="1083" w:type="pct"/>
                  <w:vMerge w:val="continue"/>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4"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color w:val="000000"/>
                      <w:sz w:val="21"/>
                      <w:szCs w:val="21"/>
                    </w:rPr>
                  </w:pPr>
                  <w:r>
                    <w:rPr>
                      <w:color w:val="000000"/>
                      <w:sz w:val="21"/>
                      <w:szCs w:val="21"/>
                    </w:rPr>
                    <w:t>车辆运输扬尘</w:t>
                  </w:r>
                </w:p>
              </w:tc>
              <w:tc>
                <w:tcPr>
                  <w:tcW w:w="2771"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color w:val="000000"/>
                      <w:sz w:val="21"/>
                      <w:szCs w:val="21"/>
                    </w:rPr>
                  </w:pPr>
                  <w:r>
                    <w:rPr>
                      <w:rFonts w:hint="eastAsia"/>
                      <w:color w:val="000000"/>
                      <w:sz w:val="21"/>
                      <w:szCs w:val="21"/>
                      <w:lang w:eastAsia="zh-CN"/>
                    </w:rPr>
                    <w:t>对进出车辆进行冲洗，</w:t>
                  </w:r>
                  <w:r>
                    <w:rPr>
                      <w:rFonts w:hint="eastAsia"/>
                      <w:color w:val="000000"/>
                      <w:sz w:val="21"/>
                      <w:szCs w:val="21"/>
                    </w:rPr>
                    <w:t>限制超载，车辆加盖苫布，减速慢行，场内进行洒水抑尘。</w:t>
                  </w:r>
                </w:p>
              </w:tc>
              <w:tc>
                <w:tcPr>
                  <w:tcW w:w="1083" w:type="pct"/>
                  <w:vMerge w:val="continue"/>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4"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color w:val="000000"/>
                      <w:sz w:val="21"/>
                      <w:szCs w:val="21"/>
                    </w:rPr>
                  </w:pPr>
                  <w:r>
                    <w:rPr>
                      <w:rFonts w:hint="eastAsia"/>
                      <w:color w:val="000000"/>
                      <w:sz w:val="21"/>
                      <w:szCs w:val="21"/>
                    </w:rPr>
                    <w:t>车辆废气</w:t>
                  </w:r>
                </w:p>
              </w:tc>
              <w:tc>
                <w:tcPr>
                  <w:tcW w:w="2771"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heme="minorBidi"/>
                      <w:color w:val="000000"/>
                      <w:kern w:val="2"/>
                      <w:sz w:val="21"/>
                      <w:szCs w:val="21"/>
                      <w:lang w:val="en-US" w:eastAsia="zh-CN" w:bidi="ar-SA"/>
                    </w:rPr>
                  </w:pPr>
                  <w:r>
                    <w:rPr>
                      <w:rFonts w:hint="eastAsia"/>
                      <w:color w:val="000000"/>
                      <w:sz w:val="21"/>
                      <w:szCs w:val="21"/>
                      <w:lang w:eastAsia="zh-CN"/>
                    </w:rPr>
                    <w:t>使用合格油品、按时保养</w:t>
                  </w:r>
                </w:p>
              </w:tc>
              <w:tc>
                <w:tcPr>
                  <w:tcW w:w="1083"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000000"/>
                      <w:kern w:val="2"/>
                      <w:sz w:val="21"/>
                      <w:szCs w:val="21"/>
                      <w:lang w:val="en-US" w:eastAsia="zh-CN" w:bidi="ar-SA"/>
                    </w:rPr>
                  </w:pPr>
                  <w:r>
                    <w:rPr>
                      <w:rFonts w:hint="eastAsia"/>
                      <w:color w:val="000000"/>
                      <w:sz w:val="21"/>
                      <w:szCs w:val="21"/>
                    </w:rPr>
                    <w:t>CO、NO</w:t>
                  </w:r>
                  <w:r>
                    <w:rPr>
                      <w:rFonts w:hint="eastAsia"/>
                      <w:color w:val="000000"/>
                      <w:sz w:val="21"/>
                      <w:szCs w:val="21"/>
                      <w:vertAlign w:val="subscript"/>
                    </w:rPr>
                    <w:t>X</w:t>
                  </w:r>
                  <w:r>
                    <w:rPr>
                      <w:rFonts w:hint="eastAsia"/>
                      <w:color w:val="000000"/>
                      <w:sz w:val="21"/>
                      <w:szCs w:val="21"/>
                      <w:lang w:eastAsia="zh-CN"/>
                    </w:rPr>
                    <w:t>、</w:t>
                  </w:r>
                  <w:r>
                    <w:rPr>
                      <w:rFonts w:hint="eastAsia"/>
                      <w:color w:val="000000"/>
                      <w:sz w:val="21"/>
                      <w:szCs w:val="21"/>
                    </w:rPr>
                    <w:t>THC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4"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eastAsia" w:eastAsia="宋体"/>
                      <w:color w:val="000000"/>
                      <w:sz w:val="21"/>
                      <w:szCs w:val="21"/>
                      <w:lang w:eastAsia="zh-CN"/>
                    </w:rPr>
                  </w:pPr>
                  <w:r>
                    <w:rPr>
                      <w:rFonts w:hint="eastAsia"/>
                      <w:color w:val="000000"/>
                      <w:sz w:val="21"/>
                      <w:szCs w:val="21"/>
                      <w:lang w:eastAsia="zh-CN"/>
                    </w:rPr>
                    <w:t>食堂</w:t>
                  </w:r>
                </w:p>
              </w:tc>
              <w:tc>
                <w:tcPr>
                  <w:tcW w:w="2771"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color w:val="000000"/>
                      <w:sz w:val="21"/>
                      <w:szCs w:val="21"/>
                      <w:lang w:eastAsia="zh-CN"/>
                    </w:rPr>
                  </w:pPr>
                  <w:r>
                    <w:rPr>
                      <w:rFonts w:hint="eastAsia"/>
                      <w:color w:val="000000"/>
                      <w:sz w:val="21"/>
                      <w:szCs w:val="21"/>
                      <w:lang w:eastAsia="zh-CN"/>
                    </w:rPr>
                    <w:t>油烟净化器</w:t>
                  </w:r>
                </w:p>
              </w:tc>
              <w:tc>
                <w:tcPr>
                  <w:tcW w:w="1083" w:type="pct"/>
                  <w:tcBorders>
                    <w:tl2br w:val="nil"/>
                    <w:tr2bl w:val="nil"/>
                  </w:tcBorders>
                  <w:vAlign w:val="center"/>
                </w:tcPr>
                <w:p>
                  <w:pPr>
                    <w:pStyle w:val="19"/>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000000"/>
                      <w:kern w:val="2"/>
                      <w:sz w:val="21"/>
                      <w:szCs w:val="21"/>
                      <w:lang w:val="en-US" w:eastAsia="zh-CN" w:bidi="ar-SA"/>
                    </w:rPr>
                  </w:pPr>
                  <w:r>
                    <w:rPr>
                      <w:rFonts w:hint="eastAsia"/>
                      <w:color w:val="000000"/>
                      <w:sz w:val="21"/>
                      <w:szCs w:val="21"/>
                      <w:lang w:eastAsia="zh-CN"/>
                    </w:rPr>
                    <w:t>油烟</w:t>
                  </w:r>
                </w:p>
              </w:tc>
            </w:tr>
          </w:tbl>
          <w:p>
            <w:pPr>
              <w:pStyle w:val="4"/>
              <w:numPr>
                <w:ilvl w:val="1"/>
                <w:numId w:val="0"/>
              </w:numPr>
              <w:spacing w:line="360" w:lineRule="auto"/>
              <w:ind w:left="0" w:leftChars="0" w:firstLine="0" w:firstLineChars="0"/>
              <w:rPr>
                <w:rFonts w:hint="eastAsia" w:ascii="Times New Roman" w:hAnsi="Times New Roman" w:eastAsia="宋体" w:cstheme="minorBidi"/>
                <w:b/>
                <w:bCs/>
                <w:kern w:val="2"/>
                <w:sz w:val="24"/>
                <w:szCs w:val="24"/>
                <w:highlight w:val="none"/>
                <w:lang w:val="en-US" w:eastAsia="zh-CN" w:bidi="ar-SA"/>
              </w:rPr>
            </w:pPr>
            <w:r>
              <w:rPr>
                <w:rFonts w:hint="eastAsia"/>
                <w:lang w:val="en-US" w:eastAsia="zh-CN"/>
              </w:rPr>
              <w:t>2.</w:t>
            </w:r>
            <w:r>
              <w:rPr>
                <w:rFonts w:hint="eastAsia" w:ascii="Times New Roman" w:hAnsi="Times New Roman" w:eastAsia="宋体" w:cstheme="minorBidi"/>
                <w:b/>
                <w:bCs/>
                <w:kern w:val="2"/>
                <w:sz w:val="24"/>
                <w:szCs w:val="24"/>
                <w:highlight w:val="none"/>
                <w:lang w:val="en-US" w:eastAsia="zh-CN" w:bidi="ar-SA"/>
              </w:rPr>
              <w:t>水</w:t>
            </w:r>
            <w:r>
              <w:rPr>
                <w:rFonts w:hint="eastAsia"/>
                <w:b/>
                <w:bCs/>
                <w:lang w:val="en-US" w:eastAsia="zh-CN"/>
              </w:rPr>
              <w:t>污染防治措施</w:t>
            </w:r>
          </w:p>
          <w:p>
            <w:pPr>
              <w:adjustRightInd w:val="0"/>
              <w:snapToGrid w:val="0"/>
              <w:spacing w:line="360" w:lineRule="auto"/>
              <w:ind w:firstLine="480"/>
              <w:rPr>
                <w:rFonts w:hint="eastAsia"/>
                <w:lang w:val="en-US" w:eastAsia="zh-CN"/>
              </w:rPr>
            </w:pPr>
            <w:r>
              <w:rPr>
                <w:rFonts w:hint="eastAsia" w:ascii="Times New Roman" w:hAnsi="Times New Roman" w:eastAsia="宋体" w:cstheme="minorBidi"/>
                <w:b w:val="0"/>
                <w:kern w:val="2"/>
                <w:sz w:val="24"/>
                <w:szCs w:val="24"/>
                <w:highlight w:val="none"/>
                <w:lang w:val="en-US" w:eastAsia="zh-CN" w:bidi="ar-SA"/>
              </w:rPr>
              <w:t>项目废水主要为生产过程中产生的洗砂废水、车辆冲洗废水、生活污水</w:t>
            </w:r>
            <w:r>
              <w:rPr>
                <w:rFonts w:hint="eastAsia" w:cstheme="minorBidi"/>
                <w:b w:val="0"/>
                <w:kern w:val="2"/>
                <w:sz w:val="24"/>
                <w:szCs w:val="24"/>
                <w:highlight w:val="none"/>
                <w:lang w:val="en-US" w:eastAsia="zh-CN" w:bidi="ar-SA"/>
              </w:rPr>
              <w:t>。</w:t>
            </w:r>
          </w:p>
          <w:p>
            <w:pPr>
              <w:bidi w:val="0"/>
              <w:spacing w:line="240" w:lineRule="auto"/>
              <w:ind w:left="0" w:leftChars="0" w:firstLine="0" w:firstLineChars="0"/>
              <w:jc w:val="center"/>
              <w:rPr>
                <w:rFonts w:hint="default"/>
                <w:b/>
                <w:bCs/>
                <w:sz w:val="21"/>
                <w:szCs w:val="21"/>
                <w:lang w:val="en-US" w:eastAsia="zh-CN"/>
              </w:rPr>
            </w:pPr>
            <w:r>
              <w:rPr>
                <w:rFonts w:hint="eastAsia"/>
                <w:b/>
                <w:bCs/>
                <w:sz w:val="21"/>
                <w:szCs w:val="21"/>
                <w:lang w:val="en-US" w:eastAsia="zh-CN"/>
              </w:rPr>
              <w:t>表5-2   废水治理措施一览表</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2008"/>
              <w:gridCol w:w="4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Align w:val="center"/>
                </w:tcPr>
                <w:p>
                  <w:pPr>
                    <w:pStyle w:val="19"/>
                    <w:spacing w:after="0" w:line="240" w:lineRule="auto"/>
                    <w:ind w:firstLine="0" w:firstLineChars="0"/>
                    <w:jc w:val="center"/>
                    <w:rPr>
                      <w:b/>
                      <w:bCs/>
                      <w:sz w:val="21"/>
                      <w:szCs w:val="21"/>
                    </w:rPr>
                  </w:pPr>
                  <w:r>
                    <w:rPr>
                      <w:rFonts w:hint="eastAsia"/>
                      <w:b/>
                      <w:bCs/>
                      <w:sz w:val="21"/>
                      <w:szCs w:val="21"/>
                    </w:rPr>
                    <w:t>序号</w:t>
                  </w:r>
                </w:p>
              </w:tc>
              <w:tc>
                <w:tcPr>
                  <w:tcW w:w="1342" w:type="pct"/>
                  <w:vAlign w:val="center"/>
                </w:tcPr>
                <w:p>
                  <w:pPr>
                    <w:pStyle w:val="19"/>
                    <w:spacing w:after="0" w:line="240" w:lineRule="auto"/>
                    <w:ind w:firstLine="0" w:firstLineChars="0"/>
                    <w:jc w:val="center"/>
                    <w:rPr>
                      <w:b/>
                      <w:bCs/>
                      <w:sz w:val="21"/>
                      <w:szCs w:val="21"/>
                    </w:rPr>
                  </w:pPr>
                  <w:r>
                    <w:rPr>
                      <w:rFonts w:hint="eastAsia"/>
                      <w:b/>
                      <w:bCs/>
                      <w:sz w:val="21"/>
                      <w:szCs w:val="21"/>
                    </w:rPr>
                    <w:t>废水产生项目</w:t>
                  </w:r>
                </w:p>
              </w:tc>
              <w:tc>
                <w:tcPr>
                  <w:tcW w:w="3163" w:type="pct"/>
                  <w:vAlign w:val="center"/>
                </w:tcPr>
                <w:p>
                  <w:pPr>
                    <w:pStyle w:val="19"/>
                    <w:spacing w:after="0" w:line="240" w:lineRule="auto"/>
                    <w:ind w:firstLine="0" w:firstLineChars="0"/>
                    <w:jc w:val="center"/>
                    <w:rPr>
                      <w:b/>
                      <w:bCs/>
                      <w:sz w:val="21"/>
                      <w:szCs w:val="21"/>
                    </w:rPr>
                  </w:pPr>
                  <w:r>
                    <w:rPr>
                      <w:rFonts w:hint="eastAsia"/>
                      <w:b/>
                      <w:bCs/>
                      <w:sz w:val="21"/>
                      <w:szCs w:val="21"/>
                    </w:rPr>
                    <w:t>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93" w:type="pct"/>
                  <w:vAlign w:val="center"/>
                </w:tcPr>
                <w:p>
                  <w:pPr>
                    <w:spacing w:line="240" w:lineRule="auto"/>
                    <w:ind w:firstLine="0" w:firstLineChars="0"/>
                    <w:jc w:val="center"/>
                    <w:rPr>
                      <w:sz w:val="21"/>
                      <w:szCs w:val="21"/>
                    </w:rPr>
                  </w:pPr>
                  <w:r>
                    <w:rPr>
                      <w:rFonts w:hint="eastAsia"/>
                      <w:sz w:val="21"/>
                      <w:szCs w:val="21"/>
                    </w:rPr>
                    <w:t>1</w:t>
                  </w:r>
                </w:p>
              </w:tc>
              <w:tc>
                <w:tcPr>
                  <w:tcW w:w="1342" w:type="pct"/>
                  <w:vAlign w:val="center"/>
                </w:tcPr>
                <w:p>
                  <w:pPr>
                    <w:spacing w:line="240" w:lineRule="auto"/>
                    <w:ind w:firstLine="0" w:firstLineChars="0"/>
                    <w:jc w:val="center"/>
                    <w:rPr>
                      <w:sz w:val="21"/>
                      <w:szCs w:val="21"/>
                    </w:rPr>
                  </w:pPr>
                  <w:r>
                    <w:rPr>
                      <w:rFonts w:hint="eastAsia"/>
                      <w:sz w:val="21"/>
                      <w:szCs w:val="21"/>
                    </w:rPr>
                    <w:t>洗砂废水</w:t>
                  </w:r>
                </w:p>
              </w:tc>
              <w:tc>
                <w:tcPr>
                  <w:tcW w:w="3163" w:type="pct"/>
                  <w:vAlign w:val="center"/>
                </w:tcPr>
                <w:p>
                  <w:pPr>
                    <w:spacing w:line="240" w:lineRule="auto"/>
                    <w:ind w:firstLine="0" w:firstLineChars="0"/>
                    <w:jc w:val="center"/>
                    <w:rPr>
                      <w:sz w:val="21"/>
                      <w:szCs w:val="21"/>
                    </w:rPr>
                  </w:pPr>
                  <w:r>
                    <w:rPr>
                      <w:rFonts w:hint="eastAsia"/>
                      <w:sz w:val="21"/>
                      <w:szCs w:val="21"/>
                    </w:rPr>
                    <w:t>经三级沉淀池沉淀后</w:t>
                  </w:r>
                  <w:r>
                    <w:rPr>
                      <w:rFonts w:hint="eastAsia"/>
                      <w:sz w:val="21"/>
                      <w:szCs w:val="21"/>
                      <w:lang w:eastAsia="zh-CN"/>
                    </w:rPr>
                    <w:t>上清液进行</w:t>
                  </w:r>
                  <w:r>
                    <w:rPr>
                      <w:rFonts w:hint="eastAsia"/>
                      <w:sz w:val="21"/>
                      <w:szCs w:val="21"/>
                      <w:lang w:val="en-US" w:eastAsia="zh-CN"/>
                    </w:rPr>
                    <w:t>回用于生产</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93" w:type="pct"/>
                  <w:vAlign w:val="center"/>
                </w:tcPr>
                <w:p>
                  <w:pPr>
                    <w:spacing w:line="240" w:lineRule="auto"/>
                    <w:ind w:firstLine="0" w:firstLineChars="0"/>
                    <w:jc w:val="center"/>
                    <w:rPr>
                      <w:sz w:val="21"/>
                      <w:szCs w:val="21"/>
                    </w:rPr>
                  </w:pPr>
                  <w:r>
                    <w:rPr>
                      <w:sz w:val="21"/>
                      <w:szCs w:val="21"/>
                    </w:rPr>
                    <w:t>2</w:t>
                  </w:r>
                </w:p>
              </w:tc>
              <w:tc>
                <w:tcPr>
                  <w:tcW w:w="1342" w:type="pct"/>
                  <w:vAlign w:val="center"/>
                </w:tcPr>
                <w:p>
                  <w:pPr>
                    <w:spacing w:line="240" w:lineRule="auto"/>
                    <w:ind w:firstLine="0" w:firstLineChars="0"/>
                    <w:jc w:val="center"/>
                    <w:rPr>
                      <w:sz w:val="21"/>
                      <w:szCs w:val="21"/>
                    </w:rPr>
                  </w:pPr>
                  <w:r>
                    <w:rPr>
                      <w:sz w:val="21"/>
                      <w:szCs w:val="21"/>
                    </w:rPr>
                    <w:t>进出车辆清洗废水</w:t>
                  </w:r>
                </w:p>
              </w:tc>
              <w:tc>
                <w:tcPr>
                  <w:tcW w:w="3163" w:type="pct"/>
                  <w:vAlign w:val="center"/>
                </w:tcPr>
                <w:p>
                  <w:pPr>
                    <w:spacing w:line="240" w:lineRule="auto"/>
                    <w:ind w:firstLine="0" w:firstLineChars="0"/>
                    <w:jc w:val="center"/>
                    <w:rPr>
                      <w:sz w:val="21"/>
                      <w:szCs w:val="21"/>
                    </w:rPr>
                  </w:pPr>
                  <w:r>
                    <w:rPr>
                      <w:sz w:val="21"/>
                      <w:szCs w:val="21"/>
                    </w:rPr>
                    <w:t>沉淀后</w:t>
                  </w:r>
                  <w:r>
                    <w:rPr>
                      <w:rFonts w:hint="eastAsia"/>
                      <w:sz w:val="21"/>
                      <w:szCs w:val="21"/>
                    </w:rPr>
                    <w:t>用</w:t>
                  </w:r>
                  <w:r>
                    <w:rPr>
                      <w:rFonts w:hint="eastAsia"/>
                      <w:sz w:val="21"/>
                      <w:szCs w:val="21"/>
                      <w:lang w:eastAsia="zh-CN"/>
                    </w:rPr>
                    <w:t>于</w:t>
                  </w:r>
                  <w:r>
                    <w:rPr>
                      <w:rFonts w:hint="eastAsia"/>
                      <w:sz w:val="21"/>
                      <w:szCs w:val="21"/>
                    </w:rPr>
                    <w:t>洒水抑尘。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Align w:val="center"/>
                </w:tcPr>
                <w:p>
                  <w:pPr>
                    <w:spacing w:line="240" w:lineRule="auto"/>
                    <w:ind w:firstLine="0" w:firstLineChars="0"/>
                    <w:jc w:val="center"/>
                    <w:rPr>
                      <w:sz w:val="21"/>
                      <w:szCs w:val="21"/>
                    </w:rPr>
                  </w:pPr>
                  <w:r>
                    <w:rPr>
                      <w:sz w:val="21"/>
                      <w:szCs w:val="21"/>
                    </w:rPr>
                    <w:t>3</w:t>
                  </w:r>
                </w:p>
              </w:tc>
              <w:tc>
                <w:tcPr>
                  <w:tcW w:w="1342" w:type="pct"/>
                  <w:vAlign w:val="center"/>
                </w:tcPr>
                <w:p>
                  <w:pPr>
                    <w:spacing w:line="240" w:lineRule="auto"/>
                    <w:ind w:firstLine="0" w:firstLineChars="0"/>
                    <w:jc w:val="center"/>
                    <w:rPr>
                      <w:sz w:val="21"/>
                      <w:szCs w:val="21"/>
                    </w:rPr>
                  </w:pPr>
                  <w:r>
                    <w:rPr>
                      <w:sz w:val="21"/>
                      <w:szCs w:val="21"/>
                    </w:rPr>
                    <w:t>生活污水</w:t>
                  </w:r>
                </w:p>
              </w:tc>
              <w:tc>
                <w:tcPr>
                  <w:tcW w:w="3163" w:type="pct"/>
                  <w:vAlign w:val="center"/>
                </w:tcPr>
                <w:p>
                  <w:pPr>
                    <w:spacing w:line="240" w:lineRule="auto"/>
                    <w:ind w:firstLine="0" w:firstLineChars="0"/>
                    <w:jc w:val="center"/>
                    <w:rPr>
                      <w:rFonts w:hint="eastAsia" w:eastAsia="宋体"/>
                      <w:sz w:val="21"/>
                      <w:szCs w:val="21"/>
                      <w:lang w:eastAsia="zh-CN"/>
                    </w:rPr>
                  </w:pPr>
                  <w:r>
                    <w:rPr>
                      <w:rFonts w:hint="eastAsia" w:eastAsia="宋体"/>
                      <w:sz w:val="21"/>
                      <w:szCs w:val="21"/>
                      <w:lang w:val="en-US" w:eastAsia="zh-CN"/>
                    </w:rPr>
                    <w:t>食堂废水经隔油处理后与其他生活污水经地埋式一体化污水处理设施处理后用于场地洒水抑尘。</w:t>
                  </w:r>
                </w:p>
              </w:tc>
            </w:tr>
          </w:tbl>
          <w:p>
            <w:pPr>
              <w:bidi w:val="0"/>
              <w:ind w:left="0" w:leftChars="0" w:firstLine="0" w:firstLineChars="0"/>
              <w:rPr>
                <w:rFonts w:hint="eastAsia"/>
                <w:b/>
                <w:bCs/>
                <w:lang w:val="en-US" w:eastAsia="zh-CN"/>
              </w:rPr>
            </w:pPr>
            <w:r>
              <w:rPr>
                <w:rFonts w:hint="eastAsia"/>
                <w:b/>
                <w:bCs/>
                <w:lang w:val="en-US" w:eastAsia="zh-CN"/>
              </w:rPr>
              <w:t>3.噪声污染防治措施</w:t>
            </w:r>
          </w:p>
          <w:p>
            <w:pPr>
              <w:ind w:left="0" w:leftChars="0" w:firstLine="480" w:firstLineChars="200"/>
              <w:rPr>
                <w:rFonts w:hint="default"/>
                <w:lang w:val="en-US" w:eastAsia="zh-CN"/>
              </w:rPr>
            </w:pPr>
            <w:r>
              <w:rPr>
                <w:rFonts w:hint="default"/>
                <w:lang w:val="en-US" w:eastAsia="zh-CN"/>
              </w:rPr>
              <w:t>项目噪声源主要为挖掘机、装载机、自卸卡车等。其源强值一般在8</w:t>
            </w:r>
            <w:r>
              <w:rPr>
                <w:rFonts w:hint="eastAsia"/>
                <w:lang w:val="en-US" w:eastAsia="zh-CN"/>
              </w:rPr>
              <w:t>5</w:t>
            </w:r>
            <w:r>
              <w:rPr>
                <w:rFonts w:hint="default"/>
                <w:lang w:val="en-US" w:eastAsia="zh-CN"/>
              </w:rPr>
              <w:t>-90dB（A）之间。针对砂石矿开采及运输过程产生的噪声，本项目拟采取以下噪声治理措施：</w:t>
            </w:r>
          </w:p>
          <w:p>
            <w:pPr>
              <w:ind w:left="0" w:leftChars="0" w:firstLine="480" w:firstLineChars="200"/>
              <w:rPr>
                <w:rFonts w:hint="default"/>
                <w:lang w:val="en-US" w:eastAsia="zh-CN"/>
              </w:rPr>
            </w:pPr>
            <w:r>
              <w:rPr>
                <w:rFonts w:hint="default"/>
                <w:lang w:val="en-US" w:eastAsia="zh-CN"/>
              </w:rPr>
              <w:t>（1）选用低噪声设备</w:t>
            </w:r>
          </w:p>
          <w:p>
            <w:pPr>
              <w:ind w:left="0" w:leftChars="0" w:firstLine="480" w:firstLineChars="200"/>
              <w:rPr>
                <w:rFonts w:hint="default"/>
                <w:lang w:val="en-US" w:eastAsia="zh-CN"/>
              </w:rPr>
            </w:pPr>
            <w:r>
              <w:rPr>
                <w:rFonts w:hint="default"/>
                <w:lang w:val="en-US" w:eastAsia="zh-CN"/>
              </w:rPr>
              <w:t>目前各设备生产厂家已把低噪声作为衡量设备质量的重要标志。在满足工艺生产的前提下，设计中考虑选用设备精度高、装配质量好、低噪声的设备是必要且可行的，特别是噪声较大的设备如挖掘机、运输车辆等，更应尽可能选用低噪声设备。</w:t>
            </w:r>
          </w:p>
          <w:p>
            <w:pPr>
              <w:ind w:left="0" w:leftChars="0" w:firstLine="480" w:firstLineChars="200"/>
              <w:rPr>
                <w:rFonts w:hint="default"/>
                <w:lang w:val="en-US" w:eastAsia="zh-CN"/>
              </w:rPr>
            </w:pPr>
            <w:r>
              <w:rPr>
                <w:rFonts w:hint="default"/>
                <w:lang w:val="en-US" w:eastAsia="zh-CN"/>
              </w:rPr>
              <w:t>（2）加强生产管理，降低噪声</w:t>
            </w:r>
          </w:p>
          <w:p>
            <w:pPr>
              <w:ind w:left="0" w:leftChars="0" w:firstLine="480" w:firstLineChars="200"/>
              <w:rPr>
                <w:rFonts w:hint="eastAsia"/>
                <w:lang w:val="en-US" w:eastAsia="zh-CN"/>
              </w:rPr>
            </w:pPr>
            <w:r>
              <w:rPr>
                <w:rFonts w:hint="default"/>
                <w:lang w:val="en-US" w:eastAsia="zh-CN"/>
              </w:rPr>
              <w:t>如砂石矿装卸避免较高落差和直接撞击，注意轻放轻移，减弱撞击声。</w:t>
            </w:r>
            <w:r>
              <w:rPr>
                <w:rFonts w:hint="eastAsia"/>
                <w:lang w:val="en-US" w:eastAsia="zh-CN"/>
              </w:rPr>
              <w:t>洗砂设备进行基础减震处理，</w:t>
            </w:r>
            <w:r>
              <w:rPr>
                <w:rFonts w:hint="default"/>
                <w:lang w:val="en-US" w:eastAsia="zh-CN"/>
              </w:rPr>
              <w:t>运输车辆限速行驶，禁止场内鸣笛，制定合理的作业时间表和实行严格的环境管理，削减噪声对外环境的干扰。对设备进行日常维护，保障设备的正常运行，并且要求操作人员严格规范操作，防止因设备故障或者操作不当带来的额外噪声。</w:t>
            </w:r>
          </w:p>
          <w:p>
            <w:pPr>
              <w:bidi w:val="0"/>
              <w:ind w:left="0" w:leftChars="0" w:firstLine="0" w:firstLineChars="0"/>
              <w:rPr>
                <w:rFonts w:hint="default"/>
                <w:b/>
                <w:bCs/>
                <w:lang w:val="en-US" w:eastAsia="zh-CN"/>
              </w:rPr>
            </w:pPr>
            <w:r>
              <w:rPr>
                <w:rFonts w:hint="eastAsia"/>
                <w:b/>
                <w:bCs/>
                <w:lang w:val="en-US" w:eastAsia="zh-CN"/>
              </w:rPr>
              <w:t>4.固体废物防治措施</w:t>
            </w:r>
          </w:p>
          <w:p>
            <w:pPr>
              <w:bidi w:val="0"/>
              <w:rPr>
                <w:rFonts w:hint="eastAsia"/>
                <w:lang w:val="en-US" w:eastAsia="zh-CN"/>
              </w:rPr>
            </w:pPr>
            <w:r>
              <w:rPr>
                <w:rFonts w:hint="eastAsia"/>
                <w:lang w:val="en-US" w:eastAsia="zh-CN"/>
              </w:rPr>
              <w:t>本项目固体废物主要为沉淀池底泥、生活垃圾和废机油。</w:t>
            </w:r>
          </w:p>
          <w:p>
            <w:pPr>
              <w:bidi w:val="0"/>
              <w:spacing w:line="240" w:lineRule="auto"/>
              <w:ind w:left="0" w:leftChars="0" w:firstLine="0" w:firstLineChars="0"/>
              <w:jc w:val="center"/>
              <w:rPr>
                <w:rFonts w:hint="default"/>
                <w:b/>
                <w:bCs/>
                <w:sz w:val="21"/>
                <w:szCs w:val="21"/>
                <w:lang w:val="en-US" w:eastAsia="zh-CN"/>
              </w:rPr>
            </w:pPr>
            <w:r>
              <w:rPr>
                <w:rFonts w:hint="eastAsia"/>
                <w:b/>
                <w:bCs/>
                <w:sz w:val="21"/>
                <w:szCs w:val="21"/>
                <w:lang w:val="en-US" w:eastAsia="zh-CN"/>
              </w:rPr>
              <w:t>表5-3 固体废物措施一览表</w:t>
            </w:r>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491"/>
              <w:gridCol w:w="2197"/>
              <w:gridCol w:w="3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Align w:val="center"/>
                </w:tcPr>
                <w:p>
                  <w:pPr>
                    <w:spacing w:line="240" w:lineRule="auto"/>
                    <w:ind w:firstLine="0" w:firstLineChars="0"/>
                    <w:jc w:val="center"/>
                    <w:rPr>
                      <w:b/>
                      <w:bCs/>
                      <w:sz w:val="21"/>
                      <w:szCs w:val="21"/>
                    </w:rPr>
                  </w:pPr>
                  <w:r>
                    <w:rPr>
                      <w:b/>
                      <w:bCs/>
                      <w:sz w:val="21"/>
                      <w:szCs w:val="21"/>
                    </w:rPr>
                    <w:t>序号</w:t>
                  </w:r>
                </w:p>
              </w:tc>
              <w:tc>
                <w:tcPr>
                  <w:tcW w:w="996" w:type="pct"/>
                  <w:vAlign w:val="center"/>
                </w:tcPr>
                <w:p>
                  <w:pPr>
                    <w:spacing w:line="240" w:lineRule="auto"/>
                    <w:ind w:firstLine="0" w:firstLineChars="0"/>
                    <w:jc w:val="center"/>
                    <w:rPr>
                      <w:b/>
                      <w:bCs/>
                      <w:sz w:val="21"/>
                      <w:szCs w:val="21"/>
                    </w:rPr>
                  </w:pPr>
                  <w:r>
                    <w:rPr>
                      <w:b/>
                      <w:bCs/>
                      <w:sz w:val="21"/>
                      <w:szCs w:val="21"/>
                    </w:rPr>
                    <w:t>性质</w:t>
                  </w:r>
                </w:p>
              </w:tc>
              <w:tc>
                <w:tcPr>
                  <w:tcW w:w="1468" w:type="pct"/>
                  <w:vAlign w:val="center"/>
                </w:tcPr>
                <w:p>
                  <w:pPr>
                    <w:spacing w:line="240" w:lineRule="auto"/>
                    <w:ind w:firstLine="0" w:firstLineChars="0"/>
                    <w:jc w:val="center"/>
                    <w:rPr>
                      <w:b/>
                      <w:bCs/>
                      <w:sz w:val="21"/>
                      <w:szCs w:val="21"/>
                    </w:rPr>
                  </w:pPr>
                  <w:r>
                    <w:rPr>
                      <w:b/>
                      <w:bCs/>
                      <w:sz w:val="21"/>
                      <w:szCs w:val="21"/>
                    </w:rPr>
                    <w:t>污染源</w:t>
                  </w:r>
                </w:p>
              </w:tc>
              <w:tc>
                <w:tcPr>
                  <w:tcW w:w="2097" w:type="pct"/>
                  <w:vAlign w:val="center"/>
                </w:tcPr>
                <w:p>
                  <w:pPr>
                    <w:spacing w:line="240" w:lineRule="auto"/>
                    <w:ind w:firstLine="0" w:firstLineChars="0"/>
                    <w:jc w:val="center"/>
                    <w:rPr>
                      <w:b/>
                      <w:bCs/>
                      <w:sz w:val="21"/>
                      <w:szCs w:val="21"/>
                    </w:rPr>
                  </w:pPr>
                  <w:r>
                    <w:rPr>
                      <w:rFonts w:hint="eastAsia"/>
                      <w:b/>
                      <w:bCs/>
                      <w:sz w:val="21"/>
                      <w:szCs w:val="21"/>
                    </w:rPr>
                    <w:t>处置去向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Align w:val="center"/>
                </w:tcPr>
                <w:p>
                  <w:pPr>
                    <w:spacing w:line="240" w:lineRule="auto"/>
                    <w:ind w:firstLine="0" w:firstLineChars="0"/>
                    <w:jc w:val="center"/>
                    <w:rPr>
                      <w:sz w:val="21"/>
                      <w:szCs w:val="21"/>
                    </w:rPr>
                  </w:pPr>
                  <w:r>
                    <w:rPr>
                      <w:sz w:val="21"/>
                      <w:szCs w:val="21"/>
                    </w:rPr>
                    <w:t>1</w:t>
                  </w:r>
                </w:p>
              </w:tc>
              <w:tc>
                <w:tcPr>
                  <w:tcW w:w="996" w:type="pct"/>
                  <w:vAlign w:val="center"/>
                </w:tcPr>
                <w:p>
                  <w:pPr>
                    <w:spacing w:line="240" w:lineRule="auto"/>
                    <w:ind w:firstLine="0" w:firstLineChars="0"/>
                    <w:jc w:val="center"/>
                    <w:rPr>
                      <w:sz w:val="21"/>
                      <w:szCs w:val="21"/>
                    </w:rPr>
                  </w:pPr>
                  <w:r>
                    <w:rPr>
                      <w:sz w:val="21"/>
                      <w:szCs w:val="21"/>
                    </w:rPr>
                    <w:t>一般工业固废</w:t>
                  </w:r>
                </w:p>
              </w:tc>
              <w:tc>
                <w:tcPr>
                  <w:tcW w:w="1468" w:type="pct"/>
                  <w:vAlign w:val="center"/>
                </w:tcPr>
                <w:p>
                  <w:pPr>
                    <w:spacing w:line="240" w:lineRule="auto"/>
                    <w:ind w:firstLine="0" w:firstLineChars="0"/>
                    <w:jc w:val="center"/>
                    <w:rPr>
                      <w:sz w:val="21"/>
                      <w:szCs w:val="21"/>
                    </w:rPr>
                  </w:pPr>
                  <w:r>
                    <w:rPr>
                      <w:rFonts w:hint="eastAsia"/>
                      <w:sz w:val="21"/>
                      <w:szCs w:val="21"/>
                    </w:rPr>
                    <w:t>沉淀池底泥</w:t>
                  </w:r>
                </w:p>
              </w:tc>
              <w:tc>
                <w:tcPr>
                  <w:tcW w:w="2097" w:type="pct"/>
                  <w:vAlign w:val="center"/>
                </w:tcPr>
                <w:p>
                  <w:pPr>
                    <w:spacing w:line="240" w:lineRule="auto"/>
                    <w:ind w:firstLine="0" w:firstLineChars="0"/>
                    <w:jc w:val="center"/>
                    <w:rPr>
                      <w:sz w:val="21"/>
                      <w:szCs w:val="21"/>
                    </w:rPr>
                  </w:pPr>
                  <w:r>
                    <w:rPr>
                      <w:rFonts w:hint="eastAsia"/>
                      <w:sz w:val="21"/>
                      <w:szCs w:val="21"/>
                    </w:rPr>
                    <w:t>自然风干后定期回填至采坑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Align w:val="center"/>
                </w:tcPr>
                <w:p>
                  <w:pPr>
                    <w:spacing w:line="240" w:lineRule="auto"/>
                    <w:ind w:firstLine="0" w:firstLineChars="0"/>
                    <w:jc w:val="center"/>
                    <w:rPr>
                      <w:sz w:val="21"/>
                      <w:szCs w:val="21"/>
                    </w:rPr>
                  </w:pPr>
                  <w:r>
                    <w:rPr>
                      <w:rFonts w:hint="eastAsia"/>
                      <w:sz w:val="21"/>
                      <w:szCs w:val="21"/>
                    </w:rPr>
                    <w:t>2</w:t>
                  </w:r>
                </w:p>
              </w:tc>
              <w:tc>
                <w:tcPr>
                  <w:tcW w:w="996" w:type="pct"/>
                  <w:vAlign w:val="center"/>
                </w:tcPr>
                <w:p>
                  <w:pPr>
                    <w:spacing w:line="240" w:lineRule="auto"/>
                    <w:ind w:firstLine="0" w:firstLineChars="0"/>
                    <w:jc w:val="center"/>
                    <w:rPr>
                      <w:sz w:val="21"/>
                      <w:szCs w:val="21"/>
                    </w:rPr>
                  </w:pPr>
                  <w:r>
                    <w:rPr>
                      <w:sz w:val="21"/>
                      <w:szCs w:val="21"/>
                    </w:rPr>
                    <w:t>生活垃圾</w:t>
                  </w:r>
                </w:p>
              </w:tc>
              <w:tc>
                <w:tcPr>
                  <w:tcW w:w="1468" w:type="pct"/>
                  <w:vAlign w:val="center"/>
                </w:tcPr>
                <w:p>
                  <w:pPr>
                    <w:spacing w:line="240" w:lineRule="auto"/>
                    <w:ind w:firstLine="0" w:firstLineChars="0"/>
                    <w:jc w:val="center"/>
                    <w:rPr>
                      <w:sz w:val="21"/>
                      <w:szCs w:val="21"/>
                    </w:rPr>
                  </w:pPr>
                  <w:r>
                    <w:rPr>
                      <w:rFonts w:hint="eastAsia"/>
                      <w:sz w:val="21"/>
                      <w:szCs w:val="21"/>
                    </w:rPr>
                    <w:t>员工生活垃圾</w:t>
                  </w:r>
                </w:p>
              </w:tc>
              <w:tc>
                <w:tcPr>
                  <w:tcW w:w="2097" w:type="pct"/>
                  <w:vAlign w:val="center"/>
                </w:tcPr>
                <w:p>
                  <w:pPr>
                    <w:spacing w:line="240" w:lineRule="auto"/>
                    <w:ind w:firstLine="0" w:firstLineChars="0"/>
                    <w:jc w:val="left"/>
                    <w:rPr>
                      <w:sz w:val="21"/>
                      <w:szCs w:val="21"/>
                    </w:rPr>
                  </w:pPr>
                  <w:r>
                    <w:rPr>
                      <w:rFonts w:hint="eastAsia"/>
                      <w:sz w:val="21"/>
                      <w:szCs w:val="21"/>
                    </w:rPr>
                    <w:t>集中分类收集后定期由当地环卫部门统一清运处理。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Align w:val="center"/>
                </w:tcPr>
                <w:p>
                  <w:pPr>
                    <w:spacing w:line="240" w:lineRule="auto"/>
                    <w:ind w:firstLine="0" w:firstLineChars="0"/>
                    <w:jc w:val="center"/>
                    <w:rPr>
                      <w:sz w:val="21"/>
                      <w:szCs w:val="21"/>
                    </w:rPr>
                  </w:pPr>
                  <w:r>
                    <w:rPr>
                      <w:rFonts w:hint="eastAsia"/>
                      <w:sz w:val="21"/>
                      <w:szCs w:val="21"/>
                    </w:rPr>
                    <w:t>3</w:t>
                  </w:r>
                </w:p>
              </w:tc>
              <w:tc>
                <w:tcPr>
                  <w:tcW w:w="996" w:type="pct"/>
                  <w:vAlign w:val="center"/>
                </w:tcPr>
                <w:p>
                  <w:pPr>
                    <w:spacing w:line="240" w:lineRule="auto"/>
                    <w:ind w:firstLine="0" w:firstLineChars="0"/>
                    <w:jc w:val="center"/>
                    <w:rPr>
                      <w:sz w:val="21"/>
                      <w:szCs w:val="21"/>
                    </w:rPr>
                  </w:pPr>
                  <w:r>
                    <w:rPr>
                      <w:rFonts w:hint="eastAsia"/>
                      <w:sz w:val="21"/>
                      <w:szCs w:val="21"/>
                    </w:rPr>
                    <w:t>危险废物</w:t>
                  </w:r>
                </w:p>
              </w:tc>
              <w:tc>
                <w:tcPr>
                  <w:tcW w:w="1468" w:type="pct"/>
                  <w:vAlign w:val="center"/>
                </w:tcPr>
                <w:p>
                  <w:pPr>
                    <w:spacing w:line="240" w:lineRule="auto"/>
                    <w:ind w:firstLine="0" w:firstLineChars="0"/>
                    <w:jc w:val="center"/>
                    <w:rPr>
                      <w:sz w:val="21"/>
                      <w:szCs w:val="21"/>
                    </w:rPr>
                  </w:pPr>
                  <w:r>
                    <w:rPr>
                      <w:rFonts w:hint="eastAsia"/>
                      <w:sz w:val="21"/>
                      <w:szCs w:val="21"/>
                    </w:rPr>
                    <w:t>机械</w:t>
                  </w:r>
                  <w:r>
                    <w:rPr>
                      <w:sz w:val="21"/>
                      <w:szCs w:val="21"/>
                    </w:rPr>
                    <w:t>设备保养</w:t>
                  </w:r>
                  <w:r>
                    <w:rPr>
                      <w:rFonts w:hint="eastAsia"/>
                      <w:sz w:val="21"/>
                      <w:szCs w:val="21"/>
                    </w:rPr>
                    <w:t>产生的废机油</w:t>
                  </w:r>
                </w:p>
              </w:tc>
              <w:tc>
                <w:tcPr>
                  <w:tcW w:w="2097" w:type="pct"/>
                  <w:vAlign w:val="center"/>
                </w:tcPr>
                <w:p>
                  <w:pPr>
                    <w:spacing w:line="240" w:lineRule="auto"/>
                    <w:ind w:firstLine="0" w:firstLineChars="0"/>
                    <w:jc w:val="center"/>
                    <w:rPr>
                      <w:sz w:val="21"/>
                      <w:szCs w:val="21"/>
                    </w:rPr>
                  </w:pPr>
                  <w:r>
                    <w:rPr>
                      <w:rFonts w:hint="eastAsia"/>
                      <w:sz w:val="21"/>
                      <w:szCs w:val="21"/>
                      <w:lang w:eastAsia="zh-CN"/>
                    </w:rPr>
                    <w:t>危废暂存间、</w:t>
                  </w:r>
                  <w:r>
                    <w:rPr>
                      <w:rFonts w:hint="eastAsia"/>
                      <w:sz w:val="21"/>
                      <w:szCs w:val="21"/>
                    </w:rPr>
                    <w:t>委托有资质单位处置。</w:t>
                  </w:r>
                </w:p>
              </w:tc>
            </w:tr>
          </w:tbl>
          <w:p>
            <w:pPr>
              <w:pStyle w:val="4"/>
              <w:keepNext w:val="0"/>
              <w:keepLines w:val="0"/>
              <w:pageBreakBefore w:val="0"/>
              <w:widowControl w:val="0"/>
              <w:numPr>
                <w:ilvl w:val="1"/>
                <w:numId w:val="0"/>
              </w:numPr>
              <w:kinsoku/>
              <w:wordWrap w:val="0"/>
              <w:overflowPunct/>
              <w:topLinePunct w:val="0"/>
              <w:autoSpaceDE/>
              <w:autoSpaceDN/>
              <w:bidi w:val="0"/>
              <w:snapToGrid w:val="0"/>
              <w:spacing w:line="360" w:lineRule="auto"/>
              <w:ind w:firstLine="480" w:firstLineChars="200"/>
              <w:jc w:val="left"/>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w:t>
            </w:r>
            <w:r>
              <w:rPr>
                <w:rFonts w:hint="eastAsia" w:ascii="Times New Roman" w:hAnsi="Times New Roman" w:eastAsia="宋体" w:cs="Times New Roman"/>
                <w:b w:val="0"/>
                <w:bCs/>
                <w:color w:val="auto"/>
                <w:sz w:val="24"/>
                <w:szCs w:val="24"/>
                <w:lang w:val="en-US" w:eastAsia="zh-CN"/>
              </w:rPr>
              <w:t>1</w:t>
            </w:r>
            <w:r>
              <w:rPr>
                <w:rFonts w:hint="default" w:ascii="Times New Roman" w:hAnsi="Times New Roman" w:eastAsia="宋体" w:cs="Times New Roman"/>
                <w:b w:val="0"/>
                <w:bCs/>
                <w:color w:val="auto"/>
                <w:sz w:val="24"/>
                <w:szCs w:val="24"/>
                <w:lang w:val="en-US" w:eastAsia="zh-CN"/>
              </w:rPr>
              <w:t>）危废暂存间污染防治措施</w:t>
            </w:r>
          </w:p>
          <w:p>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项目危险废物暂存场所严格按照《危险废物贮存污染控制标准》（</w:t>
            </w:r>
            <w:r>
              <w:rPr>
                <w:rFonts w:hint="default" w:ascii="Times New Roman" w:hAnsi="Times New Roman" w:eastAsia="宋体" w:cs="Times New Roman"/>
                <w:color w:val="auto"/>
                <w:kern w:val="0"/>
                <w:sz w:val="24"/>
                <w:szCs w:val="24"/>
                <w:lang w:val="en-US" w:eastAsia="zh-CN" w:bidi="ar"/>
              </w:rPr>
              <w:t>GB18597-2023</w:t>
            </w:r>
            <w:r>
              <w:rPr>
                <w:rFonts w:hint="eastAsia" w:ascii="宋体" w:hAnsi="宋体" w:eastAsia="宋体" w:cs="宋体"/>
                <w:color w:val="auto"/>
                <w:kern w:val="0"/>
                <w:sz w:val="24"/>
                <w:szCs w:val="24"/>
                <w:lang w:val="en-US" w:eastAsia="zh-CN" w:bidi="ar"/>
              </w:rPr>
              <w:t xml:space="preserve">）的要求规范建设和维护使用，做到防扬散、防流失、防渗漏等措施，具体情况如下： </w:t>
            </w:r>
          </w:p>
          <w:p>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①贮存设施应根据危险废物的形态、物理化学性质、包装形式和污染物迁移途径，采取必要的防风、防晒、防雨、防漏、防渗、防腐以及其他环境污染防治措施，不应露天堆放危险废物。 </w:t>
            </w:r>
          </w:p>
          <w:p>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②贮存设施应根据危险废物的类别、数量、形态、物理化学性质和污染防治等要求设置必要的贮存分区，避免不相容的危险废物接触、混合。 </w:t>
            </w:r>
          </w:p>
          <w:p>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③贮存设施或贮存分区内地面、墙面裙脚、堵截泄漏的围堰、接触危险废物的隔板和墙体等应采用坚固的材料建造，表面无裂缝。 </w:t>
            </w:r>
          </w:p>
          <w:p>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④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w:t>
            </w:r>
            <w:r>
              <w:rPr>
                <w:rFonts w:hint="default" w:ascii="Times New Roman" w:hAnsi="Times New Roman" w:eastAsia="宋体" w:cs="Times New Roman"/>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米厚黏土层（渗透系数不大于</w:t>
            </w:r>
            <w:r>
              <w:rPr>
                <w:rFonts w:hint="default" w:ascii="Times New Roman" w:hAnsi="Times New Roman" w:eastAsia="宋体" w:cs="Times New Roman"/>
                <w:color w:val="auto"/>
                <w:kern w:val="0"/>
                <w:sz w:val="24"/>
                <w:szCs w:val="24"/>
                <w:lang w:val="en-US" w:eastAsia="zh-CN" w:bidi="ar"/>
              </w:rPr>
              <w:t>10</w:t>
            </w:r>
            <w:r>
              <w:rPr>
                <w:rFonts w:hint="default" w:ascii="Times New Roman" w:hAnsi="Times New Roman" w:eastAsia="宋体" w:cs="Times New Roman"/>
                <w:color w:val="auto"/>
                <w:kern w:val="0"/>
                <w:sz w:val="24"/>
                <w:szCs w:val="24"/>
                <w:vertAlign w:val="superscript"/>
                <w:lang w:val="en-US" w:eastAsia="zh-CN" w:bidi="ar"/>
              </w:rPr>
              <w:t>-7</w:t>
            </w:r>
            <w:r>
              <w:rPr>
                <w:rFonts w:hint="eastAsia" w:ascii="宋体" w:hAnsi="宋体" w:eastAsia="宋体" w:cs="宋体"/>
                <w:color w:val="auto"/>
                <w:kern w:val="0"/>
                <w:sz w:val="24"/>
                <w:szCs w:val="24"/>
                <w:lang w:val="en-US" w:eastAsia="zh-CN" w:bidi="ar"/>
              </w:rPr>
              <w:t>厘米</w:t>
            </w:r>
            <w:r>
              <w:rPr>
                <w:rFonts w:hint="default" w:ascii="Times New Roman" w:hAnsi="Times New Roman" w:eastAsia="宋体" w:cs="Times New Roman"/>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秒），或至少</w:t>
            </w:r>
            <w:r>
              <w:rPr>
                <w:rFonts w:hint="default" w:ascii="Times New Roman" w:hAnsi="Times New Roman" w:eastAsia="宋体" w:cs="Times New Roman"/>
                <w:color w:val="auto"/>
                <w:kern w:val="0"/>
                <w:sz w:val="24"/>
                <w:szCs w:val="24"/>
                <w:lang w:val="en-US" w:eastAsia="zh-CN" w:bidi="ar"/>
              </w:rPr>
              <w:t>2</w:t>
            </w:r>
            <w:r>
              <w:rPr>
                <w:rFonts w:hint="eastAsia" w:ascii="宋体" w:hAnsi="宋体" w:eastAsia="宋体" w:cs="宋体"/>
                <w:color w:val="auto"/>
                <w:kern w:val="0"/>
                <w:sz w:val="24"/>
                <w:szCs w:val="24"/>
                <w:lang w:val="en-US" w:eastAsia="zh-CN" w:bidi="ar"/>
              </w:rPr>
              <w:t>毫米厚高密度聚乙烯膜等人工防渗材料（渗透系数不大于</w:t>
            </w:r>
            <w:r>
              <w:rPr>
                <w:rFonts w:hint="default" w:ascii="Times New Roman" w:hAnsi="Times New Roman" w:eastAsia="宋体" w:cs="Times New Roman"/>
                <w:color w:val="auto"/>
                <w:kern w:val="0"/>
                <w:sz w:val="24"/>
                <w:szCs w:val="24"/>
                <w:lang w:val="en-US" w:eastAsia="zh-CN" w:bidi="ar"/>
              </w:rPr>
              <w:t>10</w:t>
            </w:r>
            <w:r>
              <w:rPr>
                <w:rFonts w:hint="default" w:ascii="Times New Roman" w:hAnsi="Times New Roman" w:eastAsia="宋体" w:cs="Times New Roman"/>
                <w:color w:val="auto"/>
                <w:kern w:val="0"/>
                <w:sz w:val="24"/>
                <w:szCs w:val="24"/>
                <w:vertAlign w:val="superscript"/>
                <w:lang w:val="en-US" w:eastAsia="zh-CN" w:bidi="ar"/>
              </w:rPr>
              <w:t>-10</w:t>
            </w:r>
            <w:r>
              <w:rPr>
                <w:rFonts w:hint="eastAsia" w:ascii="宋体" w:hAnsi="宋体" w:eastAsia="宋体" w:cs="宋体"/>
                <w:color w:val="auto"/>
                <w:kern w:val="0"/>
                <w:sz w:val="24"/>
                <w:szCs w:val="24"/>
                <w:lang w:val="en-US" w:eastAsia="zh-CN" w:bidi="ar"/>
              </w:rPr>
              <w:t>厘米</w:t>
            </w:r>
            <w:r>
              <w:rPr>
                <w:rFonts w:hint="default" w:ascii="Times New Roman" w:hAnsi="Times New Roman" w:eastAsia="宋体" w:cs="Times New Roman"/>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 xml:space="preserve">秒），或其他防渗性能等效的材料。 </w:t>
            </w:r>
          </w:p>
          <w:p>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⑤同一贮存设施宜采用相同的防渗、防腐工艺（包括防渗、防腐结构或材料），防渗、防腐材料应覆盖所有可能与废物及其渗滤液、渗漏液等接触的构筑物表面；采用不同防渗、防腐工艺应分别建设贮存分区。    ⑥贮存设施应采取技术和管理措施防止无关人员进入。 </w:t>
            </w:r>
          </w:p>
          <w:p>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⑦在危险废物暂存场所显著位置张贴危险废物的标识，根据《危险废物贮存污染控制标准》（</w:t>
            </w:r>
            <w:r>
              <w:rPr>
                <w:rFonts w:hint="default" w:ascii="Times New Roman" w:hAnsi="Times New Roman" w:eastAsia="宋体" w:cs="Times New Roman"/>
                <w:color w:val="auto"/>
                <w:kern w:val="0"/>
                <w:sz w:val="24"/>
                <w:szCs w:val="24"/>
                <w:lang w:val="en-US" w:eastAsia="zh-CN" w:bidi="ar"/>
              </w:rPr>
              <w:t>GB18597-2023</w:t>
            </w:r>
            <w:r>
              <w:rPr>
                <w:rFonts w:hint="eastAsia" w:ascii="宋体" w:hAnsi="宋体" w:eastAsia="宋体" w:cs="宋体"/>
                <w:color w:val="auto"/>
                <w:kern w:val="0"/>
                <w:sz w:val="24"/>
                <w:szCs w:val="24"/>
                <w:lang w:val="en-US" w:eastAsia="zh-CN" w:bidi="ar"/>
              </w:rPr>
              <w:t xml:space="preserve">）的相关要求，盛装危险废物的容器上必须粘贴符合标准的标签。贮存设施或场所、容器和包装物应按 </w:t>
            </w:r>
            <w:r>
              <w:rPr>
                <w:rFonts w:hint="default" w:ascii="Times New Roman" w:hAnsi="Times New Roman" w:eastAsia="宋体" w:cs="Times New Roman"/>
                <w:color w:val="auto"/>
                <w:kern w:val="0"/>
                <w:sz w:val="24"/>
                <w:szCs w:val="24"/>
                <w:lang w:val="en-US" w:eastAsia="zh-CN" w:bidi="ar"/>
              </w:rPr>
              <w:t xml:space="preserve">HJ1276 </w:t>
            </w:r>
            <w:r>
              <w:rPr>
                <w:rFonts w:hint="eastAsia" w:ascii="宋体" w:hAnsi="宋体" w:eastAsia="宋体" w:cs="宋体"/>
                <w:color w:val="auto"/>
                <w:kern w:val="0"/>
                <w:sz w:val="24"/>
                <w:szCs w:val="24"/>
                <w:lang w:val="en-US" w:eastAsia="zh-CN" w:bidi="ar"/>
              </w:rPr>
              <w:t xml:space="preserve">要求设置危险废物贮存设施或场所标志、危险废物贮存分区标志和危险废物标签等危险废物识别标志。 </w:t>
            </w:r>
          </w:p>
          <w:p>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⑧本项目危险废物暂存场所按照《危险废物贮存污染控制标准》（</w:t>
            </w:r>
            <w:r>
              <w:rPr>
                <w:rFonts w:hint="default" w:ascii="Times New Roman" w:hAnsi="Times New Roman" w:eastAsia="宋体" w:cs="Times New Roman"/>
                <w:color w:val="auto"/>
                <w:kern w:val="0"/>
                <w:sz w:val="24"/>
                <w:szCs w:val="24"/>
                <w:lang w:val="en-US" w:eastAsia="zh-CN" w:bidi="ar"/>
              </w:rPr>
              <w:t>GB18597-2023</w:t>
            </w:r>
            <w:r>
              <w:rPr>
                <w:rFonts w:hint="eastAsia" w:ascii="宋体" w:hAnsi="宋体" w:eastAsia="宋体" w:cs="宋体"/>
                <w:color w:val="auto"/>
                <w:kern w:val="0"/>
                <w:sz w:val="24"/>
                <w:szCs w:val="24"/>
                <w:lang w:val="en-US" w:eastAsia="zh-CN" w:bidi="ar"/>
              </w:rPr>
              <w:t>）的要求进行建设，设置防渗、防漏等措施。</w:t>
            </w:r>
          </w:p>
          <w:p>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⑨贮存场所地面须做硬化处理，设置废水导排管道或渠道，如产生冲洗废水需收集处理或纳入建设项目废水处理设施处理；贮存液态或半固态废物的，还应设置泄漏液体收集装置；场所应设置警示标志。装载危险废物的容器应确保完好无损。</w:t>
            </w:r>
          </w:p>
          <w:p>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⑩项目应加强危险储存场所的安全防范措施，防止破损、倾倒等情况发生，防止出现危险废物渗滤液、有机废气等二次污染情况。 </w:t>
            </w:r>
          </w:p>
          <w:p>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w:t>
            </w:r>
            <w:r>
              <w:rPr>
                <w:rFonts w:hint="eastAsia" w:ascii="Times New Roman" w:hAnsi="Times New Roman" w:eastAsia="宋体" w:cs="Times New Roman"/>
                <w:color w:val="auto"/>
                <w:kern w:val="0"/>
                <w:sz w:val="24"/>
                <w:szCs w:val="24"/>
                <w:lang w:val="en-US" w:eastAsia="zh-CN" w:bidi="ar"/>
              </w:rPr>
              <w:t>2</w:t>
            </w:r>
            <w:r>
              <w:rPr>
                <w:rFonts w:hint="eastAsia" w:ascii="宋体" w:hAnsi="宋体" w:eastAsia="宋体" w:cs="宋体"/>
                <w:color w:val="auto"/>
                <w:kern w:val="0"/>
                <w:sz w:val="24"/>
                <w:szCs w:val="24"/>
                <w:lang w:val="en-US" w:eastAsia="zh-CN" w:bidi="ar"/>
              </w:rPr>
              <w:t xml:space="preserve">）管理制度建设 </w:t>
            </w:r>
          </w:p>
          <w:p>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①建立固废防治责任制度：建设单位按要求建立、健全污染环境防治责任制度，明确责任人。负责人熟悉危险废物管理相关法规、制度、标准、规范。  </w:t>
            </w:r>
          </w:p>
          <w:p>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②制定危险废物管理计划：按要求制定危险废物管理计划，计划涵盖危险废物的产生环节、种类、危害特性、产生量、利用处置方式并报环保部门备案，如发生重大改变及时申报。 </w:t>
            </w:r>
          </w:p>
          <w:p>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③建立申报登记制度：如实地向所在地县级以上地方人民政府环境保护行政主管部门申报危险废物的种类、产生量、流向、贮存、处置等有关资料。    </w:t>
            </w:r>
          </w:p>
          <w:p>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④固废的暂存制度：项目产生的危险废物贮存执行《危险废物贮存污染控制标准》（</w:t>
            </w:r>
            <w:r>
              <w:rPr>
                <w:rFonts w:hint="default" w:ascii="Times New Roman" w:hAnsi="Times New Roman" w:eastAsia="宋体" w:cs="Times New Roman"/>
                <w:color w:val="auto"/>
                <w:kern w:val="0"/>
                <w:sz w:val="24"/>
                <w:szCs w:val="24"/>
                <w:lang w:val="en-US" w:eastAsia="zh-CN" w:bidi="ar"/>
              </w:rPr>
              <w:t>GB18597-2023</w:t>
            </w:r>
            <w:r>
              <w:rPr>
                <w:rFonts w:hint="eastAsia" w:ascii="宋体" w:hAnsi="宋体" w:eastAsia="宋体" w:cs="宋体"/>
                <w:color w:val="auto"/>
                <w:kern w:val="0"/>
                <w:sz w:val="24"/>
                <w:szCs w:val="24"/>
                <w:lang w:val="en-US" w:eastAsia="zh-CN" w:bidi="ar"/>
              </w:rPr>
              <w:t>）及《危险废物收集储存运输技术规范》（</w:t>
            </w:r>
            <w:r>
              <w:rPr>
                <w:rFonts w:hint="default" w:ascii="Times New Roman" w:hAnsi="Times New Roman" w:eastAsia="宋体" w:cs="Times New Roman"/>
                <w:color w:val="auto"/>
                <w:kern w:val="0"/>
                <w:sz w:val="24"/>
                <w:szCs w:val="24"/>
                <w:lang w:val="en-US" w:eastAsia="zh-CN" w:bidi="ar"/>
              </w:rPr>
              <w:t>HJ2025-2012</w:t>
            </w:r>
            <w:r>
              <w:rPr>
                <w:rFonts w:hint="eastAsia" w:ascii="宋体" w:hAnsi="宋体" w:eastAsia="宋体" w:cs="宋体"/>
                <w:color w:val="auto"/>
                <w:kern w:val="0"/>
                <w:sz w:val="24"/>
                <w:szCs w:val="24"/>
                <w:lang w:val="en-US" w:eastAsia="zh-CN" w:bidi="ar"/>
              </w:rPr>
              <w:t xml:space="preserve">）中相关规定要求，根据危险废物的包装、贮存设施的选址、设计、运行、安全防护、监测和关闭等要求进行合理的贮存。 </w:t>
            </w:r>
          </w:p>
          <w:p>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w:t>
            </w:r>
            <w:r>
              <w:rPr>
                <w:rFonts w:hint="eastAsia" w:ascii="Times New Roman" w:hAnsi="Times New Roman" w:eastAsia="宋体" w:cs="Times New Roman"/>
                <w:color w:val="auto"/>
                <w:kern w:val="0"/>
                <w:sz w:val="24"/>
                <w:szCs w:val="24"/>
                <w:lang w:val="en-US" w:eastAsia="zh-CN" w:bidi="ar"/>
              </w:rPr>
              <w:t>3</w:t>
            </w:r>
            <w:r>
              <w:rPr>
                <w:rFonts w:hint="eastAsia" w:ascii="宋体" w:hAnsi="宋体" w:eastAsia="宋体" w:cs="宋体"/>
                <w:color w:val="auto"/>
                <w:kern w:val="0"/>
                <w:sz w:val="24"/>
                <w:szCs w:val="24"/>
                <w:lang w:val="en-US" w:eastAsia="zh-CN" w:bidi="ar"/>
              </w:rPr>
              <w:t>）危险废物管理台账制定要求</w:t>
            </w:r>
          </w:p>
          <w:p>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default" w:ascii="Times New Roman" w:hAnsi="Times New Roman" w:eastAsia="宋体" w:cs="Times New Roman"/>
                <w:b w:val="0"/>
                <w:bCs w:val="0"/>
                <w:color w:val="auto"/>
                <w:kern w:val="0"/>
                <w:sz w:val="24"/>
                <w:szCs w:val="24"/>
                <w:lang w:val="en-US" w:eastAsia="zh-CN" w:bidi="ar"/>
              </w:rPr>
              <w:t>按照《危险废物管理计划和管理台账制定技术导则》（HJ 1259-2022）中相关规定</w:t>
            </w:r>
            <w:r>
              <w:rPr>
                <w:rFonts w:hint="eastAsia" w:ascii="Times New Roman" w:hAnsi="Times New Roman" w:eastAsia="宋体" w:cs="Times New Roman"/>
                <w:b w:val="0"/>
                <w:bCs w:val="0"/>
                <w:color w:val="auto"/>
                <w:kern w:val="0"/>
                <w:sz w:val="24"/>
                <w:szCs w:val="24"/>
                <w:lang w:val="en-US" w:eastAsia="zh-CN" w:bidi="ar"/>
              </w:rPr>
              <w:t>，</w:t>
            </w:r>
            <w:r>
              <w:rPr>
                <w:rFonts w:hint="eastAsia" w:ascii="宋体" w:hAnsi="宋体" w:eastAsia="宋体" w:cs="宋体"/>
                <w:b w:val="0"/>
                <w:bCs w:val="0"/>
                <w:color w:val="auto"/>
                <w:kern w:val="0"/>
                <w:sz w:val="24"/>
                <w:szCs w:val="24"/>
                <w:lang w:val="en-US" w:eastAsia="zh-CN" w:bidi="ar"/>
              </w:rPr>
              <w:t>项</w:t>
            </w:r>
            <w:r>
              <w:rPr>
                <w:rFonts w:hint="eastAsia" w:ascii="宋体" w:hAnsi="宋体" w:eastAsia="宋体" w:cs="宋体"/>
                <w:color w:val="auto"/>
                <w:kern w:val="0"/>
                <w:sz w:val="24"/>
                <w:szCs w:val="24"/>
                <w:lang w:val="en-US" w:eastAsia="zh-CN" w:bidi="ar"/>
              </w:rPr>
              <w:t>目运营期应建立危险废物管理台账，落实危险废物管理台账记录的责任人，明确工作职责，并对危险废物管理台账的真实性、准确性和完整性负法律责任。产生危险废物的单位应根据危险废物产生、贮存、利用、处置等环节的动态流向，如实建立各环节的危险废物管理台账。危险废物管理台账分为电子管理台账和纸质管理台账两种形式。可通过国家危险废物信息管理系统、企业自建信息管理系统或第三方平台等方式记录电子管理台账。</w:t>
            </w:r>
          </w:p>
          <w:p>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频次:危险废物产生后盛放至容器和包装物的，应按每个容器和包装物进行记录:产生后采用管道等方式输送至贮存场所的，按日记录:其他特殊情形的，根据危险废物产生规律确定记录频次。</w:t>
            </w:r>
          </w:p>
          <w:p>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记录内容:危险废物产生环节，应记录产生批次编码、产生时间、危险废物名称、危险废物类别、危险废物代码、产生量、计量单位、容器/包装编码容器/包装类型、容器/包装数量、产生危险废物设施编码、产生部门经办人、去向等。危险废物入库环节，应记录入库批次编码、入库时间、容器/包装编码、容器/包装类型、容器/包装数量、危险废物名称、危险废物类别、危险废物代码、入库量、计量单位、贮存设施编码、贮存设施类型、运送部门经办人、贮存部门经办人、产生批次编码等。</w:t>
            </w:r>
          </w:p>
          <w:p>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eastAsia" w:ascii="宋体" w:hAnsi="宋体" w:eastAsia="宋体" w:cs="宋体"/>
                <w:color w:val="auto"/>
                <w:kern w:val="0"/>
                <w:sz w:val="24"/>
                <w:szCs w:val="24"/>
                <w:lang w:val="en-US" w:eastAsia="zh-CN" w:bidi="ar"/>
              </w:rPr>
              <w:t>危险废物出库环节，应记录出库批次编码、出库时间、容器/包装编码、容器/包装类型、容器/包装数量、危险废物名称、危险废物类别、危险废物代码、出库量、计量单位、贮存设施编码、贮存设施类型、出库部门经办人、运送部门经办人、入库批次编码、去向等。</w:t>
            </w:r>
          </w:p>
          <w:p>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color w:val="auto"/>
                <w:sz w:val="24"/>
                <w:szCs w:val="24"/>
              </w:rPr>
            </w:pPr>
            <w:r>
              <w:rPr>
                <w:rFonts w:hint="default" w:ascii="Times New Roman" w:hAnsi="Times New Roman" w:eastAsia="宋体" w:cs="Times New Roman"/>
                <w:color w:val="auto"/>
                <w:kern w:val="0"/>
                <w:sz w:val="24"/>
                <w:szCs w:val="24"/>
                <w:lang w:val="en-US" w:eastAsia="zh-CN" w:bidi="ar"/>
              </w:rPr>
              <w:t>（</w:t>
            </w:r>
            <w:r>
              <w:rPr>
                <w:rFonts w:hint="eastAsia" w:ascii="Times New Roman" w:hAnsi="Times New Roman" w:eastAsia="宋体" w:cs="Times New Roman"/>
                <w:color w:val="auto"/>
                <w:kern w:val="0"/>
                <w:sz w:val="24"/>
                <w:szCs w:val="24"/>
                <w:lang w:val="en-US" w:eastAsia="zh-CN" w:bidi="ar"/>
              </w:rPr>
              <w:t>4</w:t>
            </w:r>
            <w:r>
              <w:rPr>
                <w:rFonts w:hint="default" w:ascii="Times New Roman" w:hAnsi="Times New Roman" w:eastAsia="宋体" w:cs="Times New Roman"/>
                <w:color w:val="auto"/>
                <w:kern w:val="0"/>
                <w:sz w:val="24"/>
                <w:szCs w:val="24"/>
                <w:lang w:val="en-US" w:eastAsia="zh-CN" w:bidi="ar"/>
              </w:rPr>
              <w:t>）危险</w:t>
            </w:r>
            <w:r>
              <w:rPr>
                <w:rFonts w:hint="eastAsia" w:ascii="宋体" w:hAnsi="宋体" w:eastAsia="宋体" w:cs="宋体"/>
                <w:color w:val="auto"/>
                <w:kern w:val="0"/>
                <w:sz w:val="24"/>
                <w:szCs w:val="24"/>
                <w:lang w:val="en-US" w:eastAsia="zh-CN" w:bidi="ar"/>
              </w:rPr>
              <w:t xml:space="preserve">废物的转运要求 </w:t>
            </w:r>
          </w:p>
          <w:p>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危险废物的收集、运输按照《危险废物收集贮存运输技术规范》（</w:t>
            </w:r>
            <w:r>
              <w:rPr>
                <w:rFonts w:hint="default" w:ascii="Times New Roman" w:hAnsi="Times New Roman" w:eastAsia="宋体" w:cs="Times New Roman"/>
                <w:color w:val="auto"/>
                <w:kern w:val="0"/>
                <w:sz w:val="24"/>
                <w:szCs w:val="24"/>
                <w:lang w:val="en-US" w:eastAsia="zh-CN" w:bidi="ar"/>
              </w:rPr>
              <w:t>HJ2025-2012</w:t>
            </w:r>
            <w:r>
              <w:rPr>
                <w:rFonts w:hint="eastAsia" w:ascii="宋体" w:hAnsi="宋体" w:eastAsia="宋体" w:cs="宋体"/>
                <w:color w:val="auto"/>
                <w:kern w:val="0"/>
                <w:sz w:val="24"/>
                <w:szCs w:val="24"/>
                <w:lang w:val="en-US" w:eastAsia="zh-CN" w:bidi="ar"/>
              </w:rPr>
              <w:t xml:space="preserve">）的要求进行。防止危险废物转移过程中污染环境。项目需处理的危险废物采用专门的车辆，密闭运输，严格禁止抛洒滴漏，杜绝在运输过程中造成环境的二次污染。 </w:t>
            </w:r>
          </w:p>
          <w:p>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在危险废物的运输中执行《 危险废物转移管理办法》中有关的规定和要求。建设单位拟针对此对员工进行培训，加强安全生产及防止污染的意识，培训通过后方可上岗，对于固体废弃物的收集、运输要实施专人专职管理制度并建立好台账。对于委托处理的危险废物，运输中应做到以下几点： </w:t>
            </w:r>
          </w:p>
          <w:p>
            <w:pPr>
              <w:keepNext w:val="0"/>
              <w:keepLines w:val="0"/>
              <w:pageBreakBefore w:val="0"/>
              <w:widowControl w:val="0"/>
              <w:suppressLineNumbers w:val="0"/>
              <w:kinsoku/>
              <w:wordWrap w:val="0"/>
              <w:overflowPunct/>
              <w:topLinePunct w:val="0"/>
              <w:autoSpaceDE/>
              <w:autoSpaceDN/>
              <w:bidi w:val="0"/>
              <w:adjustRightInd/>
              <w:snapToGrid/>
              <w:spacing w:line="360" w:lineRule="auto"/>
              <w:ind w:left="0" w:leftChars="0"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①该运输车辆须经主管单位检查，并持有有关单位签发的许可证，负责运输的司机应通过培训，持有证明文件。 </w:t>
            </w:r>
          </w:p>
          <w:p>
            <w:pPr>
              <w:keepNext w:val="0"/>
              <w:keepLines w:val="0"/>
              <w:pageBreakBefore w:val="0"/>
              <w:widowControl w:val="0"/>
              <w:suppressLineNumbers w:val="0"/>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②承载危险废物的车辆须有明显的标志或适当的危险符号，以引起注意。    </w:t>
            </w:r>
          </w:p>
          <w:p>
            <w:pPr>
              <w:keepNext w:val="0"/>
              <w:keepLines w:val="0"/>
              <w:pageBreakBefore w:val="0"/>
              <w:widowControl w:val="0"/>
              <w:suppressLineNumbers w:val="0"/>
              <w:kinsoku/>
              <w:wordWrap w:val="0"/>
              <w:overflowPunct/>
              <w:topLinePunct w:val="0"/>
              <w:autoSpaceDE/>
              <w:autoSpaceDN/>
              <w:bidi w:val="0"/>
              <w:adjustRightInd/>
              <w:snapToGrid/>
              <w:spacing w:line="360" w:lineRule="auto"/>
              <w:ind w:left="0" w:leftChars="0"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③载有危险废物的车辆在公路上行驶时，需持有运输许可证，其上应注明废物来源、性质和运往地点。 </w:t>
            </w:r>
          </w:p>
          <w:p>
            <w:pPr>
              <w:keepNext w:val="0"/>
              <w:keepLines w:val="0"/>
              <w:pageBreakBefore w:val="0"/>
              <w:widowControl w:val="0"/>
              <w:suppressLineNumbers w:val="0"/>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④组织危险废物的运输单位，在事先需做出周密的运输计划和行驶路线，其中包括有效的废物泄漏情况下的应急措施。 </w:t>
            </w:r>
          </w:p>
          <w:p>
            <w:pPr>
              <w:keepNext w:val="0"/>
              <w:keepLines w:val="0"/>
              <w:widowControl/>
              <w:suppressLineNumbers w:val="0"/>
              <w:ind w:left="0" w:leftChars="0" w:firstLine="0" w:firstLineChars="0"/>
              <w:jc w:val="left"/>
              <w:rPr>
                <w:rFonts w:hint="default"/>
                <w:b/>
                <w:bCs/>
                <w:lang w:val="en-US" w:eastAsia="zh-CN"/>
              </w:rPr>
            </w:pPr>
            <w:r>
              <w:rPr>
                <w:rFonts w:hint="eastAsia" w:ascii="宋体" w:hAnsi="宋体" w:eastAsia="宋体" w:cs="宋体"/>
                <w:color w:val="auto"/>
                <w:kern w:val="0"/>
                <w:sz w:val="24"/>
                <w:szCs w:val="24"/>
                <w:lang w:val="en-US" w:eastAsia="zh-CN" w:bidi="ar"/>
              </w:rPr>
              <w:t>建设单位严格按照转移联单要求做好危废的去向记录，确保废物由有资质的单位进行处置，不得随意倾倒。针对危险废物，应严格按照《危险废物贮存污染控制标准》（</w:t>
            </w:r>
            <w:r>
              <w:rPr>
                <w:rFonts w:hint="default" w:ascii="Times New Roman" w:hAnsi="Times New Roman" w:eastAsia="宋体" w:cs="Times New Roman"/>
                <w:color w:val="auto"/>
                <w:kern w:val="0"/>
                <w:sz w:val="24"/>
                <w:szCs w:val="24"/>
                <w:lang w:val="en-US" w:eastAsia="zh-CN" w:bidi="ar"/>
              </w:rPr>
              <w:t>GB18597-2023</w:t>
            </w:r>
            <w:r>
              <w:rPr>
                <w:rFonts w:hint="eastAsia" w:ascii="宋体" w:hAnsi="宋体" w:eastAsia="宋体" w:cs="宋体"/>
                <w:color w:val="auto"/>
                <w:kern w:val="0"/>
                <w:sz w:val="24"/>
                <w:szCs w:val="24"/>
                <w:lang w:val="en-US" w:eastAsia="zh-CN" w:bidi="ar"/>
              </w:rPr>
              <w:t>）、《 危险废物转移管理办法》对危险废物进行暂存和转移管理，并及时交由具备处理资质的单位进行处理，将管理联单和危废处理协议送生态环境局备案。</w:t>
            </w:r>
          </w:p>
          <w:p>
            <w:pPr>
              <w:keepNext w:val="0"/>
              <w:keepLines w:val="0"/>
              <w:widowControl/>
              <w:suppressLineNumbers w:val="0"/>
              <w:ind w:left="0" w:leftChars="0" w:firstLine="0" w:firstLineChars="0"/>
              <w:jc w:val="left"/>
            </w:pPr>
            <w:r>
              <w:rPr>
                <w:rFonts w:hint="default"/>
                <w:b/>
                <w:bCs/>
                <w:lang w:val="en-US" w:eastAsia="zh-CN"/>
              </w:rPr>
              <w:t>5.</w:t>
            </w:r>
            <w:r>
              <w:rPr>
                <w:rFonts w:hint="eastAsia"/>
                <w:b/>
                <w:bCs/>
                <w:lang w:val="en-US" w:eastAsia="zh-CN"/>
              </w:rPr>
              <w:t>生态环境保护措施</w:t>
            </w:r>
          </w:p>
          <w:p>
            <w:pPr>
              <w:bidi w:val="0"/>
            </w:pPr>
            <w:r>
              <w:rPr>
                <w:lang w:val="en-US" w:eastAsia="zh-CN"/>
              </w:rPr>
              <w:t>（</w:t>
            </w:r>
            <w:r>
              <w:rPr>
                <w:rFonts w:hint="default"/>
                <w:lang w:val="en-US" w:eastAsia="zh-CN"/>
              </w:rPr>
              <w:t>1</w:t>
            </w:r>
            <w:r>
              <w:rPr>
                <w:lang w:val="en-US" w:eastAsia="zh-CN"/>
              </w:rPr>
              <w:t xml:space="preserve">）建设单位必须担负生态保护、恢复、补偿、建设和管理责任，合理安排使用土地，降低生态破坏程度。 </w:t>
            </w:r>
          </w:p>
          <w:p>
            <w:pPr>
              <w:bidi w:val="0"/>
              <w:rPr>
                <w:rFonts w:hint="default" w:ascii="Times New Roman" w:hAnsi="Times New Roman" w:cs="Times New Roman"/>
              </w:rPr>
            </w:pPr>
            <w:r>
              <w:rPr>
                <w:lang w:val="en-US" w:eastAsia="zh-CN"/>
              </w:rPr>
              <w:t>（</w:t>
            </w:r>
            <w:r>
              <w:rPr>
                <w:rFonts w:hint="default"/>
                <w:lang w:val="en-US" w:eastAsia="zh-CN"/>
              </w:rPr>
              <w:t>2</w:t>
            </w:r>
            <w:r>
              <w:rPr>
                <w:lang w:val="en-US" w:eastAsia="zh-CN"/>
              </w:rPr>
              <w:t>）对永久占地、临时占地区</w:t>
            </w:r>
            <w:r>
              <w:rPr>
                <w:rFonts w:hint="eastAsia"/>
                <w:lang w:val="en-US" w:eastAsia="zh-CN"/>
              </w:rPr>
              <w:t>占用和损毁的土地进行生态修复，</w:t>
            </w:r>
            <w:r>
              <w:rPr>
                <w:rFonts w:hint="eastAsia" w:ascii="宋体" w:hAnsi="宋体"/>
                <w:color w:val="auto"/>
                <w:szCs w:val="28"/>
              </w:rPr>
              <w:t>复垦土地类型为</w:t>
            </w:r>
            <w:r>
              <w:rPr>
                <w:rFonts w:hint="eastAsia" w:ascii="宋体" w:hAnsi="宋体"/>
                <w:color w:val="auto"/>
                <w:lang w:eastAsia="zh-CN"/>
              </w:rPr>
              <w:t>其他土地</w:t>
            </w:r>
            <w:r>
              <w:rPr>
                <w:rFonts w:hint="eastAsia" w:ascii="宋体" w:hAnsi="宋体"/>
                <w:color w:val="auto"/>
              </w:rPr>
              <w:t>（</w:t>
            </w:r>
            <w:r>
              <w:rPr>
                <w:rFonts w:hint="eastAsia" w:ascii="宋体" w:hAnsi="宋体"/>
                <w:color w:val="auto"/>
                <w:lang w:eastAsia="zh-CN"/>
              </w:rPr>
              <w:t>裸岩石砾</w:t>
            </w:r>
            <w:r>
              <w:rPr>
                <w:rFonts w:hint="default" w:ascii="Times New Roman" w:hAnsi="Times New Roman" w:cs="Times New Roman"/>
                <w:color w:val="auto"/>
                <w:lang w:eastAsia="zh-CN"/>
              </w:rPr>
              <w:t>地</w:t>
            </w:r>
            <w:r>
              <w:rPr>
                <w:rFonts w:hint="default" w:ascii="Times New Roman" w:hAnsi="Times New Roman" w:cs="Times New Roman"/>
                <w:color w:val="auto"/>
              </w:rPr>
              <w:t>）</w:t>
            </w:r>
            <w:r>
              <w:rPr>
                <w:rFonts w:hint="default" w:ascii="Times New Roman" w:hAnsi="Times New Roman" w:eastAsia="宋体" w:cs="Times New Roman"/>
                <w:color w:val="auto"/>
                <w:lang w:val="en-US" w:eastAsia="zh-CN"/>
              </w:rPr>
              <w:t>18.</w:t>
            </w:r>
            <w:r>
              <w:rPr>
                <w:rFonts w:hint="default" w:ascii="Times New Roman" w:hAnsi="Times New Roman" w:cs="Times New Roman"/>
                <w:color w:val="auto"/>
                <w:lang w:val="en-US" w:eastAsia="zh-CN"/>
              </w:rPr>
              <w:t>20</w:t>
            </w:r>
            <w:r>
              <w:rPr>
                <w:rFonts w:hint="default" w:ascii="Times New Roman" w:hAnsi="Times New Roman" w:eastAsia="宋体" w:cs="Times New Roman"/>
                <w:color w:val="auto"/>
                <w:lang w:val="en-US" w:eastAsia="zh-CN"/>
              </w:rPr>
              <w:t>公顷</w:t>
            </w:r>
            <w:r>
              <w:rPr>
                <w:rFonts w:hint="default" w:ascii="Times New Roman" w:hAnsi="Times New Roman" w:cs="Times New Roman"/>
                <w:lang w:val="en-US" w:eastAsia="zh-CN"/>
              </w:rPr>
              <w:t xml:space="preserve">。 </w:t>
            </w:r>
          </w:p>
          <w:p>
            <w:pPr>
              <w:bidi w:val="0"/>
            </w:pPr>
            <w:r>
              <w:rPr>
                <w:lang w:val="en-US" w:eastAsia="zh-CN"/>
              </w:rPr>
              <w:t>（</w:t>
            </w:r>
            <w:r>
              <w:rPr>
                <w:rFonts w:hint="default"/>
                <w:lang w:val="en-US" w:eastAsia="zh-CN"/>
              </w:rPr>
              <w:t>3</w:t>
            </w:r>
            <w:r>
              <w:rPr>
                <w:lang w:val="en-US" w:eastAsia="zh-CN"/>
              </w:rPr>
              <w:t>）</w:t>
            </w:r>
            <w:r>
              <w:rPr>
                <w:rFonts w:hint="eastAsia"/>
                <w:lang w:val="en-US" w:eastAsia="zh-CN"/>
              </w:rPr>
              <w:t>生态恢复</w:t>
            </w:r>
            <w:r>
              <w:rPr>
                <w:lang w:val="en-US" w:eastAsia="zh-CN"/>
              </w:rPr>
              <w:t>与主体工程同时规划、同时设计、同时投资，并在主体工程施工完毕后一年内按照设计方案的要求完成</w:t>
            </w:r>
            <w:r>
              <w:rPr>
                <w:rFonts w:hint="eastAsia"/>
                <w:lang w:val="en-US" w:eastAsia="zh-CN"/>
              </w:rPr>
              <w:t>生态恢复</w:t>
            </w:r>
            <w:r>
              <w:rPr>
                <w:lang w:val="en-US" w:eastAsia="zh-CN"/>
              </w:rPr>
              <w:t>。</w:t>
            </w:r>
          </w:p>
          <w:p>
            <w:pPr>
              <w:keepNext w:val="0"/>
              <w:keepLines w:val="0"/>
              <w:widowControl/>
              <w:suppressLineNumbers w:val="0"/>
              <w:ind w:left="0" w:leftChars="0" w:firstLine="0" w:firstLineChars="0"/>
              <w:jc w:val="left"/>
              <w:rPr>
                <w:rFonts w:hint="eastAsia"/>
                <w:b/>
                <w:bCs/>
                <w:lang w:val="en-US" w:eastAsia="zh-CN"/>
              </w:rPr>
            </w:pPr>
            <w:r>
              <w:rPr>
                <w:rFonts w:hint="eastAsia"/>
                <w:b/>
                <w:bCs/>
                <w:lang w:val="en-US" w:eastAsia="zh-CN"/>
              </w:rPr>
              <w:t>6.防沙治沙</w:t>
            </w:r>
          </w:p>
          <w:p>
            <w:pPr>
              <w:bidi w:val="0"/>
              <w:rPr>
                <w:rFonts w:hint="eastAsia"/>
                <w:lang w:val="en-US" w:eastAsia="zh-CN"/>
              </w:rPr>
            </w:pPr>
            <w:r>
              <w:rPr>
                <w:rFonts w:hint="eastAsia"/>
                <w:lang w:val="en-US" w:eastAsia="zh-CN"/>
              </w:rPr>
              <w:t>根据《新疆第五次沙化土地监测报告》及沙化土地分布图，项目属于非沙化土地，因此，本项目在建设及运营过程需做好水土保持工作。要求对于剥离的表土采用苫布遮盖措施堆存于矿区；对开采区域采用洒水降尘措施，密封运输预料。边开采边治理，利用废石逐步回填采坑，并覆盖剥离的表土，防止土壤荒漠化。</w:t>
            </w:r>
          </w:p>
          <w:p>
            <w:pPr>
              <w:keepNext w:val="0"/>
              <w:keepLines w:val="0"/>
              <w:widowControl/>
              <w:numPr>
                <w:ilvl w:val="0"/>
                <w:numId w:val="0"/>
              </w:numPr>
              <w:suppressLineNumbers w:val="0"/>
              <w:ind w:left="0" w:leftChars="0" w:firstLine="0" w:firstLineChars="0"/>
              <w:jc w:val="left"/>
              <w:rPr>
                <w:rFonts w:hint="eastAsia"/>
                <w:b/>
                <w:bCs/>
                <w:lang w:val="en-US" w:eastAsia="zh-CN"/>
              </w:rPr>
            </w:pPr>
            <w:r>
              <w:rPr>
                <w:rFonts w:hint="eastAsia" w:cstheme="minorBidi"/>
                <w:b/>
                <w:bCs/>
                <w:kern w:val="2"/>
                <w:sz w:val="24"/>
                <w:szCs w:val="24"/>
                <w:lang w:val="en-US" w:eastAsia="zh-CN" w:bidi="ar-SA"/>
              </w:rPr>
              <w:t>7.</w:t>
            </w:r>
            <w:r>
              <w:rPr>
                <w:rFonts w:hint="eastAsia"/>
                <w:b/>
                <w:bCs/>
                <w:lang w:val="en-US" w:eastAsia="zh-CN"/>
              </w:rPr>
              <w:t>复垦及绿化方案</w:t>
            </w:r>
          </w:p>
          <w:p>
            <w:pPr>
              <w:bidi w:val="0"/>
              <w:rPr>
                <w:rFonts w:hint="eastAsia"/>
                <w:lang w:val="en-US" w:eastAsia="zh-CN"/>
              </w:rPr>
            </w:pPr>
            <w:r>
              <w:rPr>
                <w:rFonts w:hint="eastAsia"/>
                <w:lang w:val="en-US" w:eastAsia="zh-CN"/>
              </w:rPr>
              <w:t>根据建设单位提供资料，生态恢复具体方案包括采场生态恢复、工业广场生态恢复、生活区生态恢复。根据采矿地质条件、发展远景及当地具体情况，制定生态恢复计划，该计划要纳入矿山设计中的开采、排弃计划，其内容包括利用土地的方式、采矿复垦方法等，且与生产建设统一规划。结合待复垦区周边土地利用方式，以恢复原土地利用类型为首选复垦方向，初步确定土地复垦方向为天然牧草地。覆土与修复工作要保持与矿区开采、排弃顺序相协调，且尽可能利用矿区的采、装、运等设备。根据工程区的地质</w:t>
            </w:r>
            <w:r>
              <w:rPr>
                <w:rFonts w:hint="eastAsia" w:ascii="Times New Roman" w:hAnsi="Times New Roman" w:eastAsia="宋体"/>
                <w:lang w:val="en-US" w:eastAsia="zh-CN"/>
              </w:rPr>
              <w:t>条件、气候条件及工程特点，生态恢复采取土地整治等工程措施。据矿山开采情况及矿山治理恢复工作的部署，基建期先剥表土，拉运到表土堆放场压实堆放。矿山闭坑后可进行复垦，进行平整，与周边地貌相协调，恢复原有生态环境。</w:t>
            </w:r>
          </w:p>
          <w:p>
            <w:pPr>
              <w:keepNext w:val="0"/>
              <w:keepLines w:val="0"/>
              <w:widowControl/>
              <w:suppressLineNumbers w:val="0"/>
              <w:ind w:left="0" w:leftChars="0" w:firstLine="0" w:firstLineChars="0"/>
              <w:jc w:val="left"/>
              <w:rPr>
                <w:rFonts w:hint="eastAsia"/>
                <w:b/>
                <w:bCs/>
                <w:lang w:val="en-US" w:eastAsia="zh-CN"/>
              </w:rPr>
            </w:pPr>
            <w:r>
              <w:rPr>
                <w:rFonts w:hint="eastAsia"/>
                <w:b/>
                <w:bCs/>
                <w:lang w:val="en-US" w:eastAsia="zh-CN"/>
              </w:rPr>
              <w:t>8.地下水、土壤防治措施</w:t>
            </w:r>
          </w:p>
          <w:p>
            <w:pPr>
              <w:keepNext w:val="0"/>
              <w:keepLines w:val="0"/>
              <w:widowControl/>
              <w:suppressLineNumbers w:val="0"/>
              <w:ind w:left="0" w:leftChars="0" w:firstLine="482" w:firstLineChars="200"/>
              <w:jc w:val="left"/>
              <w:rPr>
                <w:rFonts w:hint="eastAsia"/>
                <w:b/>
                <w:bCs/>
                <w:lang w:val="en-US" w:eastAsia="zh-CN"/>
              </w:rPr>
            </w:pPr>
            <w:r>
              <w:rPr>
                <w:rFonts w:hint="eastAsia"/>
                <w:b/>
                <w:bCs/>
                <w:lang w:val="en-US" w:eastAsia="zh-CN"/>
              </w:rPr>
              <w:t>8.1地下水、土壤污染源及污染途径</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本项目地下水、土壤污染情况见表5-4。</w:t>
            </w:r>
          </w:p>
          <w:p>
            <w:pPr>
              <w:pStyle w:val="4"/>
              <w:numPr>
                <w:ilvl w:val="1"/>
                <w:numId w:val="0"/>
              </w:numPr>
              <w:ind w:leftChars="0"/>
              <w:jc w:val="center"/>
              <w:rPr>
                <w:rFonts w:hint="eastAsia"/>
                <w:color w:val="auto"/>
                <w:sz w:val="21"/>
                <w:szCs w:val="21"/>
                <w:lang w:val="en-US" w:eastAsia="zh-CN"/>
              </w:rPr>
            </w:pPr>
            <w:r>
              <w:rPr>
                <w:rFonts w:hint="eastAsia"/>
                <w:color w:val="auto"/>
                <w:sz w:val="21"/>
                <w:szCs w:val="21"/>
                <w:highlight w:val="none"/>
                <w:lang w:val="en-US" w:eastAsia="zh-CN"/>
              </w:rPr>
              <w:t>表5-4    地下水</w:t>
            </w:r>
            <w:r>
              <w:rPr>
                <w:rFonts w:hint="eastAsia"/>
                <w:color w:val="auto"/>
                <w:sz w:val="21"/>
                <w:szCs w:val="21"/>
                <w:lang w:val="en-US" w:eastAsia="zh-CN"/>
              </w:rPr>
              <w:t>、土壤环境影响因子识别表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8"/>
              <w:gridCol w:w="1871"/>
              <w:gridCol w:w="1871"/>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val="0"/>
                      <w:color w:val="auto"/>
                      <w:spacing w:val="-10"/>
                      <w:sz w:val="21"/>
                      <w:szCs w:val="21"/>
                      <w:vertAlign w:val="baseline"/>
                      <w:lang w:val="en-US" w:eastAsia="zh-CN"/>
                    </w:rPr>
                  </w:pPr>
                  <w:r>
                    <w:rPr>
                      <w:rFonts w:hint="eastAsia" w:ascii="Times New Roman" w:hAnsi="Times New Roman" w:eastAsia="宋体" w:cs="Times New Roman"/>
                      <w:b/>
                      <w:bCs w:val="0"/>
                      <w:color w:val="auto"/>
                      <w:spacing w:val="-10"/>
                      <w:sz w:val="21"/>
                      <w:szCs w:val="21"/>
                      <w:vertAlign w:val="baseline"/>
                      <w:lang w:val="en-US" w:eastAsia="zh-CN"/>
                    </w:rPr>
                    <w:t>污染源</w:t>
                  </w:r>
                </w:p>
              </w:tc>
              <w:tc>
                <w:tcPr>
                  <w:tcW w:w="125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val="0"/>
                      <w:color w:val="auto"/>
                      <w:spacing w:val="-10"/>
                      <w:sz w:val="21"/>
                      <w:szCs w:val="21"/>
                      <w:vertAlign w:val="baseline"/>
                      <w:lang w:val="en-US" w:eastAsia="zh-CN"/>
                    </w:rPr>
                  </w:pPr>
                  <w:r>
                    <w:rPr>
                      <w:rFonts w:hint="eastAsia" w:ascii="Times New Roman" w:hAnsi="Times New Roman" w:eastAsia="宋体" w:cs="Times New Roman"/>
                      <w:b/>
                      <w:bCs w:val="0"/>
                      <w:color w:val="auto"/>
                      <w:spacing w:val="-10"/>
                      <w:sz w:val="21"/>
                      <w:szCs w:val="21"/>
                      <w:vertAlign w:val="baseline"/>
                      <w:lang w:val="en-US" w:eastAsia="zh-CN"/>
                    </w:rPr>
                    <w:t>污染物类型</w:t>
                  </w:r>
                </w:p>
              </w:tc>
              <w:tc>
                <w:tcPr>
                  <w:tcW w:w="125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val="0"/>
                      <w:color w:val="auto"/>
                      <w:spacing w:val="-10"/>
                      <w:sz w:val="21"/>
                      <w:szCs w:val="21"/>
                      <w:vertAlign w:val="baseline"/>
                      <w:lang w:val="en-US" w:eastAsia="zh-CN"/>
                    </w:rPr>
                  </w:pPr>
                  <w:r>
                    <w:rPr>
                      <w:rFonts w:hint="eastAsia" w:ascii="Times New Roman" w:hAnsi="Times New Roman" w:eastAsia="宋体" w:cs="Times New Roman"/>
                      <w:b/>
                      <w:bCs w:val="0"/>
                      <w:color w:val="auto"/>
                      <w:spacing w:val="-10"/>
                      <w:sz w:val="21"/>
                      <w:szCs w:val="21"/>
                      <w:vertAlign w:val="baseline"/>
                      <w:lang w:val="en-US" w:eastAsia="zh-CN"/>
                    </w:rPr>
                    <w:t>污染途径</w:t>
                  </w:r>
                </w:p>
              </w:tc>
              <w:tc>
                <w:tcPr>
                  <w:tcW w:w="125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val="0"/>
                      <w:color w:val="auto"/>
                      <w:spacing w:val="-10"/>
                      <w:sz w:val="21"/>
                      <w:szCs w:val="21"/>
                      <w:vertAlign w:val="baseline"/>
                      <w:lang w:val="en-US" w:eastAsia="zh-CN"/>
                    </w:rPr>
                  </w:pPr>
                  <w:r>
                    <w:rPr>
                      <w:rFonts w:hint="eastAsia" w:ascii="Times New Roman" w:hAnsi="Times New Roman" w:eastAsia="宋体" w:cs="Times New Roman"/>
                      <w:b/>
                      <w:bCs w:val="0"/>
                      <w:color w:val="auto"/>
                      <w:spacing w:val="-1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10"/>
                      <w:sz w:val="21"/>
                      <w:szCs w:val="21"/>
                      <w:vertAlign w:val="baseline"/>
                      <w:lang w:val="en-US" w:eastAsia="zh-CN"/>
                    </w:rPr>
                  </w:pPr>
                  <w:r>
                    <w:rPr>
                      <w:rFonts w:hint="eastAsia" w:ascii="Times New Roman" w:hAnsi="Times New Roman" w:eastAsia="宋体" w:cs="Times New Roman"/>
                      <w:bCs/>
                      <w:color w:val="auto"/>
                      <w:spacing w:val="-10"/>
                      <w:sz w:val="21"/>
                      <w:szCs w:val="21"/>
                      <w:vertAlign w:val="baseline"/>
                      <w:lang w:val="en-US" w:eastAsia="zh-CN"/>
                    </w:rPr>
                    <w:t>危废暂存间</w:t>
                  </w:r>
                </w:p>
              </w:tc>
              <w:tc>
                <w:tcPr>
                  <w:tcW w:w="125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10"/>
                      <w:sz w:val="21"/>
                      <w:szCs w:val="21"/>
                      <w:vertAlign w:val="baseline"/>
                      <w:lang w:val="en-US" w:eastAsia="zh-CN"/>
                    </w:rPr>
                  </w:pPr>
                  <w:r>
                    <w:rPr>
                      <w:rFonts w:hint="eastAsia" w:ascii="Times New Roman" w:hAnsi="Times New Roman" w:eastAsia="宋体" w:cs="Times New Roman"/>
                      <w:bCs/>
                      <w:color w:val="auto"/>
                      <w:spacing w:val="-10"/>
                      <w:sz w:val="21"/>
                      <w:szCs w:val="21"/>
                      <w:vertAlign w:val="baseline"/>
                      <w:lang w:val="en-US" w:eastAsia="zh-CN"/>
                    </w:rPr>
                    <w:t>危险废物</w:t>
                  </w:r>
                </w:p>
              </w:tc>
              <w:tc>
                <w:tcPr>
                  <w:tcW w:w="125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垂直入渗</w:t>
                  </w:r>
                </w:p>
              </w:tc>
              <w:tc>
                <w:tcPr>
                  <w:tcW w:w="125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10"/>
                      <w:sz w:val="21"/>
                      <w:szCs w:val="21"/>
                      <w:vertAlign w:val="baseline"/>
                      <w:lang w:val="en-US" w:eastAsia="zh-CN"/>
                    </w:rPr>
                  </w:pPr>
                  <w:r>
                    <w:rPr>
                      <w:rFonts w:hint="eastAsia" w:ascii="Times New Roman" w:hAnsi="Times New Roman" w:eastAsia="宋体" w:cs="Times New Roman"/>
                      <w:bCs/>
                      <w:color w:val="auto"/>
                      <w:spacing w:val="-10"/>
                      <w:sz w:val="21"/>
                      <w:szCs w:val="21"/>
                      <w:vertAlign w:val="baseline"/>
                      <w:lang w:val="en-US" w:eastAsia="zh-CN"/>
                    </w:rPr>
                    <w:t>事故状态渗漏</w:t>
                  </w:r>
                </w:p>
              </w:tc>
            </w:tr>
          </w:tbl>
          <w:p>
            <w:pPr>
              <w:keepNext w:val="0"/>
              <w:keepLines w:val="0"/>
              <w:widowControl/>
              <w:suppressLineNumbers w:val="0"/>
              <w:ind w:left="0" w:leftChars="0" w:firstLine="482" w:firstLineChars="200"/>
              <w:jc w:val="left"/>
              <w:rPr>
                <w:rFonts w:hint="eastAsia"/>
                <w:b/>
                <w:bCs/>
                <w:lang w:val="en-US" w:eastAsia="zh-CN"/>
              </w:rPr>
            </w:pPr>
            <w:r>
              <w:rPr>
                <w:rFonts w:hint="eastAsia"/>
                <w:b/>
                <w:bCs/>
                <w:lang w:val="en-US" w:eastAsia="zh-CN"/>
              </w:rPr>
              <w:t>8.2防控措施</w:t>
            </w:r>
          </w:p>
          <w:p>
            <w:pPr>
              <w:keepNext w:val="0"/>
              <w:keepLines w:val="0"/>
              <w:widowControl/>
              <w:suppressLineNumbers w:val="0"/>
              <w:ind w:left="0" w:leftChars="0" w:firstLine="480" w:firstLineChars="200"/>
              <w:jc w:val="left"/>
              <w:rPr>
                <w:rFonts w:hint="eastAsia"/>
                <w:b w:val="0"/>
                <w:bCs w:val="0"/>
                <w:lang w:val="en-US" w:eastAsia="zh-CN"/>
              </w:rPr>
            </w:pPr>
            <w:r>
              <w:rPr>
                <w:rFonts w:hint="eastAsia"/>
                <w:b w:val="0"/>
                <w:bCs w:val="0"/>
                <w:lang w:val="en-US" w:eastAsia="zh-CN"/>
              </w:rPr>
              <w:t>为有效预防地下水及土壤污染，本项目采取分区防渗措施。结合本项目工艺特点，本项目重点防渗区为危险废物暂存间，根据《环境影响评价技术导则地下水环境》中对重点防渗区的“等效黏土层≥6.0米、渗透系数小1.0×10-10厘米/秒”的防渗要求，污水处理设施区域、沉淀池、生活区为一般防渗，主要进行一般地面硬化措施。在抗渗混凝土面层（包括钢筋混凝土、钢纤维混凝土）中掺水泥基渗透结晶型防水剂，其下铺砌砂石基层，原土夯实达到防渗的目的；运输道路为简单防渗，进行地面硬化。</w:t>
            </w:r>
          </w:p>
          <w:p>
            <w:pPr>
              <w:keepNext w:val="0"/>
              <w:keepLines w:val="0"/>
              <w:widowControl/>
              <w:suppressLineNumbers w:val="0"/>
              <w:ind w:left="0" w:leftChars="0" w:firstLine="0" w:firstLineChars="0"/>
              <w:jc w:val="left"/>
              <w:rPr>
                <w:rFonts w:hint="default"/>
                <w:b/>
                <w:bCs/>
                <w:lang w:val="en-US" w:eastAsia="zh-CN"/>
              </w:rPr>
            </w:pPr>
            <w:r>
              <w:rPr>
                <w:rFonts w:hint="eastAsia"/>
                <w:b/>
                <w:bCs/>
                <w:lang w:val="en-US" w:eastAsia="zh-CN"/>
              </w:rPr>
              <w:t>9.</w:t>
            </w:r>
            <w:r>
              <w:rPr>
                <w:rFonts w:hint="default"/>
                <w:b/>
                <w:bCs/>
                <w:lang w:val="en-US" w:eastAsia="zh-CN"/>
              </w:rPr>
              <w:t>风险防范措施</w:t>
            </w:r>
          </w:p>
          <w:p>
            <w:pPr>
              <w:keepNext w:val="0"/>
              <w:keepLines w:val="0"/>
              <w:widowControl/>
              <w:suppressLineNumbers w:val="0"/>
              <w:ind w:left="0" w:leftChars="0" w:firstLine="482" w:firstLineChars="200"/>
              <w:jc w:val="left"/>
              <w:rPr>
                <w:rFonts w:hint="default" w:ascii="Times New Roman" w:hAnsi="Times New Roman" w:eastAsia="宋体"/>
                <w:b/>
                <w:bCs/>
                <w:lang w:val="en-US" w:eastAsia="zh-CN"/>
              </w:rPr>
            </w:pPr>
            <w:r>
              <w:rPr>
                <w:rFonts w:hint="eastAsia" w:ascii="Times New Roman" w:hAnsi="Times New Roman" w:eastAsia="宋体"/>
                <w:b/>
                <w:bCs/>
                <w:lang w:val="en-US" w:eastAsia="zh-CN"/>
              </w:rPr>
              <w:t>9</w:t>
            </w:r>
            <w:r>
              <w:rPr>
                <w:rFonts w:hint="default" w:ascii="Times New Roman" w:hAnsi="Times New Roman" w:eastAsia="宋体"/>
                <w:b/>
                <w:bCs/>
                <w:lang w:val="en-US" w:eastAsia="zh-CN"/>
              </w:rPr>
              <w:t>.1风险调查</w:t>
            </w: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参照《建设项目环境风险评价技术导则》(HJ/T169-2018)，本项目不涉及高温、高压、易燃易爆工艺，项目所在地不属于环境敏感地区；项目营运期的废气主要为TSP，危险废物为废</w:t>
            </w:r>
            <w:r>
              <w:rPr>
                <w:rFonts w:hint="eastAsia" w:ascii="Times New Roman" w:hAnsi="Times New Roman" w:eastAsia="宋体"/>
                <w:b w:val="0"/>
                <w:bCs w:val="0"/>
                <w:lang w:val="en-US" w:eastAsia="zh-CN"/>
              </w:rPr>
              <w:t>机</w:t>
            </w:r>
            <w:r>
              <w:rPr>
                <w:rFonts w:hint="default" w:ascii="Times New Roman" w:hAnsi="Times New Roman" w:eastAsia="宋体"/>
                <w:b w:val="0"/>
                <w:bCs w:val="0"/>
                <w:lang w:val="en-US" w:eastAsia="zh-CN"/>
              </w:rPr>
              <w:t>油，地质灾害风险为堆场、采场滑坡。本项目不设置柴油储罐，采用罐车拉运方式。</w:t>
            </w: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因此项目涉及危险物质为废</w:t>
            </w:r>
            <w:r>
              <w:rPr>
                <w:rFonts w:hint="eastAsia" w:ascii="Times New Roman" w:hAnsi="Times New Roman" w:eastAsia="宋体"/>
                <w:b w:val="0"/>
                <w:bCs w:val="0"/>
                <w:lang w:val="en-US" w:eastAsia="zh-CN"/>
              </w:rPr>
              <w:t>机</w:t>
            </w:r>
            <w:r>
              <w:rPr>
                <w:rFonts w:hint="default" w:ascii="Times New Roman" w:hAnsi="Times New Roman" w:eastAsia="宋体"/>
                <w:b w:val="0"/>
                <w:bCs w:val="0"/>
                <w:lang w:val="en-US" w:eastAsia="zh-CN"/>
              </w:rPr>
              <w:t>油，可能发生的环境风险事故为矿山地质灾害、地面塌陷事故及废石临时堆场垮塌滑坡等事故，对事故区域及下游环境质量及人员健康安全产生的影响。</w:t>
            </w:r>
          </w:p>
          <w:p>
            <w:pPr>
              <w:keepNext w:val="0"/>
              <w:keepLines w:val="0"/>
              <w:widowControl/>
              <w:suppressLineNumbers w:val="0"/>
              <w:ind w:left="0" w:leftChars="0" w:firstLine="482" w:firstLineChars="200"/>
              <w:jc w:val="left"/>
              <w:rPr>
                <w:rFonts w:hint="default" w:ascii="Times New Roman" w:hAnsi="Times New Roman" w:eastAsia="宋体"/>
                <w:b/>
                <w:bCs/>
                <w:lang w:val="en-US" w:eastAsia="zh-CN"/>
              </w:rPr>
            </w:pPr>
            <w:r>
              <w:rPr>
                <w:rFonts w:hint="eastAsia" w:ascii="Times New Roman" w:hAnsi="Times New Roman" w:eastAsia="宋体"/>
                <w:b/>
                <w:bCs/>
                <w:lang w:val="en-US" w:eastAsia="zh-CN"/>
              </w:rPr>
              <w:t>9</w:t>
            </w:r>
            <w:r>
              <w:rPr>
                <w:rFonts w:hint="default" w:ascii="Times New Roman" w:hAnsi="Times New Roman" w:eastAsia="宋体"/>
                <w:b/>
                <w:bCs/>
                <w:lang w:val="en-US" w:eastAsia="zh-CN"/>
              </w:rPr>
              <w:t>.2环境风险潜势初判与评价等级划分</w:t>
            </w: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（1）环境风险潜势初判</w:t>
            </w: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计算所涉及的每种环境风险物质在厂界内的最大存在总量（如存在总量呈动态变化，则按公历年度内某一天最大存在总量计算；在不同厂区的同一种物质，按其在厂界内的最大存在总量计算）与其在附录B中对应的临界量的比值Q：当企业只涉及一种环境危险物质时，计算该物质的总数量与其临界量比值，即为Q；</w:t>
            </w: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当企业存在多种环境危险物质时，则按下式计算物质总量与其临界量比值：</w:t>
            </w: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按照《建设项目环境风险评价技术导则》（HJ169-2018）附录B，结合各种物质的理化性质及毒理毒性，可识别出本项目的危险物质及临界量。根据下式计算危险物质及临界量的比值Q：</w:t>
            </w: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drawing>
                <wp:anchor distT="0" distB="0" distL="114300" distR="114300" simplePos="0" relativeHeight="251667456" behindDoc="1" locked="0" layoutInCell="1" allowOverlap="1">
                  <wp:simplePos x="0" y="0"/>
                  <wp:positionH relativeFrom="column">
                    <wp:posOffset>1431925</wp:posOffset>
                  </wp:positionH>
                  <wp:positionV relativeFrom="paragraph">
                    <wp:posOffset>106680</wp:posOffset>
                  </wp:positionV>
                  <wp:extent cx="1833880" cy="625475"/>
                  <wp:effectExtent l="0" t="0" r="13970" b="3175"/>
                  <wp:wrapNone/>
                  <wp:docPr id="43" name="图片 2" descr="wps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 descr="wps13"/>
                          <pic:cNvPicPr>
                            <a:picLocks noChangeAspect="1"/>
                          </pic:cNvPicPr>
                        </pic:nvPicPr>
                        <pic:blipFill>
                          <a:blip r:embed="rId16"/>
                          <a:stretch>
                            <a:fillRect/>
                          </a:stretch>
                        </pic:blipFill>
                        <pic:spPr>
                          <a:xfrm>
                            <a:off x="0" y="0"/>
                            <a:ext cx="1833880" cy="625475"/>
                          </a:xfrm>
                          <a:prstGeom prst="rect">
                            <a:avLst/>
                          </a:prstGeom>
                          <a:noFill/>
                          <a:ln>
                            <a:noFill/>
                          </a:ln>
                        </pic:spPr>
                      </pic:pic>
                    </a:graphicData>
                  </a:graphic>
                </wp:anchor>
              </w:drawing>
            </w: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式中：qi，q2，…，qn——每种危险物质的最大存在总量，吨；</w:t>
            </w: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Qi，Q2，…，Qn</w:t>
            </w:r>
            <w:r>
              <w:rPr>
                <w:rFonts w:hint="default" w:ascii="Times New Roman" w:hAnsi="Times New Roman" w:eastAsia="宋体"/>
                <w:b w:val="0"/>
                <w:bCs w:val="0"/>
                <w:lang w:val="en-US" w:eastAsia="zh-CN"/>
              </w:rPr>
              <w:tab/>
            </w:r>
            <w:r>
              <w:rPr>
                <w:rFonts w:hint="default" w:ascii="Times New Roman" w:hAnsi="Times New Roman" w:eastAsia="宋体"/>
                <w:b w:val="0"/>
                <w:bCs w:val="0"/>
                <w:lang w:val="en-US" w:eastAsia="zh-CN"/>
              </w:rPr>
              <w:t>每种危险物质的临界量，吨。</w:t>
            </w: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当Q＜1时，该项目环境风险潜势为Ⅰ。</w:t>
            </w: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当Q≥1时，将Q值划分为：</w:t>
            </w: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（1）1≤Q＜10；（2）10≤Q＜100；（3）Q≥100。</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val="0"/>
                <w:color w:val="auto"/>
                <w:spacing w:val="10"/>
                <w:sz w:val="21"/>
                <w:szCs w:val="21"/>
                <w:lang w:val="en-US" w:eastAsia="zh-CN"/>
              </w:rPr>
            </w:pPr>
            <w:r>
              <w:rPr>
                <w:rFonts w:hint="default" w:ascii="Times New Roman" w:hAnsi="Times New Roman" w:eastAsia="宋体" w:cs="Times New Roman"/>
                <w:b/>
                <w:bCs w:val="0"/>
                <w:color w:val="auto"/>
                <w:spacing w:val="10"/>
                <w:sz w:val="21"/>
                <w:szCs w:val="21"/>
                <w:lang w:val="en-US" w:eastAsia="zh-CN"/>
              </w:rPr>
              <w:t>表5-</w:t>
            </w:r>
            <w:r>
              <w:rPr>
                <w:rFonts w:hint="eastAsia" w:cs="Times New Roman"/>
                <w:b/>
                <w:bCs w:val="0"/>
                <w:color w:val="auto"/>
                <w:spacing w:val="10"/>
                <w:sz w:val="21"/>
                <w:szCs w:val="21"/>
                <w:lang w:val="en-US" w:eastAsia="zh-CN"/>
              </w:rPr>
              <w:t>5</w:t>
            </w:r>
            <w:r>
              <w:rPr>
                <w:rFonts w:hint="eastAsia" w:ascii="Times New Roman" w:hAnsi="Times New Roman" w:eastAsia="宋体" w:cs="Times New Roman"/>
                <w:b/>
                <w:bCs w:val="0"/>
                <w:color w:val="auto"/>
                <w:spacing w:val="10"/>
                <w:sz w:val="21"/>
                <w:szCs w:val="21"/>
                <w:lang w:val="en-US" w:eastAsia="zh-CN"/>
              </w:rPr>
              <w:t xml:space="preserve">   </w:t>
            </w:r>
            <w:r>
              <w:rPr>
                <w:rFonts w:hint="default" w:ascii="Times New Roman" w:hAnsi="Times New Roman" w:eastAsia="宋体" w:cs="Times New Roman"/>
                <w:b/>
                <w:bCs w:val="0"/>
                <w:color w:val="auto"/>
                <w:spacing w:val="10"/>
                <w:sz w:val="21"/>
                <w:szCs w:val="21"/>
                <w:lang w:val="en-US" w:eastAsia="zh-CN"/>
              </w:rPr>
              <w:t>风险物质最大存在量与临界值表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297"/>
              <w:gridCol w:w="2652"/>
              <w:gridCol w:w="1305"/>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bCs/>
                      <w:color w:val="auto"/>
                      <w:spacing w:val="10"/>
                      <w:sz w:val="21"/>
                      <w:szCs w:val="21"/>
                      <w:vertAlign w:val="baseline"/>
                      <w:lang w:eastAsia="zh-CN"/>
                    </w:rPr>
                  </w:pPr>
                  <w:r>
                    <w:rPr>
                      <w:rFonts w:hint="default" w:ascii="Times New Roman" w:hAnsi="Times New Roman" w:eastAsia="宋体" w:cs="Times New Roman"/>
                      <w:b/>
                      <w:bCs/>
                      <w:color w:val="auto"/>
                      <w:spacing w:val="10"/>
                      <w:sz w:val="21"/>
                      <w:szCs w:val="21"/>
                      <w:vertAlign w:val="baseline"/>
                      <w:lang w:eastAsia="zh-CN"/>
                    </w:rPr>
                    <w:t>序号</w:t>
                  </w:r>
                </w:p>
              </w:tc>
              <w:tc>
                <w:tcPr>
                  <w:tcW w:w="1372" w:type="dxa"/>
                  <w:vAlign w:val="top"/>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auto"/>
                      <w:spacing w:val="10"/>
                      <w:sz w:val="21"/>
                      <w:szCs w:val="21"/>
                      <w:vertAlign w:val="baseline"/>
                      <w:lang w:val="en-US" w:eastAsia="zh-CN"/>
                    </w:rPr>
                  </w:pPr>
                  <w:r>
                    <w:rPr>
                      <w:rFonts w:hint="default" w:ascii="Times New Roman" w:hAnsi="Times New Roman" w:eastAsia="宋体" w:cs="Times New Roman"/>
                      <w:b/>
                      <w:bCs/>
                      <w:color w:val="auto"/>
                      <w:spacing w:val="3"/>
                      <w:sz w:val="21"/>
                      <w:szCs w:val="21"/>
                    </w:rPr>
                    <w:t>名称</w:t>
                  </w:r>
                </w:p>
              </w:tc>
              <w:tc>
                <w:tcPr>
                  <w:tcW w:w="2818"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bCs/>
                      <w:color w:val="auto"/>
                      <w:spacing w:val="10"/>
                      <w:kern w:val="2"/>
                      <w:sz w:val="21"/>
                      <w:szCs w:val="21"/>
                      <w:vertAlign w:val="baseline"/>
                      <w:lang w:val="en-US" w:eastAsia="zh-CN" w:bidi="ar-SA"/>
                    </w:rPr>
                  </w:pPr>
                  <w:r>
                    <w:rPr>
                      <w:rFonts w:hint="default" w:ascii="Times New Roman" w:hAnsi="Times New Roman" w:eastAsia="宋体" w:cs="Times New Roman"/>
                      <w:b/>
                      <w:bCs/>
                      <w:color w:val="auto"/>
                      <w:spacing w:val="10"/>
                      <w:sz w:val="21"/>
                      <w:szCs w:val="21"/>
                      <w:vertAlign w:val="baseline"/>
                      <w:lang w:eastAsia="zh-CN"/>
                    </w:rPr>
                    <w:t>风险物质最大存在量（</w:t>
                  </w:r>
                  <w:r>
                    <w:rPr>
                      <w:rFonts w:hint="default" w:ascii="Times New Roman" w:hAnsi="Times New Roman" w:eastAsia="宋体" w:cs="Times New Roman"/>
                      <w:b/>
                      <w:bCs/>
                      <w:color w:val="auto"/>
                      <w:spacing w:val="10"/>
                      <w:sz w:val="21"/>
                      <w:szCs w:val="21"/>
                      <w:vertAlign w:val="baseline"/>
                      <w:lang w:val="en-US" w:eastAsia="zh-CN"/>
                    </w:rPr>
                    <w:t>t</w:t>
                  </w:r>
                  <w:r>
                    <w:rPr>
                      <w:rFonts w:hint="default" w:ascii="Times New Roman" w:hAnsi="Times New Roman" w:eastAsia="宋体" w:cs="Times New Roman"/>
                      <w:b/>
                      <w:bCs/>
                      <w:color w:val="auto"/>
                      <w:spacing w:val="10"/>
                      <w:sz w:val="21"/>
                      <w:szCs w:val="21"/>
                      <w:vertAlign w:val="baseline"/>
                      <w:lang w:eastAsia="zh-CN"/>
                    </w:rPr>
                    <w:t>）</w:t>
                  </w:r>
                </w:p>
              </w:tc>
              <w:tc>
                <w:tcPr>
                  <w:tcW w:w="136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bCs/>
                      <w:color w:val="auto"/>
                      <w:spacing w:val="10"/>
                      <w:kern w:val="2"/>
                      <w:sz w:val="21"/>
                      <w:szCs w:val="21"/>
                      <w:vertAlign w:val="baseline"/>
                      <w:lang w:val="en-US" w:eastAsia="zh-CN" w:bidi="ar-SA"/>
                    </w:rPr>
                  </w:pPr>
                  <w:r>
                    <w:rPr>
                      <w:rFonts w:hint="default" w:ascii="Times New Roman" w:hAnsi="Times New Roman" w:eastAsia="宋体" w:cs="Times New Roman"/>
                      <w:b/>
                      <w:bCs/>
                      <w:color w:val="auto"/>
                      <w:spacing w:val="10"/>
                      <w:sz w:val="21"/>
                      <w:szCs w:val="21"/>
                      <w:vertAlign w:val="baseline"/>
                      <w:lang w:eastAsia="zh-CN"/>
                    </w:rPr>
                    <w:t>临界量</w:t>
                  </w:r>
                </w:p>
              </w:tc>
              <w:tc>
                <w:tcPr>
                  <w:tcW w:w="1400" w:type="dxa"/>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bCs/>
                      <w:color w:val="auto"/>
                      <w:spacing w:val="10"/>
                      <w:sz w:val="21"/>
                      <w:szCs w:val="21"/>
                      <w:vertAlign w:val="baseline"/>
                      <w:lang w:val="en-US" w:eastAsia="zh-CN"/>
                    </w:rPr>
                  </w:pPr>
                  <w:r>
                    <w:rPr>
                      <w:rFonts w:hint="default" w:ascii="Times New Roman" w:hAnsi="Times New Roman" w:eastAsia="宋体" w:cs="Times New Roman"/>
                      <w:b/>
                      <w:bCs/>
                      <w:color w:val="auto"/>
                      <w:spacing w:val="10"/>
                      <w:sz w:val="21"/>
                      <w:szCs w:val="21"/>
                      <w:vertAlign w:val="baseline"/>
                      <w:lang w:val="en-US" w:eastAsia="zh-CN"/>
                    </w:rPr>
                    <w:t>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bCs w:val="0"/>
                      <w:color w:val="auto"/>
                      <w:spacing w:val="10"/>
                      <w:sz w:val="21"/>
                      <w:szCs w:val="21"/>
                      <w:vertAlign w:val="baseline"/>
                      <w:lang w:val="en-US" w:eastAsia="zh-CN"/>
                    </w:rPr>
                  </w:pPr>
                  <w:r>
                    <w:rPr>
                      <w:rFonts w:hint="default" w:ascii="Times New Roman" w:hAnsi="Times New Roman" w:eastAsia="宋体" w:cs="Times New Roman"/>
                      <w:b w:val="0"/>
                      <w:bCs w:val="0"/>
                      <w:color w:val="auto"/>
                      <w:spacing w:val="10"/>
                      <w:sz w:val="21"/>
                      <w:szCs w:val="21"/>
                      <w:vertAlign w:val="baseline"/>
                      <w:lang w:val="en-US" w:eastAsia="zh-CN"/>
                    </w:rPr>
                    <w:t>1</w:t>
                  </w:r>
                </w:p>
              </w:tc>
              <w:tc>
                <w:tcPr>
                  <w:tcW w:w="1372" w:type="dxa"/>
                  <w:vAlign w:val="top"/>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val="0"/>
                      <w:color w:val="auto"/>
                      <w:spacing w:val="10"/>
                      <w:sz w:val="21"/>
                      <w:szCs w:val="21"/>
                      <w:vertAlign w:val="baseline"/>
                    </w:rPr>
                  </w:pPr>
                  <w:r>
                    <w:rPr>
                      <w:rFonts w:hint="default" w:ascii="Times New Roman" w:hAnsi="Times New Roman" w:eastAsia="宋体" w:cs="Times New Roman"/>
                      <w:b w:val="0"/>
                      <w:bCs w:val="0"/>
                      <w:color w:val="auto"/>
                      <w:spacing w:val="7"/>
                      <w:sz w:val="21"/>
                      <w:szCs w:val="21"/>
                    </w:rPr>
                    <w:t>废</w:t>
                  </w:r>
                  <w:r>
                    <w:rPr>
                      <w:rFonts w:hint="eastAsia" w:ascii="Times New Roman" w:hAnsi="Times New Roman" w:eastAsia="宋体" w:cs="Times New Roman"/>
                      <w:b w:val="0"/>
                      <w:bCs w:val="0"/>
                      <w:color w:val="auto"/>
                      <w:spacing w:val="7"/>
                      <w:sz w:val="21"/>
                      <w:szCs w:val="21"/>
                      <w:lang w:eastAsia="zh-CN"/>
                    </w:rPr>
                    <w:t>机</w:t>
                  </w:r>
                  <w:r>
                    <w:rPr>
                      <w:rFonts w:hint="default" w:ascii="Times New Roman" w:hAnsi="Times New Roman" w:eastAsia="宋体" w:cs="Times New Roman"/>
                      <w:b w:val="0"/>
                      <w:bCs w:val="0"/>
                      <w:color w:val="auto"/>
                      <w:spacing w:val="7"/>
                      <w:sz w:val="21"/>
                      <w:szCs w:val="21"/>
                    </w:rPr>
                    <w:t>油</w:t>
                  </w:r>
                </w:p>
              </w:tc>
              <w:tc>
                <w:tcPr>
                  <w:tcW w:w="2818" w:type="dxa"/>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bCs w:val="0"/>
                      <w:color w:val="auto"/>
                      <w:spacing w:val="10"/>
                      <w:sz w:val="21"/>
                      <w:szCs w:val="21"/>
                      <w:vertAlign w:val="baseline"/>
                      <w:lang w:val="en-US" w:eastAsia="zh-CN"/>
                    </w:rPr>
                  </w:pPr>
                  <w:r>
                    <w:rPr>
                      <w:rFonts w:hint="default" w:ascii="Times New Roman" w:hAnsi="Times New Roman" w:eastAsia="宋体" w:cs="Times New Roman"/>
                      <w:b w:val="0"/>
                      <w:bCs w:val="0"/>
                      <w:color w:val="auto"/>
                      <w:spacing w:val="10"/>
                      <w:sz w:val="21"/>
                      <w:szCs w:val="21"/>
                      <w:vertAlign w:val="baseline"/>
                      <w:lang w:val="en-US" w:eastAsia="zh-CN"/>
                    </w:rPr>
                    <w:t>0.2</w:t>
                  </w:r>
                </w:p>
              </w:tc>
              <w:tc>
                <w:tcPr>
                  <w:tcW w:w="1360" w:type="dxa"/>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bCs w:val="0"/>
                      <w:color w:val="auto"/>
                      <w:spacing w:val="10"/>
                      <w:sz w:val="21"/>
                      <w:szCs w:val="21"/>
                      <w:vertAlign w:val="baseline"/>
                      <w:lang w:val="en-US" w:eastAsia="zh-CN"/>
                    </w:rPr>
                  </w:pPr>
                  <w:r>
                    <w:rPr>
                      <w:rFonts w:hint="default" w:ascii="Times New Roman" w:hAnsi="Times New Roman" w:eastAsia="宋体" w:cs="Times New Roman"/>
                      <w:b w:val="0"/>
                      <w:bCs w:val="0"/>
                      <w:color w:val="auto"/>
                      <w:spacing w:val="10"/>
                      <w:sz w:val="21"/>
                      <w:szCs w:val="21"/>
                      <w:vertAlign w:val="baseline"/>
                      <w:lang w:val="en-US" w:eastAsia="zh-CN"/>
                    </w:rPr>
                    <w:t>2500</w:t>
                  </w:r>
                </w:p>
              </w:tc>
              <w:tc>
                <w:tcPr>
                  <w:tcW w:w="1400" w:type="dxa"/>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bCs w:val="0"/>
                      <w:color w:val="auto"/>
                      <w:spacing w:val="10"/>
                      <w:sz w:val="21"/>
                      <w:szCs w:val="21"/>
                      <w:vertAlign w:val="baseline"/>
                      <w:lang w:val="en-US" w:eastAsia="zh-CN"/>
                    </w:rPr>
                  </w:pPr>
                  <w:r>
                    <w:rPr>
                      <w:rFonts w:hint="default" w:ascii="Times New Roman" w:hAnsi="Times New Roman" w:eastAsia="宋体" w:cs="Times New Roman"/>
                      <w:b w:val="0"/>
                      <w:bCs w:val="0"/>
                      <w:color w:val="auto"/>
                      <w:spacing w:val="10"/>
                      <w:sz w:val="21"/>
                      <w:szCs w:val="21"/>
                      <w:vertAlign w:val="baseline"/>
                      <w:lang w:val="en-US" w:eastAsia="zh-CN"/>
                    </w:rPr>
                    <w:t>0.000</w:t>
                  </w:r>
                  <w:r>
                    <w:rPr>
                      <w:rFonts w:hint="eastAsia" w:ascii="Times New Roman" w:hAnsi="Times New Roman" w:eastAsia="宋体" w:cs="Times New Roman"/>
                      <w:b w:val="0"/>
                      <w:bCs w:val="0"/>
                      <w:color w:val="auto"/>
                      <w:spacing w:val="10"/>
                      <w:sz w:val="21"/>
                      <w:szCs w:val="21"/>
                      <w:vertAlign w:val="baseline"/>
                      <w:lang w:val="en-US" w:eastAsia="zh-CN"/>
                    </w:rPr>
                    <w:t>08</w:t>
                  </w:r>
                </w:p>
              </w:tc>
            </w:tr>
          </w:tbl>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根据本项目实际情况，计算得Q值为</w:t>
            </w:r>
            <w:r>
              <w:rPr>
                <w:rFonts w:hint="eastAsia" w:ascii="Times New Roman" w:hAnsi="Times New Roman" w:eastAsia="宋体"/>
                <w:b w:val="0"/>
                <w:bCs w:val="0"/>
                <w:lang w:val="en-US" w:eastAsia="zh-CN"/>
              </w:rPr>
              <w:t>0.00008</w:t>
            </w:r>
            <w:r>
              <w:rPr>
                <w:rFonts w:hint="default" w:ascii="Times New Roman" w:hAnsi="Times New Roman" w:eastAsia="宋体"/>
                <w:b w:val="0"/>
                <w:bCs w:val="0"/>
                <w:lang w:val="en-US" w:eastAsia="zh-CN"/>
              </w:rPr>
              <w:t>，Q＜1，确定项目风险潜势为I。</w:t>
            </w: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（2）评价等级划分</w:t>
            </w: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根据《建设项目环境风险评价技术导则》（HJ/T169-2018）确定本项目评价等级，环境风险评价等级划分见表5-</w:t>
            </w:r>
            <w:r>
              <w:rPr>
                <w:rFonts w:hint="eastAsia"/>
                <w:b w:val="0"/>
                <w:bCs w:val="0"/>
                <w:lang w:val="en-US" w:eastAsia="zh-CN"/>
              </w:rPr>
              <w:t>6</w:t>
            </w:r>
            <w:r>
              <w:rPr>
                <w:rFonts w:hint="default" w:ascii="Times New Roman" w:hAnsi="Times New Roman" w:eastAsia="宋体"/>
                <w:b w:val="0"/>
                <w:bCs w:val="0"/>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val="0"/>
                <w:color w:val="auto"/>
                <w:spacing w:val="10"/>
                <w:sz w:val="21"/>
                <w:szCs w:val="21"/>
                <w:lang w:val="en-US" w:eastAsia="zh-CN"/>
              </w:rPr>
            </w:pPr>
            <w:r>
              <w:rPr>
                <w:rFonts w:hint="default" w:ascii="Times New Roman" w:hAnsi="Times New Roman" w:eastAsia="宋体" w:cs="Times New Roman"/>
                <w:b/>
                <w:bCs w:val="0"/>
                <w:color w:val="auto"/>
                <w:spacing w:val="10"/>
                <w:sz w:val="21"/>
                <w:szCs w:val="21"/>
                <w:lang w:val="en-US" w:eastAsia="zh-CN"/>
              </w:rPr>
              <w:t>表5-</w:t>
            </w:r>
            <w:r>
              <w:rPr>
                <w:rFonts w:hint="eastAsia" w:cs="Times New Roman"/>
                <w:b/>
                <w:bCs w:val="0"/>
                <w:color w:val="auto"/>
                <w:spacing w:val="10"/>
                <w:sz w:val="21"/>
                <w:szCs w:val="21"/>
                <w:lang w:val="en-US" w:eastAsia="zh-CN"/>
              </w:rPr>
              <w:t>6</w:t>
            </w:r>
            <w:r>
              <w:rPr>
                <w:rFonts w:hint="eastAsia" w:ascii="Times New Roman" w:hAnsi="Times New Roman" w:eastAsia="宋体" w:cs="Times New Roman"/>
                <w:b/>
                <w:bCs w:val="0"/>
                <w:color w:val="auto"/>
                <w:spacing w:val="10"/>
                <w:sz w:val="21"/>
                <w:szCs w:val="21"/>
                <w:lang w:val="en-US" w:eastAsia="zh-CN"/>
              </w:rPr>
              <w:t xml:space="preserve">  </w:t>
            </w:r>
            <w:r>
              <w:rPr>
                <w:rFonts w:hint="default" w:ascii="Times New Roman" w:hAnsi="Times New Roman" w:eastAsia="宋体" w:cs="Times New Roman"/>
                <w:b/>
                <w:bCs w:val="0"/>
                <w:color w:val="auto"/>
                <w:spacing w:val="10"/>
                <w:sz w:val="21"/>
                <w:szCs w:val="21"/>
                <w:lang w:val="en-US" w:eastAsia="zh-CN"/>
              </w:rPr>
              <w:t>环境风险评价等级划分表</w:t>
            </w:r>
          </w:p>
          <w:tbl>
            <w:tblPr>
              <w:tblStyle w:val="23"/>
              <w:tblW w:w="4998" w:type="pct"/>
              <w:jc w:val="right"/>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 w:type="dxa"/>
                <w:bottom w:w="0" w:type="dxa"/>
                <w:right w:w="10" w:type="dxa"/>
              </w:tblCellMar>
            </w:tblPr>
            <w:tblGrid>
              <w:gridCol w:w="1730"/>
              <w:gridCol w:w="1575"/>
              <w:gridCol w:w="1393"/>
              <w:gridCol w:w="1471"/>
              <w:gridCol w:w="13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40" w:hRule="atLeast"/>
                <w:jc w:val="right"/>
              </w:trPr>
              <w:tc>
                <w:tcPr>
                  <w:tcW w:w="1156" w:type="pct"/>
                  <w:tcBorders>
                    <w:top w:val="single" w:color="auto" w:sz="4" w:space="0"/>
                    <w:left w:val="single" w:color="auto" w:sz="4" w:space="0"/>
                    <w:bottom w:val="nil"/>
                    <w:right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环境风险潜势</w:t>
                  </w:r>
                </w:p>
              </w:tc>
              <w:tc>
                <w:tcPr>
                  <w:tcW w:w="1053" w:type="pct"/>
                  <w:tcBorders>
                    <w:top w:val="single" w:color="auto" w:sz="4" w:space="0"/>
                    <w:left w:val="single" w:color="auto" w:sz="4" w:space="0"/>
                    <w:bottom w:val="nil"/>
                    <w:right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VI、VI+</w:t>
                  </w:r>
                </w:p>
              </w:tc>
              <w:tc>
                <w:tcPr>
                  <w:tcW w:w="931" w:type="pct"/>
                  <w:tcBorders>
                    <w:top w:val="single" w:color="auto" w:sz="4" w:space="0"/>
                    <w:left w:val="single" w:color="auto" w:sz="4" w:space="0"/>
                    <w:bottom w:val="nil"/>
                    <w:right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III</w:t>
                  </w:r>
                </w:p>
              </w:tc>
              <w:tc>
                <w:tcPr>
                  <w:tcW w:w="983" w:type="pct"/>
                  <w:tcBorders>
                    <w:top w:val="single" w:color="auto" w:sz="4" w:space="0"/>
                    <w:left w:val="single" w:color="auto" w:sz="4" w:space="0"/>
                    <w:bottom w:val="nil"/>
                    <w:right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II</w:t>
                  </w:r>
                </w:p>
              </w:tc>
              <w:tc>
                <w:tcPr>
                  <w:tcW w:w="874" w:type="pct"/>
                  <w:tcBorders>
                    <w:top w:val="single" w:color="auto" w:sz="4" w:space="0"/>
                    <w:left w:val="single" w:color="auto" w:sz="4" w:space="0"/>
                    <w:bottom w:val="nil"/>
                    <w:right w:val="single" w:color="auto" w:sz="4" w:space="0"/>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40" w:hRule="atLeast"/>
                <w:jc w:val="right"/>
              </w:trPr>
              <w:tc>
                <w:tcPr>
                  <w:tcW w:w="1156" w:type="pct"/>
                  <w:tcBorders>
                    <w:top w:val="single" w:color="auto" w:sz="4" w:space="0"/>
                    <w:left w:val="single" w:color="auto" w:sz="4" w:space="0"/>
                    <w:bottom w:val="single" w:color="auto" w:sz="4" w:space="0"/>
                    <w:right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环境风险评价等级</w:t>
                  </w:r>
                </w:p>
              </w:tc>
              <w:tc>
                <w:tcPr>
                  <w:tcW w:w="1053" w:type="pct"/>
                  <w:tcBorders>
                    <w:top w:val="single" w:color="auto" w:sz="4" w:space="0"/>
                    <w:left w:val="single" w:color="auto" w:sz="4" w:space="0"/>
                    <w:bottom w:val="single" w:color="auto" w:sz="4" w:space="0"/>
                    <w:right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w:t>
                  </w:r>
                </w:p>
              </w:tc>
              <w:tc>
                <w:tcPr>
                  <w:tcW w:w="931" w:type="pct"/>
                  <w:tcBorders>
                    <w:top w:val="single" w:color="auto" w:sz="4" w:space="0"/>
                    <w:left w:val="single" w:color="auto" w:sz="4" w:space="0"/>
                    <w:bottom w:val="single" w:color="auto" w:sz="4" w:space="0"/>
                    <w:right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w:t>
                  </w:r>
                </w:p>
              </w:tc>
              <w:tc>
                <w:tcPr>
                  <w:tcW w:w="983" w:type="pct"/>
                  <w:tcBorders>
                    <w:top w:val="single" w:color="auto" w:sz="4" w:space="0"/>
                    <w:left w:val="single" w:color="auto" w:sz="4" w:space="0"/>
                    <w:bottom w:val="single" w:color="auto" w:sz="4" w:space="0"/>
                    <w:right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三</w:t>
                  </w:r>
                </w:p>
              </w:tc>
              <w:tc>
                <w:tcPr>
                  <w:tcW w:w="874" w:type="pct"/>
                  <w:tcBorders>
                    <w:top w:val="single" w:color="auto" w:sz="4" w:space="0"/>
                    <w:left w:val="single" w:color="auto" w:sz="4" w:space="0"/>
                    <w:bottom w:val="single" w:color="auto" w:sz="4" w:space="0"/>
                    <w:right w:val="single" w:color="auto" w:sz="4" w:space="0"/>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简单分析</w:t>
                  </w:r>
                  <w:r>
                    <w:rPr>
                      <w:rFonts w:hint="default" w:ascii="Times New Roman" w:hAnsi="Times New Roman" w:eastAsia="宋体" w:cs="Times New Roman"/>
                      <w:color w:val="auto"/>
                      <w:sz w:val="21"/>
                      <w:szCs w:val="21"/>
                      <w:vertAlign w:val="superscript"/>
                      <w:lang w:val="en-US" w:eastAsia="zh-CN"/>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40" w:hRule="atLeast"/>
                <w:jc w:val="right"/>
              </w:trPr>
              <w:tc>
                <w:tcPr>
                  <w:tcW w:w="5000" w:type="pct"/>
                  <w:gridSpan w:val="5"/>
                  <w:tcBorders>
                    <w:top w:val="single" w:color="auto" w:sz="4" w:space="0"/>
                    <w:left w:val="single" w:color="auto" w:sz="4" w:space="0"/>
                    <w:bottom w:val="single" w:color="auto" w:sz="4" w:space="0"/>
                    <w:right w:val="single" w:color="auto" w:sz="4" w:space="0"/>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a</w:t>
                  </w:r>
                  <w:r>
                    <w:rPr>
                      <w:rFonts w:hint="default" w:ascii="Times New Roman" w:hAnsi="Times New Roman" w:eastAsia="宋体" w:cs="Times New Roman"/>
                      <w:color w:val="auto"/>
                      <w:sz w:val="21"/>
                      <w:szCs w:val="21"/>
                    </w:rPr>
                    <w:t>是相对于详细评价工作内容而言，在描述危险物质、环境影响途径、环境危害后果、风险防范措施等方面给出定性的说明。</w:t>
                  </w:r>
                </w:p>
              </w:tc>
            </w:tr>
          </w:tbl>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根据表5-2风险评价工作级别划分依据，环境风险评价工作等级为“简单分析”。</w:t>
            </w: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根据简单分析的要求，本项目在描述危险物质、环境影响途径、环境危害后果、风险防范措施等方面给出定性的说明。</w:t>
            </w: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（3）环境风险识别</w:t>
            </w: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根据《建设项目环境风险评价技术导则》（HJ169-2018）内容，环境风险识别内容如下：</w:t>
            </w: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本工程为砂石料矿开采项目，生产过程中所使用的主要物料不涉及有毒有害危险物质，其所涉及的易燃、易爆物质主要为废矿物油等，存在着</w:t>
            </w: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一定的潜在危险和有害因素。危险特性见表5-</w:t>
            </w:r>
            <w:r>
              <w:rPr>
                <w:rFonts w:hint="eastAsia"/>
                <w:b w:val="0"/>
                <w:bCs w:val="0"/>
                <w:lang w:val="en-US" w:eastAsia="zh-CN"/>
              </w:rPr>
              <w:t>7</w:t>
            </w:r>
            <w:r>
              <w:rPr>
                <w:rFonts w:hint="default" w:ascii="Times New Roman" w:hAnsi="Times New Roman" w:eastAsia="宋体"/>
                <w:b w:val="0"/>
                <w:bCs w:val="0"/>
                <w:lang w:val="en-US" w:eastAsia="zh-CN"/>
              </w:rPr>
              <w:t>。</w:t>
            </w:r>
          </w:p>
          <w:p>
            <w:pPr>
              <w:pStyle w:val="9"/>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default" w:ascii="Times New Roman" w:hAnsi="Times New Roman" w:eastAsia="宋体" w:cs="Times New Roman"/>
                <w:b/>
                <w:bCs w:val="0"/>
                <w:color w:val="auto"/>
                <w:spacing w:val="10"/>
                <w:kern w:val="2"/>
                <w:sz w:val="21"/>
                <w:szCs w:val="21"/>
                <w:lang w:val="en-US" w:eastAsia="zh-CN" w:bidi="ar-SA"/>
              </w:rPr>
            </w:pPr>
            <w:r>
              <w:rPr>
                <w:rFonts w:hint="default" w:ascii="Times New Roman" w:hAnsi="Times New Roman" w:eastAsia="宋体" w:cs="Times New Roman"/>
                <w:b/>
                <w:bCs w:val="0"/>
                <w:color w:val="auto"/>
                <w:spacing w:val="10"/>
                <w:kern w:val="2"/>
                <w:sz w:val="21"/>
                <w:szCs w:val="21"/>
                <w:lang w:val="en-US" w:eastAsia="zh-CN" w:bidi="ar-SA"/>
              </w:rPr>
              <w:t>表5-</w:t>
            </w:r>
            <w:r>
              <w:rPr>
                <w:rFonts w:hint="eastAsia" w:cs="Times New Roman"/>
                <w:b/>
                <w:bCs w:val="0"/>
                <w:color w:val="auto"/>
                <w:spacing w:val="10"/>
                <w:kern w:val="2"/>
                <w:sz w:val="21"/>
                <w:szCs w:val="21"/>
                <w:lang w:val="en-US" w:eastAsia="zh-CN" w:bidi="ar-SA"/>
              </w:rPr>
              <w:t>7</w:t>
            </w:r>
            <w:r>
              <w:rPr>
                <w:rFonts w:hint="eastAsia" w:ascii="Times New Roman" w:hAnsi="Times New Roman" w:eastAsia="宋体" w:cs="Times New Roman"/>
                <w:b/>
                <w:bCs w:val="0"/>
                <w:color w:val="auto"/>
                <w:spacing w:val="10"/>
                <w:kern w:val="2"/>
                <w:sz w:val="21"/>
                <w:szCs w:val="21"/>
                <w:lang w:val="en-US" w:eastAsia="zh-CN" w:bidi="ar-SA"/>
              </w:rPr>
              <w:t xml:space="preserve">  </w:t>
            </w:r>
            <w:r>
              <w:rPr>
                <w:rFonts w:hint="default" w:ascii="Times New Roman" w:hAnsi="Times New Roman" w:eastAsia="宋体" w:cs="Times New Roman"/>
                <w:b/>
                <w:bCs w:val="0"/>
                <w:color w:val="auto"/>
                <w:spacing w:val="10"/>
                <w:kern w:val="2"/>
                <w:sz w:val="21"/>
                <w:szCs w:val="21"/>
                <w:lang w:val="en-US" w:eastAsia="zh-CN" w:bidi="ar-SA"/>
              </w:rPr>
              <w:t>危险特性见表</w:t>
            </w:r>
          </w:p>
          <w:tbl>
            <w:tblPr>
              <w:tblStyle w:val="47"/>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30"/>
              <w:gridCol w:w="799"/>
              <w:gridCol w:w="1847"/>
              <w:gridCol w:w="2603"/>
              <w:gridCol w:w="502"/>
              <w:gridCol w:w="9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554" w:type="pct"/>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危化品名称</w:t>
                  </w:r>
                </w:p>
              </w:tc>
              <w:tc>
                <w:tcPr>
                  <w:tcW w:w="533" w:type="pct"/>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危险性类别</w:t>
                  </w:r>
                </w:p>
              </w:tc>
              <w:tc>
                <w:tcPr>
                  <w:tcW w:w="1232" w:type="pct"/>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理化特性</w:t>
                  </w:r>
                </w:p>
              </w:tc>
              <w:tc>
                <w:tcPr>
                  <w:tcW w:w="1737" w:type="pct"/>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健康危害</w:t>
                  </w:r>
                </w:p>
              </w:tc>
              <w:tc>
                <w:tcPr>
                  <w:tcW w:w="335" w:type="pct"/>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危险特性</w:t>
                  </w:r>
                </w:p>
              </w:tc>
              <w:tc>
                <w:tcPr>
                  <w:tcW w:w="605" w:type="pct"/>
                  <w:tcBorders>
                    <w:right w:val="single" w:color="000000" w:sz="6" w:space="0"/>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主要危险有害因素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jc w:val="center"/>
              </w:trPr>
              <w:tc>
                <w:tcPr>
                  <w:tcW w:w="554" w:type="pct"/>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废机油</w:t>
                  </w:r>
                </w:p>
              </w:tc>
              <w:tc>
                <w:tcPr>
                  <w:tcW w:w="533" w:type="pct"/>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危险废物</w:t>
                  </w:r>
                </w:p>
              </w:tc>
              <w:tc>
                <w:tcPr>
                  <w:tcW w:w="1232" w:type="pct"/>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外观与性状：油状</w:t>
                  </w:r>
                </w:p>
                <w:p>
                  <w:pPr>
                    <w:pStyle w:val="4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液体，淡黄色至褐</w:t>
                  </w:r>
                </w:p>
                <w:p>
                  <w:pPr>
                    <w:pStyle w:val="4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色，无气味或略带</w:t>
                  </w:r>
                </w:p>
                <w:p>
                  <w:pPr>
                    <w:pStyle w:val="4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异味。相对密度</w:t>
                  </w:r>
                </w:p>
                <w:p>
                  <w:pPr>
                    <w:pStyle w:val="4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(水=1)：0.89(纯</w:t>
                  </w:r>
                </w:p>
                <w:p>
                  <w:pPr>
                    <w:pStyle w:val="4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品</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沸点：260℃闪</w:t>
                  </w:r>
                </w:p>
                <w:p>
                  <w:pPr>
                    <w:pStyle w:val="4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点：76℃</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自燃点；</w:t>
                  </w:r>
                </w:p>
                <w:p>
                  <w:pPr>
                    <w:pStyle w:val="4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248℃</w:t>
                  </w:r>
                </w:p>
              </w:tc>
              <w:tc>
                <w:tcPr>
                  <w:tcW w:w="1737" w:type="pct"/>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急性吸入，可出现乏力、头晕、头痛、恶心，严重者可引起油脂性肺炎。慢接触者，暴露部位可发生油性痤疮和接触性皮炎。可引起神经衰弱综合征，呼吸道和眼刺激症状及慢性油脂性肺炎。有资料报道，接触石油润滑油类的工人，有致癌的病例报告</w:t>
                  </w:r>
                </w:p>
              </w:tc>
              <w:tc>
                <w:tcPr>
                  <w:tcW w:w="335" w:type="pct"/>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遇明</w:t>
                  </w:r>
                </w:p>
                <w:p>
                  <w:pPr>
                    <w:pStyle w:val="4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火、高</w:t>
                  </w:r>
                </w:p>
                <w:p>
                  <w:pPr>
                    <w:pStyle w:val="4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热可</w:t>
                  </w:r>
                </w:p>
                <w:p>
                  <w:pPr>
                    <w:pStyle w:val="4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燃</w:t>
                  </w:r>
                </w:p>
              </w:tc>
              <w:tc>
                <w:tcPr>
                  <w:tcW w:w="605" w:type="pct"/>
                  <w:tcBorders>
                    <w:right w:val="single" w:color="000000" w:sz="6" w:space="0"/>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火灾</w:t>
                  </w:r>
                </w:p>
              </w:tc>
            </w:tr>
          </w:tbl>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（4）环境风险影响分析</w:t>
            </w: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①地质灾害风险分析</w:t>
            </w: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地质灾害主要是由于采挖等作业造成的滑坡现象。滑坡是因边坡开挖后，破坏了砂石内部初始应力的平衡引起砂石大规模位移的现象。按破坏形式，滑坡可分为塌落和倾倒式破坏。滑坡发生时对处于危险区的设备、设施可能造成破坏，对处于危险区人员可能构成伤亡。</w:t>
            </w: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引起滑坡的主要原因有：不良地质条件；地压过高；降水影响；维护加固不当；边坡过高过陡等。本项目废石产生量较少，产生的废石综合利用后堆放在设计的堆料场内，应主要关注采场及堆料场的边坡滑坡、塌方的风险。</w:t>
            </w: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②堆场灾害风险分析</w:t>
            </w: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堆料场是露天矿组织生产不可缺少的附属工程，它作为露天矿山存放</w:t>
            </w:r>
            <w:r>
              <w:rPr>
                <w:rFonts w:hint="eastAsia" w:ascii="Times New Roman" w:hAnsi="Times New Roman" w:eastAsia="宋体"/>
                <w:b w:val="0"/>
                <w:bCs w:val="0"/>
                <w:lang w:val="en-US" w:eastAsia="zh-CN"/>
              </w:rPr>
              <w:t>砂</w:t>
            </w:r>
            <w:r>
              <w:rPr>
                <w:rFonts w:hint="default" w:ascii="Times New Roman" w:hAnsi="Times New Roman" w:eastAsia="宋体"/>
                <w:b w:val="0"/>
                <w:bCs w:val="0"/>
                <w:lang w:val="en-US" w:eastAsia="zh-CN"/>
              </w:rPr>
              <w:t>石的场地，是以人工排入形式把大小各异、形状不同的石块堆积在一起，这些杂乱无章、离散分布的废石块又承受着上方堆体荷重。堆料场基底与废石块之间接触是不连续的、离散的蜂窝状，刚性与塑性体之间呈嵌合式接触。特殊的结构极易使岩土体依附于其内在或潜在的软弱结构面（带），在重力、雨水等综合因素作用下，失去原有的平衡条件，长期堆放累积形成的废岩边坡失稳，致使松散废岩弃土整体大规模错动、滑移，造成滑坡。堆料场滑坡的类型通常有：推动式滑坡和牵引式滑坡。前者是生产中排弃工艺不科学，如堆排边坡太大、加载过快、人为干扰或自然不可抗力的作用引起，其活动方式是上部先滑动，而后推动下部一起滑动。后者是基底存在的软弱层在施工期处理不当，或排水设施不健全等原因，致使堆料场荷载作用下的基底抗剪阻力急剧下降，受荷变形、造成整体剪切破坏，其活动方式是底部滑动而引发堆料场整体失去平衡。</w:t>
            </w: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（5）环境风险防范措施</w:t>
            </w: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1）采取公共安全防范措施</w:t>
            </w: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矿区应在总体规划布局时，建立健全的规章制度，加强管理，尤其是要严格对堆场坡脚、开采坡脚防护设施的管理和安全检查，保证安全运行。</w:t>
            </w: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2）地质灾害事故防范措施</w:t>
            </w: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项目区年降雨量为0.8-5.2㎜，年蒸发量为降雨量的100倍以上。虽然项目区降雨稀少，考虑在夏季有可能发生暴雨。本项目采矿场开采、废料、产品堆放过程中有可能引发采场、堆场边坡滑坡、塌方、泥石流等地质灾害，现提出以下地质灾害预防措施：</w:t>
            </w: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①采取边开采边恢复的方式，缩短堆放时间。</w:t>
            </w: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②在各类物料堆场中进行压实作业。</w:t>
            </w: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③及时削减边坡角，清理危岩体，定期加强对不稳定边坡的监测，在危险地段设置警示牌及铁丝围栏。</w:t>
            </w: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④矿山开采期间需严格按照设计规范要求开采，并加强边坡稳定巡查排险，及时处理高陡边坡。</w:t>
            </w: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⑤在可能发生地质灾害区段设置警示标志。</w:t>
            </w: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⑥不超挖坡底，不留伞檐，进行科学、合理的采剥。</w:t>
            </w: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⑦严禁采场内台阶上下垂直方向双层作业。</w:t>
            </w: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⑧在台阶坡面作业时，必须佩戴安全带。</w:t>
            </w: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⑨大雾、大雨、暴风雨时应停止作业。</w:t>
            </w: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3）废</w:t>
            </w:r>
            <w:r>
              <w:rPr>
                <w:rFonts w:hint="eastAsia" w:ascii="Times New Roman" w:hAnsi="Times New Roman" w:eastAsia="宋体"/>
                <w:b w:val="0"/>
                <w:bCs w:val="0"/>
                <w:lang w:val="en-US" w:eastAsia="zh-CN"/>
              </w:rPr>
              <w:t>机</w:t>
            </w:r>
            <w:r>
              <w:rPr>
                <w:rFonts w:hint="default" w:ascii="Times New Roman" w:hAnsi="Times New Roman" w:eastAsia="宋体"/>
                <w:b w:val="0"/>
                <w:bCs w:val="0"/>
                <w:lang w:val="en-US" w:eastAsia="zh-CN"/>
              </w:rPr>
              <w:t>油泄漏预防措施</w:t>
            </w: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①使用符合标准的容器盛装危险废物；应定期对暂时贮存危险废物包装及设施进行检查，发现破损，及时采取措施清理更换；</w:t>
            </w: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②设有专人负责危险废物维护及管理，避免因危险废物泄漏、乱堆乱弃造成环境污染；</w:t>
            </w: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③应指定专人负责危废的收集、运输管理工作，运输车辆的司机和押运人员应经专业培训。</w:t>
            </w: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④废机油必须有专门的运输车辆运输，要求押运人员持有押运证，并携带安全资料表，装卸过程要轻装轻放，避免撞击、重压和摩擦。危险废物必须堆放在专用的场所，并按有关协议规定定期转移给有资质和有处理能力的固废处置中心处理。</w:t>
            </w:r>
          </w:p>
          <w:p>
            <w:pPr>
              <w:keepNext w:val="0"/>
              <w:keepLines w:val="0"/>
              <w:widowControl/>
              <w:suppressLineNumbers w:val="0"/>
              <w:ind w:left="0" w:leftChars="0" w:firstLine="480" w:firstLineChars="200"/>
              <w:jc w:val="left"/>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（6）分析结论</w:t>
            </w:r>
          </w:p>
          <w:p>
            <w:pPr>
              <w:keepNext w:val="0"/>
              <w:keepLines w:val="0"/>
              <w:pageBreakBefore w:val="0"/>
              <w:widowControl w:val="0"/>
              <w:suppressLineNumbers w:val="0"/>
              <w:kinsoku/>
              <w:wordWrap w:val="0"/>
              <w:overflowPunct/>
              <w:topLinePunct w:val="0"/>
              <w:autoSpaceDE/>
              <w:autoSpaceDN/>
              <w:bidi w:val="0"/>
              <w:adjustRightInd/>
              <w:snapToGrid/>
              <w:ind w:left="0" w:leftChars="0" w:firstLine="480" w:firstLineChars="200"/>
              <w:jc w:val="left"/>
              <w:textAlignment w:val="auto"/>
              <w:rPr>
                <w:rFonts w:hint="default" w:ascii="Times New Roman" w:hAnsi="Times New Roman" w:eastAsia="宋体"/>
                <w:b w:val="0"/>
                <w:bCs w:val="0"/>
                <w:lang w:val="en-US" w:eastAsia="zh-CN"/>
              </w:rPr>
            </w:pPr>
            <w:r>
              <w:rPr>
                <w:rFonts w:hint="default" w:ascii="Times New Roman" w:hAnsi="Times New Roman" w:eastAsia="宋体"/>
                <w:b w:val="0"/>
                <w:bCs w:val="0"/>
                <w:lang w:val="en-US" w:eastAsia="zh-CN"/>
              </w:rPr>
              <w:t>风险评价的结果表明，本项目涉及的危险物质为废</w:t>
            </w:r>
            <w:r>
              <w:rPr>
                <w:rFonts w:hint="eastAsia" w:ascii="Times New Roman" w:hAnsi="Times New Roman" w:eastAsia="宋体"/>
                <w:b w:val="0"/>
                <w:bCs w:val="0"/>
                <w:lang w:val="en-US" w:eastAsia="zh-CN"/>
              </w:rPr>
              <w:t>机</w:t>
            </w:r>
            <w:r>
              <w:rPr>
                <w:rFonts w:hint="default" w:ascii="Times New Roman" w:hAnsi="Times New Roman" w:eastAsia="宋体"/>
                <w:b w:val="0"/>
                <w:bCs w:val="0"/>
                <w:lang w:val="en-US" w:eastAsia="zh-CN"/>
              </w:rPr>
              <w:t>油。根据《建设项目环境风险评价技术导则</w:t>
            </w:r>
            <w:r>
              <w:rPr>
                <w:rFonts w:hint="eastAsia" w:ascii="Times New Roman" w:hAnsi="Times New Roman" w:eastAsia="宋体"/>
                <w:b w:val="0"/>
                <w:bCs w:val="0"/>
                <w:lang w:val="en-US" w:eastAsia="zh-CN"/>
              </w:rPr>
              <w:t>》</w:t>
            </w:r>
            <w:r>
              <w:rPr>
                <w:rFonts w:hint="default" w:ascii="Times New Roman" w:hAnsi="Times New Roman" w:eastAsia="宋体"/>
                <w:b w:val="0"/>
                <w:bCs w:val="0"/>
                <w:lang w:val="en-US" w:eastAsia="zh-CN"/>
              </w:rPr>
              <w:t>（HJ169-2018）中判定原则，本项目环境风险潜势为Ⅰ</w:t>
            </w:r>
            <w:r>
              <w:rPr>
                <w:rFonts w:hint="eastAsia" w:ascii="Times New Roman" w:hAnsi="Times New Roman" w:eastAsia="宋体"/>
                <w:b w:val="0"/>
                <w:bCs w:val="0"/>
                <w:lang w:val="en-US" w:eastAsia="zh-CN"/>
              </w:rPr>
              <w:t>，</w:t>
            </w:r>
            <w:r>
              <w:rPr>
                <w:rFonts w:hint="default" w:ascii="Times New Roman" w:hAnsi="Times New Roman" w:eastAsia="宋体"/>
                <w:b w:val="0"/>
                <w:bCs w:val="0"/>
                <w:lang w:val="en-US" w:eastAsia="zh-CN"/>
              </w:rPr>
              <w:t>故进行简单分析。本项目环境风险主要来自开采、堆放过程造成的滑坡风险、废</w:t>
            </w:r>
            <w:r>
              <w:rPr>
                <w:rFonts w:hint="eastAsia" w:ascii="Times New Roman" w:hAnsi="Times New Roman" w:eastAsia="宋体"/>
                <w:b w:val="0"/>
                <w:bCs w:val="0"/>
                <w:lang w:val="en-US" w:eastAsia="zh-CN"/>
              </w:rPr>
              <w:t>机</w:t>
            </w:r>
            <w:r>
              <w:rPr>
                <w:rFonts w:hint="default" w:ascii="Times New Roman" w:hAnsi="Times New Roman" w:eastAsia="宋体"/>
                <w:b w:val="0"/>
                <w:bCs w:val="0"/>
                <w:lang w:val="en-US" w:eastAsia="zh-CN"/>
              </w:rPr>
              <w:t>油泄漏造成环境污染等。在进一步采取安全防范措施、在落实各项环保措施和采取本报告</w:t>
            </w:r>
            <w:r>
              <w:rPr>
                <w:rFonts w:hint="eastAsia" w:ascii="Times New Roman" w:hAnsi="Times New Roman" w:eastAsia="宋体"/>
                <w:b w:val="0"/>
                <w:bCs w:val="0"/>
                <w:lang w:val="en-US" w:eastAsia="zh-CN"/>
              </w:rPr>
              <w:t>表</w:t>
            </w:r>
            <w:r>
              <w:rPr>
                <w:rFonts w:hint="default" w:ascii="Times New Roman" w:hAnsi="Times New Roman" w:eastAsia="宋体"/>
                <w:b w:val="0"/>
                <w:bCs w:val="0"/>
                <w:lang w:val="en-US" w:eastAsia="zh-CN"/>
              </w:rPr>
              <w:t>提出的有关建议的前提下，基本满足国家相关环境保护和安全法规、标准的要求，该项目发生风险事故的可能进一步降低，其潜在的环境风险是可以接受的。但企业仍需要提高风险管理水平和强化风险防范措施，降低环境风险事故发生的概率。建设项目环境风险简单分析内容见表5-</w:t>
            </w:r>
            <w:r>
              <w:rPr>
                <w:rFonts w:hint="eastAsia"/>
                <w:b w:val="0"/>
                <w:bCs w:val="0"/>
                <w:lang w:val="en-US" w:eastAsia="zh-CN"/>
              </w:rPr>
              <w:t>8</w:t>
            </w:r>
            <w:r>
              <w:rPr>
                <w:rFonts w:hint="default" w:ascii="Times New Roman" w:hAnsi="Times New Roman" w:eastAsia="宋体"/>
                <w:b w:val="0"/>
                <w:bCs w:val="0"/>
                <w:lang w:val="en-US" w:eastAsia="zh-CN"/>
              </w:rPr>
              <w:t>。</w:t>
            </w: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481"/>
              <w:jc w:val="center"/>
              <w:textAlignment w:val="auto"/>
              <w:rPr>
                <w:rFonts w:hint="default" w:ascii="Times New Roman" w:hAnsi="Times New Roman" w:eastAsia="宋体" w:cs="Times New Roman"/>
                <w:b/>
                <w:bCs/>
                <w:color w:val="auto"/>
                <w:spacing w:val="4"/>
                <w:kern w:val="2"/>
                <w:sz w:val="21"/>
                <w:szCs w:val="21"/>
                <w:lang w:val="en-US" w:eastAsia="zh-CN" w:bidi="ar-SA"/>
              </w:rPr>
            </w:pPr>
            <w:r>
              <w:rPr>
                <w:rFonts w:hint="default" w:ascii="Times New Roman" w:hAnsi="Times New Roman" w:eastAsia="宋体" w:cs="Times New Roman"/>
                <w:b/>
                <w:bCs/>
                <w:color w:val="auto"/>
                <w:spacing w:val="4"/>
                <w:kern w:val="2"/>
                <w:sz w:val="21"/>
                <w:szCs w:val="21"/>
                <w:lang w:val="en-US" w:eastAsia="zh-CN" w:bidi="ar-SA"/>
              </w:rPr>
              <w:t>表5-</w:t>
            </w:r>
            <w:r>
              <w:rPr>
                <w:rFonts w:hint="eastAsia" w:ascii="Times New Roman" w:hAnsi="Times New Roman" w:cs="Times New Roman"/>
                <w:b/>
                <w:bCs/>
                <w:color w:val="auto"/>
                <w:spacing w:val="4"/>
                <w:kern w:val="2"/>
                <w:sz w:val="21"/>
                <w:szCs w:val="21"/>
                <w:lang w:val="en-US" w:eastAsia="zh-CN" w:bidi="ar-SA"/>
              </w:rPr>
              <w:t>8</w:t>
            </w:r>
            <w:r>
              <w:rPr>
                <w:rFonts w:hint="eastAsia" w:ascii="Times New Roman" w:hAnsi="Times New Roman" w:eastAsia="宋体" w:cs="Times New Roman"/>
                <w:b/>
                <w:bCs/>
                <w:color w:val="auto"/>
                <w:spacing w:val="4"/>
                <w:kern w:val="2"/>
                <w:sz w:val="21"/>
                <w:szCs w:val="21"/>
                <w:lang w:val="en-US" w:eastAsia="zh-CN" w:bidi="ar-SA"/>
              </w:rPr>
              <w:t xml:space="preserve">   </w:t>
            </w:r>
            <w:r>
              <w:rPr>
                <w:rFonts w:hint="default" w:ascii="Times New Roman" w:hAnsi="Times New Roman" w:eastAsia="宋体" w:cs="Times New Roman"/>
                <w:b/>
                <w:bCs/>
                <w:color w:val="auto"/>
                <w:spacing w:val="4"/>
                <w:kern w:val="2"/>
                <w:sz w:val="21"/>
                <w:szCs w:val="21"/>
                <w:lang w:val="en-US" w:eastAsia="zh-CN" w:bidi="ar-SA"/>
              </w:rPr>
              <w:t>建设项目环境风险简单分析内容表</w:t>
            </w:r>
          </w:p>
          <w:tbl>
            <w:tblPr>
              <w:tblStyle w:val="47"/>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498"/>
              <w:gridCol w:w="5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0" w:type="pct"/>
                  <w:vAlign w:val="center"/>
                </w:tcPr>
                <w:p>
                  <w:pPr>
                    <w:pStyle w:val="46"/>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center"/>
                    <w:textAlignment w:val="baseline"/>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7"/>
                      <w:sz w:val="21"/>
                      <w:szCs w:val="21"/>
                      <w:highlight w:val="none"/>
                    </w:rPr>
                    <w:t>建设项目名称</w:t>
                  </w:r>
                </w:p>
              </w:tc>
              <w:tc>
                <w:tcPr>
                  <w:tcW w:w="3999" w:type="pct"/>
                  <w:tcBorders>
                    <w:right w:val="single" w:color="000000" w:sz="6" w:space="0"/>
                  </w:tcBorders>
                  <w:vAlign w:val="center"/>
                </w:tcPr>
                <w:p>
                  <w:pPr>
                    <w:pStyle w:val="4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托克逊县博旭砂石有限公司新疆托克逊县英阿瓦提建筑用砂矿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0" w:type="pct"/>
                  <w:vAlign w:val="center"/>
                </w:tcPr>
                <w:p>
                  <w:pPr>
                    <w:pStyle w:val="4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6"/>
                      <w:sz w:val="21"/>
                      <w:szCs w:val="21"/>
                      <w:highlight w:val="none"/>
                    </w:rPr>
                    <w:t>建设地点</w:t>
                  </w:r>
                </w:p>
              </w:tc>
              <w:tc>
                <w:tcPr>
                  <w:tcW w:w="3999" w:type="pct"/>
                  <w:tcBorders>
                    <w:right w:val="single" w:color="000000" w:sz="6" w:space="0"/>
                  </w:tcBorders>
                  <w:vAlign w:val="center"/>
                </w:tcPr>
                <w:p>
                  <w:pPr>
                    <w:pStyle w:val="46"/>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托克逊县45°方位直线距离14千米处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0" w:type="pct"/>
                  <w:vAlign w:val="center"/>
                </w:tcPr>
                <w:p>
                  <w:pPr>
                    <w:pStyle w:val="46"/>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center"/>
                    <w:textAlignment w:val="baseline"/>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7"/>
                      <w:sz w:val="21"/>
                      <w:szCs w:val="21"/>
                      <w:highlight w:val="none"/>
                    </w:rPr>
                    <w:t>主要危险物质及分布</w:t>
                  </w:r>
                </w:p>
              </w:tc>
              <w:tc>
                <w:tcPr>
                  <w:tcW w:w="3999" w:type="pct"/>
                  <w:tcBorders>
                    <w:right w:val="single" w:color="000000" w:sz="6" w:space="0"/>
                  </w:tcBorders>
                  <w:vAlign w:val="center"/>
                </w:tcPr>
                <w:p>
                  <w:pPr>
                    <w:pStyle w:val="4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废</w:t>
                  </w:r>
                  <w:r>
                    <w:rPr>
                      <w:rFonts w:hint="eastAsia" w:ascii="Times New Roman" w:hAnsi="Times New Roman" w:eastAsia="宋体" w:cs="Times New Roman"/>
                      <w:color w:val="auto"/>
                      <w:spacing w:val="9"/>
                      <w:sz w:val="21"/>
                      <w:szCs w:val="21"/>
                      <w:highlight w:val="none"/>
                      <w:lang w:eastAsia="zh-CN"/>
                    </w:rPr>
                    <w:t>机</w:t>
                  </w:r>
                  <w:r>
                    <w:rPr>
                      <w:rFonts w:hint="default" w:ascii="Times New Roman" w:hAnsi="Times New Roman" w:eastAsia="宋体" w:cs="Times New Roman"/>
                      <w:color w:val="auto"/>
                      <w:spacing w:val="9"/>
                      <w:sz w:val="21"/>
                      <w:szCs w:val="21"/>
                      <w:highlight w:val="none"/>
                    </w:rPr>
                    <w:t>油，</w:t>
                  </w:r>
                  <w:r>
                    <w:rPr>
                      <w:rFonts w:hint="eastAsia" w:ascii="Times New Roman" w:hAnsi="Times New Roman" w:eastAsia="宋体" w:cs="Times New Roman"/>
                      <w:color w:val="auto"/>
                      <w:spacing w:val="9"/>
                      <w:sz w:val="21"/>
                      <w:szCs w:val="21"/>
                      <w:highlight w:val="none"/>
                      <w:lang w:eastAsia="zh-CN"/>
                    </w:rPr>
                    <w:t>危废</w:t>
                  </w:r>
                  <w:r>
                    <w:rPr>
                      <w:rFonts w:hint="default" w:ascii="Times New Roman" w:hAnsi="Times New Roman" w:eastAsia="宋体" w:cs="Times New Roman"/>
                      <w:color w:val="auto"/>
                      <w:spacing w:val="9"/>
                      <w:sz w:val="21"/>
                      <w:szCs w:val="21"/>
                      <w:highlight w:val="none"/>
                    </w:rPr>
                    <w:t>暂存间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0" w:type="pct"/>
                  <w:vAlign w:val="center"/>
                </w:tcPr>
                <w:p>
                  <w:pPr>
                    <w:pStyle w:val="4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8"/>
                      <w:sz w:val="21"/>
                      <w:szCs w:val="21"/>
                      <w:highlight w:val="none"/>
                    </w:rPr>
                    <w:t>环境影响途径</w:t>
                  </w:r>
                </w:p>
                <w:p>
                  <w:pPr>
                    <w:pStyle w:val="4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8"/>
                      <w:sz w:val="21"/>
                      <w:szCs w:val="21"/>
                      <w:highlight w:val="none"/>
                    </w:rPr>
                    <w:t>及危害后果</w:t>
                  </w:r>
                </w:p>
              </w:tc>
              <w:tc>
                <w:tcPr>
                  <w:tcW w:w="3999" w:type="pct"/>
                  <w:tcBorders>
                    <w:right w:val="single" w:color="000000" w:sz="6" w:space="0"/>
                  </w:tcBorders>
                  <w:vAlign w:val="center"/>
                </w:tcPr>
                <w:p>
                  <w:pPr>
                    <w:pStyle w:val="4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大气途径：废</w:t>
                  </w:r>
                  <w:r>
                    <w:rPr>
                      <w:rFonts w:hint="eastAsia" w:ascii="Times New Roman" w:hAnsi="Times New Roman" w:eastAsia="宋体" w:cs="Times New Roman"/>
                      <w:color w:val="auto"/>
                      <w:spacing w:val="8"/>
                      <w:sz w:val="21"/>
                      <w:szCs w:val="21"/>
                      <w:highlight w:val="none"/>
                      <w:lang w:eastAsia="zh-CN"/>
                    </w:rPr>
                    <w:t>机</w:t>
                  </w:r>
                  <w:r>
                    <w:rPr>
                      <w:rFonts w:hint="default" w:ascii="Times New Roman" w:hAnsi="Times New Roman" w:eastAsia="宋体" w:cs="Times New Roman"/>
                      <w:color w:val="auto"/>
                      <w:spacing w:val="8"/>
                      <w:sz w:val="21"/>
                      <w:szCs w:val="21"/>
                      <w:highlight w:val="none"/>
                    </w:rPr>
                    <w:t>油火灾引发伴生/次生污染物排放；</w:t>
                  </w:r>
                </w:p>
                <w:p>
                  <w:pPr>
                    <w:pStyle w:val="4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地表水途径：无；</w:t>
                  </w:r>
                </w:p>
                <w:p>
                  <w:pPr>
                    <w:pStyle w:val="4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地下水途径：废</w:t>
                  </w:r>
                  <w:r>
                    <w:rPr>
                      <w:rFonts w:hint="eastAsia" w:ascii="Times New Roman" w:hAnsi="Times New Roman" w:eastAsia="宋体" w:cs="Times New Roman"/>
                      <w:color w:val="auto"/>
                      <w:spacing w:val="9"/>
                      <w:sz w:val="21"/>
                      <w:szCs w:val="21"/>
                      <w:highlight w:val="none"/>
                      <w:lang w:eastAsia="zh-CN"/>
                    </w:rPr>
                    <w:t>机</w:t>
                  </w:r>
                  <w:r>
                    <w:rPr>
                      <w:rFonts w:hint="default" w:ascii="Times New Roman" w:hAnsi="Times New Roman" w:eastAsia="宋体" w:cs="Times New Roman"/>
                      <w:color w:val="auto"/>
                      <w:spacing w:val="9"/>
                      <w:sz w:val="21"/>
                      <w:szCs w:val="21"/>
                      <w:highlight w:val="none"/>
                    </w:rPr>
                    <w:t>油泄漏，可能引起的地下水污染；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0" w:type="pct"/>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default" w:ascii="Times New Roman" w:hAnsi="Times New Roman" w:eastAsia="宋体" w:cs="Times New Roman"/>
                      <w:b/>
                      <w:bCs/>
                      <w:color w:val="auto"/>
                      <w:sz w:val="21"/>
                      <w:szCs w:val="21"/>
                      <w:highlight w:val="none"/>
                    </w:rPr>
                  </w:pPr>
                </w:p>
                <w:p>
                  <w:pPr>
                    <w:pStyle w:val="4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center"/>
                    <w:textAlignment w:val="baseline"/>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8"/>
                      <w:sz w:val="21"/>
                      <w:szCs w:val="21"/>
                      <w:highlight w:val="none"/>
                    </w:rPr>
                    <w:t>风险防范措施</w:t>
                  </w:r>
                  <w:r>
                    <w:rPr>
                      <w:rFonts w:hint="default" w:ascii="Times New Roman" w:hAnsi="Times New Roman" w:eastAsia="宋体" w:cs="Times New Roman"/>
                      <w:b/>
                      <w:bCs/>
                      <w:color w:val="auto"/>
                      <w:spacing w:val="4"/>
                      <w:sz w:val="21"/>
                      <w:szCs w:val="21"/>
                      <w:highlight w:val="none"/>
                    </w:rPr>
                    <w:t>要求</w:t>
                  </w:r>
                </w:p>
              </w:tc>
              <w:tc>
                <w:tcPr>
                  <w:tcW w:w="3999" w:type="pct"/>
                  <w:tcBorders>
                    <w:bottom w:val="single" w:color="000000" w:sz="6" w:space="0"/>
                    <w:right w:val="single" w:color="000000" w:sz="6" w:space="0"/>
                  </w:tcBorders>
                  <w:vAlign w:val="center"/>
                </w:tcPr>
                <w:p>
                  <w:pPr>
                    <w:pStyle w:val="4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（1）地质灾害事故防范措施</w:t>
                  </w:r>
                </w:p>
                <w:p>
                  <w:pPr>
                    <w:pStyle w:val="46"/>
                    <w:keepNext w:val="0"/>
                    <w:keepLines w:val="0"/>
                    <w:pageBreakBefore w:val="0"/>
                    <w:widowControl/>
                    <w:kinsoku w:val="0"/>
                    <w:wordWrap/>
                    <w:overflowPunct/>
                    <w:topLinePunct w:val="0"/>
                    <w:autoSpaceDE w:val="0"/>
                    <w:autoSpaceDN w:val="0"/>
                    <w:bidi w:val="0"/>
                    <w:adjustRightInd/>
                    <w:snapToGrid/>
                    <w:spacing w:line="240" w:lineRule="auto"/>
                    <w:ind w:left="0" w:right="0" w:firstLine="456" w:firstLineChars="200"/>
                    <w:jc w:val="both"/>
                    <w:textAlignment w:val="baseline"/>
                    <w:rPr>
                      <w:rFonts w:hint="default" w:ascii="Times New Roman" w:hAnsi="Times New Roman" w:eastAsia="宋体" w:cs="Times New Roman"/>
                      <w:color w:val="auto"/>
                      <w:spacing w:val="9"/>
                      <w:sz w:val="21"/>
                      <w:szCs w:val="21"/>
                      <w:highlight w:val="none"/>
                    </w:rPr>
                  </w:pPr>
                  <w:r>
                    <w:rPr>
                      <w:rFonts w:hint="default" w:ascii="Times New Roman" w:hAnsi="Times New Roman" w:eastAsia="宋体" w:cs="Times New Roman"/>
                      <w:color w:val="auto"/>
                      <w:spacing w:val="9"/>
                      <w:sz w:val="21"/>
                      <w:szCs w:val="21"/>
                      <w:highlight w:val="none"/>
                      <w:lang w:val="en-US" w:eastAsia="zh-CN"/>
                    </w:rPr>
                    <w:t>年降雨量为0.8-5.2㎜，年蒸发量为降雨量的100倍以上</w:t>
                  </w:r>
                  <w:r>
                    <w:rPr>
                      <w:rFonts w:hint="default" w:ascii="Times New Roman" w:hAnsi="Times New Roman" w:eastAsia="宋体" w:cs="Times New Roman"/>
                      <w:color w:val="auto"/>
                      <w:spacing w:val="8"/>
                      <w:sz w:val="21"/>
                      <w:szCs w:val="21"/>
                      <w:highlight w:val="none"/>
                    </w:rPr>
                    <w:t>。虽然项目区降雨稀</w:t>
                  </w:r>
                  <w:r>
                    <w:rPr>
                      <w:rFonts w:hint="default" w:ascii="Times New Roman" w:hAnsi="Times New Roman" w:eastAsia="宋体" w:cs="Times New Roman"/>
                      <w:color w:val="auto"/>
                      <w:spacing w:val="7"/>
                      <w:sz w:val="21"/>
                      <w:szCs w:val="21"/>
                      <w:highlight w:val="none"/>
                    </w:rPr>
                    <w:t>少，考虑在夏季有可能发生暴雨。本项目采矿场开采</w:t>
                  </w:r>
                  <w:r>
                    <w:rPr>
                      <w:rFonts w:hint="default" w:ascii="Times New Roman" w:hAnsi="Times New Roman" w:eastAsia="宋体" w:cs="Times New Roman"/>
                      <w:color w:val="auto"/>
                      <w:spacing w:val="6"/>
                      <w:sz w:val="21"/>
                      <w:szCs w:val="21"/>
                      <w:highlight w:val="none"/>
                    </w:rPr>
                    <w:t>、各类物料堆放</w:t>
                  </w:r>
                  <w:r>
                    <w:rPr>
                      <w:rFonts w:hint="default" w:ascii="Times New Roman" w:hAnsi="Times New Roman" w:eastAsia="宋体" w:cs="Times New Roman"/>
                      <w:color w:val="auto"/>
                      <w:spacing w:val="7"/>
                      <w:sz w:val="21"/>
                      <w:szCs w:val="21"/>
                      <w:highlight w:val="none"/>
                    </w:rPr>
                    <w:t>过程中有可能引发堆场边坡滑坡、塌方、泥石流等地质灾害</w:t>
                  </w:r>
                  <w:r>
                    <w:rPr>
                      <w:rFonts w:hint="default" w:ascii="Times New Roman" w:hAnsi="Times New Roman" w:eastAsia="宋体" w:cs="Times New Roman"/>
                      <w:color w:val="auto"/>
                      <w:spacing w:val="6"/>
                      <w:sz w:val="21"/>
                      <w:szCs w:val="21"/>
                      <w:highlight w:val="none"/>
                    </w:rPr>
                    <w:t>，现提出</w:t>
                  </w:r>
                  <w:r>
                    <w:rPr>
                      <w:rFonts w:hint="default" w:ascii="Times New Roman" w:hAnsi="Times New Roman" w:eastAsia="宋体" w:cs="Times New Roman"/>
                      <w:color w:val="auto"/>
                      <w:spacing w:val="8"/>
                      <w:sz w:val="21"/>
                      <w:szCs w:val="21"/>
                      <w:highlight w:val="none"/>
                    </w:rPr>
                    <w:t>以下地质灾害预防措施：</w:t>
                  </w:r>
                </w:p>
                <w:p>
                  <w:pPr>
                    <w:pStyle w:val="46"/>
                    <w:keepNext w:val="0"/>
                    <w:keepLines w:val="0"/>
                    <w:pageBreakBefore w:val="0"/>
                    <w:widowControl/>
                    <w:kinsoku w:val="0"/>
                    <w:wordWrap/>
                    <w:overflowPunct/>
                    <w:topLinePunct w:val="0"/>
                    <w:autoSpaceDE w:val="0"/>
                    <w:autoSpaceDN w:val="0"/>
                    <w:bidi w:val="0"/>
                    <w:adjustRightInd/>
                    <w:snapToGrid/>
                    <w:spacing w:line="240" w:lineRule="auto"/>
                    <w:ind w:left="0" w:right="0" w:firstLine="452" w:firstLineChars="200"/>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position w:val="4"/>
                      <w:sz w:val="21"/>
                      <w:szCs w:val="21"/>
                      <w:highlight w:val="none"/>
                    </w:rPr>
                    <w:t>1）采取边开采边恢复的方式，缩短堆放时间；</w:t>
                  </w:r>
                </w:p>
                <w:p>
                  <w:pPr>
                    <w:pStyle w:val="46"/>
                    <w:keepNext w:val="0"/>
                    <w:keepLines w:val="0"/>
                    <w:pageBreakBefore w:val="0"/>
                    <w:widowControl/>
                    <w:kinsoku w:val="0"/>
                    <w:wordWrap/>
                    <w:overflowPunct/>
                    <w:topLinePunct w:val="0"/>
                    <w:autoSpaceDE w:val="0"/>
                    <w:autoSpaceDN w:val="0"/>
                    <w:bidi w:val="0"/>
                    <w:adjustRightInd/>
                    <w:snapToGrid/>
                    <w:spacing w:line="240" w:lineRule="auto"/>
                    <w:ind w:left="0" w:right="0" w:firstLine="452" w:firstLineChars="200"/>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2）在各类物料堆场中进行压实作业；</w:t>
                  </w:r>
                </w:p>
                <w:p>
                  <w:pPr>
                    <w:pStyle w:val="46"/>
                    <w:keepNext w:val="0"/>
                    <w:keepLines w:val="0"/>
                    <w:pageBreakBefore w:val="0"/>
                    <w:widowControl/>
                    <w:kinsoku w:val="0"/>
                    <w:wordWrap/>
                    <w:overflowPunct/>
                    <w:topLinePunct w:val="0"/>
                    <w:autoSpaceDE w:val="0"/>
                    <w:autoSpaceDN w:val="0"/>
                    <w:bidi w:val="0"/>
                    <w:adjustRightInd/>
                    <w:snapToGrid/>
                    <w:spacing w:line="240" w:lineRule="auto"/>
                    <w:ind w:left="0" w:right="0" w:firstLine="452" w:firstLineChars="200"/>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3）及时削减边坡角，清理危岩体，定期加强对不稳定边坡的监测，在危险地段设置警示牌及铁丝围栏；</w:t>
                  </w:r>
                </w:p>
                <w:p>
                  <w:pPr>
                    <w:pStyle w:val="46"/>
                    <w:keepNext w:val="0"/>
                    <w:keepLines w:val="0"/>
                    <w:pageBreakBefore w:val="0"/>
                    <w:widowControl/>
                    <w:kinsoku w:val="0"/>
                    <w:wordWrap/>
                    <w:overflowPunct/>
                    <w:topLinePunct w:val="0"/>
                    <w:autoSpaceDE w:val="0"/>
                    <w:autoSpaceDN w:val="0"/>
                    <w:bidi w:val="0"/>
                    <w:adjustRightInd/>
                    <w:snapToGrid/>
                    <w:spacing w:line="240" w:lineRule="auto"/>
                    <w:ind w:left="0" w:right="0" w:firstLine="460" w:firstLineChars="200"/>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4）矿山开采期间需严格按照设计规范要求开采，并加强边坡稳定巡</w:t>
                  </w:r>
                  <w:r>
                    <w:rPr>
                      <w:rFonts w:hint="default" w:ascii="Times New Roman" w:hAnsi="Times New Roman" w:eastAsia="宋体" w:cs="Times New Roman"/>
                      <w:color w:val="auto"/>
                      <w:spacing w:val="8"/>
                      <w:sz w:val="21"/>
                      <w:szCs w:val="21"/>
                      <w:highlight w:val="none"/>
                    </w:rPr>
                    <w:t>查排险，及时处理高陡边坡；</w:t>
                  </w:r>
                </w:p>
                <w:p>
                  <w:pPr>
                    <w:pStyle w:val="46"/>
                    <w:keepNext w:val="0"/>
                    <w:keepLines w:val="0"/>
                    <w:pageBreakBefore w:val="0"/>
                    <w:widowControl/>
                    <w:kinsoku w:val="0"/>
                    <w:wordWrap/>
                    <w:overflowPunct/>
                    <w:topLinePunct w:val="0"/>
                    <w:autoSpaceDE w:val="0"/>
                    <w:autoSpaceDN w:val="0"/>
                    <w:bidi w:val="0"/>
                    <w:adjustRightInd/>
                    <w:snapToGrid/>
                    <w:spacing w:line="240" w:lineRule="auto"/>
                    <w:ind w:left="0" w:right="0" w:firstLine="452" w:firstLineChars="200"/>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5）在可能发生地质灾害区段设置警示标志；</w:t>
                  </w:r>
                </w:p>
                <w:p>
                  <w:pPr>
                    <w:pStyle w:val="46"/>
                    <w:keepNext w:val="0"/>
                    <w:keepLines w:val="0"/>
                    <w:pageBreakBefore w:val="0"/>
                    <w:widowControl/>
                    <w:kinsoku w:val="0"/>
                    <w:wordWrap/>
                    <w:overflowPunct/>
                    <w:topLinePunct w:val="0"/>
                    <w:autoSpaceDE w:val="0"/>
                    <w:autoSpaceDN w:val="0"/>
                    <w:bidi w:val="0"/>
                    <w:adjustRightInd/>
                    <w:snapToGrid/>
                    <w:spacing w:line="240" w:lineRule="auto"/>
                    <w:ind w:left="0" w:right="0" w:firstLine="456" w:firstLineChars="200"/>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position w:val="4"/>
                      <w:sz w:val="21"/>
                      <w:szCs w:val="21"/>
                      <w:highlight w:val="none"/>
                    </w:rPr>
                    <w:t>6）不超挖坡底，不留伞檐，进行科学、合理的</w:t>
                  </w:r>
                  <w:r>
                    <w:rPr>
                      <w:rFonts w:hint="default" w:ascii="Times New Roman" w:hAnsi="Times New Roman" w:eastAsia="宋体" w:cs="Times New Roman"/>
                      <w:color w:val="auto"/>
                      <w:spacing w:val="8"/>
                      <w:position w:val="4"/>
                      <w:sz w:val="21"/>
                      <w:szCs w:val="21"/>
                      <w:highlight w:val="none"/>
                    </w:rPr>
                    <w:t>采剥；</w:t>
                  </w:r>
                </w:p>
                <w:p>
                  <w:pPr>
                    <w:pStyle w:val="46"/>
                    <w:keepNext w:val="0"/>
                    <w:keepLines w:val="0"/>
                    <w:pageBreakBefore w:val="0"/>
                    <w:widowControl/>
                    <w:kinsoku w:val="0"/>
                    <w:wordWrap/>
                    <w:overflowPunct/>
                    <w:topLinePunct w:val="0"/>
                    <w:autoSpaceDE w:val="0"/>
                    <w:autoSpaceDN w:val="0"/>
                    <w:bidi w:val="0"/>
                    <w:adjustRightInd/>
                    <w:snapToGrid/>
                    <w:spacing w:line="240" w:lineRule="auto"/>
                    <w:ind w:left="0" w:right="0" w:firstLine="452" w:firstLineChars="200"/>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7）严禁采场内台阶上下垂直方向双层作业；</w:t>
                  </w:r>
                </w:p>
                <w:p>
                  <w:pPr>
                    <w:pStyle w:val="46"/>
                    <w:keepNext w:val="0"/>
                    <w:keepLines w:val="0"/>
                    <w:pageBreakBefore w:val="0"/>
                    <w:widowControl/>
                    <w:kinsoku w:val="0"/>
                    <w:wordWrap/>
                    <w:overflowPunct/>
                    <w:topLinePunct w:val="0"/>
                    <w:autoSpaceDE w:val="0"/>
                    <w:autoSpaceDN w:val="0"/>
                    <w:bidi w:val="0"/>
                    <w:adjustRightInd/>
                    <w:snapToGrid/>
                    <w:spacing w:line="240" w:lineRule="auto"/>
                    <w:ind w:left="0" w:right="0" w:firstLine="452" w:firstLineChars="200"/>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position w:val="4"/>
                      <w:sz w:val="21"/>
                      <w:szCs w:val="21"/>
                      <w:highlight w:val="none"/>
                    </w:rPr>
                    <w:t>8）在台阶坡面作业时，必须佩戴安全带；</w:t>
                  </w:r>
                </w:p>
                <w:p>
                  <w:pPr>
                    <w:pStyle w:val="46"/>
                    <w:keepNext w:val="0"/>
                    <w:keepLines w:val="0"/>
                    <w:pageBreakBefore w:val="0"/>
                    <w:widowControl/>
                    <w:kinsoku w:val="0"/>
                    <w:wordWrap/>
                    <w:overflowPunct/>
                    <w:topLinePunct w:val="0"/>
                    <w:autoSpaceDE w:val="0"/>
                    <w:autoSpaceDN w:val="0"/>
                    <w:bidi w:val="0"/>
                    <w:adjustRightInd/>
                    <w:snapToGrid/>
                    <w:spacing w:line="240" w:lineRule="auto"/>
                    <w:ind w:left="0" w:right="0" w:firstLine="452" w:firstLineChars="200"/>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9）大雾、大雨、暴风雨时应停止作业。</w:t>
                  </w:r>
                </w:p>
                <w:p>
                  <w:pPr>
                    <w:pStyle w:val="4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（2）</w:t>
                  </w:r>
                  <w:r>
                    <w:rPr>
                      <w:rFonts w:hint="default" w:ascii="Times New Roman" w:hAnsi="Times New Roman" w:eastAsia="宋体" w:cs="Times New Roman"/>
                      <w:color w:val="auto"/>
                      <w:spacing w:val="7"/>
                      <w:sz w:val="21"/>
                      <w:szCs w:val="21"/>
                      <w:highlight w:val="none"/>
                      <w:lang w:eastAsia="zh-CN"/>
                    </w:rPr>
                    <w:t>泄漏</w:t>
                  </w:r>
                  <w:r>
                    <w:rPr>
                      <w:rFonts w:hint="default" w:ascii="Times New Roman" w:hAnsi="Times New Roman" w:eastAsia="宋体" w:cs="Times New Roman"/>
                      <w:color w:val="auto"/>
                      <w:spacing w:val="7"/>
                      <w:sz w:val="21"/>
                      <w:szCs w:val="21"/>
                      <w:highlight w:val="none"/>
                    </w:rPr>
                    <w:t>预防措施</w:t>
                  </w:r>
                </w:p>
                <w:p>
                  <w:pPr>
                    <w:pStyle w:val="46"/>
                    <w:keepNext w:val="0"/>
                    <w:keepLines w:val="0"/>
                    <w:pageBreakBefore w:val="0"/>
                    <w:widowControl/>
                    <w:kinsoku w:val="0"/>
                    <w:wordWrap/>
                    <w:overflowPunct/>
                    <w:topLinePunct w:val="0"/>
                    <w:autoSpaceDE w:val="0"/>
                    <w:autoSpaceDN w:val="0"/>
                    <w:bidi w:val="0"/>
                    <w:adjustRightInd/>
                    <w:snapToGrid/>
                    <w:spacing w:line="240" w:lineRule="auto"/>
                    <w:ind w:left="0" w:right="0" w:firstLine="456" w:firstLineChars="200"/>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1）使用符合标准的容器盛装危险废物；应定期对暂时贮存危险</w:t>
                  </w:r>
                  <w:r>
                    <w:rPr>
                      <w:rFonts w:hint="default" w:ascii="Times New Roman" w:hAnsi="Times New Roman" w:eastAsia="宋体" w:cs="Times New Roman"/>
                      <w:color w:val="auto"/>
                      <w:spacing w:val="8"/>
                      <w:sz w:val="21"/>
                      <w:szCs w:val="21"/>
                      <w:highlight w:val="none"/>
                    </w:rPr>
                    <w:t>废物</w:t>
                  </w:r>
                  <w:r>
                    <w:rPr>
                      <w:rFonts w:hint="default" w:ascii="Times New Roman" w:hAnsi="Times New Roman" w:eastAsia="宋体" w:cs="Times New Roman"/>
                      <w:color w:val="auto"/>
                      <w:spacing w:val="9"/>
                      <w:sz w:val="21"/>
                      <w:szCs w:val="21"/>
                      <w:highlight w:val="none"/>
                    </w:rPr>
                    <w:t>包装及设施进行检查，发现破损，及时采取措施清理更换；</w:t>
                  </w:r>
                </w:p>
                <w:p>
                  <w:pPr>
                    <w:pStyle w:val="46"/>
                    <w:keepNext w:val="0"/>
                    <w:keepLines w:val="0"/>
                    <w:pageBreakBefore w:val="0"/>
                    <w:widowControl/>
                    <w:kinsoku w:val="0"/>
                    <w:wordWrap/>
                    <w:overflowPunct/>
                    <w:topLinePunct w:val="0"/>
                    <w:autoSpaceDE w:val="0"/>
                    <w:autoSpaceDN w:val="0"/>
                    <w:bidi w:val="0"/>
                    <w:adjustRightInd/>
                    <w:snapToGrid/>
                    <w:spacing w:line="240" w:lineRule="auto"/>
                    <w:ind w:left="0" w:right="0" w:firstLine="460" w:firstLineChars="200"/>
                    <w:jc w:val="both"/>
                    <w:textAlignment w:val="baseline"/>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color w:val="auto"/>
                      <w:spacing w:val="10"/>
                      <w:sz w:val="21"/>
                      <w:szCs w:val="21"/>
                      <w:highlight w:val="none"/>
                    </w:rPr>
                    <w:t>2）设有专人负责危险废物维护及管理，</w:t>
                  </w:r>
                  <w:r>
                    <w:rPr>
                      <w:rFonts w:hint="default" w:ascii="Times New Roman" w:hAnsi="Times New Roman" w:eastAsia="宋体" w:cs="Times New Roman"/>
                      <w:color w:val="auto"/>
                      <w:spacing w:val="9"/>
                      <w:sz w:val="21"/>
                      <w:szCs w:val="21"/>
                      <w:highlight w:val="none"/>
                    </w:rPr>
                    <w:t>避免因危险废物</w:t>
                  </w:r>
                  <w:r>
                    <w:rPr>
                      <w:rFonts w:hint="default" w:ascii="Times New Roman" w:hAnsi="Times New Roman" w:eastAsia="宋体" w:cs="Times New Roman"/>
                      <w:color w:val="auto"/>
                      <w:spacing w:val="9"/>
                      <w:sz w:val="21"/>
                      <w:szCs w:val="21"/>
                      <w:highlight w:val="none"/>
                      <w:lang w:eastAsia="zh-CN"/>
                    </w:rPr>
                    <w:t>泄漏</w:t>
                  </w:r>
                  <w:r>
                    <w:rPr>
                      <w:rFonts w:hint="default" w:ascii="Times New Roman" w:hAnsi="Times New Roman" w:eastAsia="宋体" w:cs="Times New Roman"/>
                      <w:color w:val="auto"/>
                      <w:spacing w:val="9"/>
                      <w:sz w:val="21"/>
                      <w:szCs w:val="21"/>
                      <w:highlight w:val="none"/>
                    </w:rPr>
                    <w:t>、乱堆</w:t>
                  </w:r>
                  <w:r>
                    <w:rPr>
                      <w:rFonts w:hint="default" w:ascii="Times New Roman" w:hAnsi="Times New Roman" w:eastAsia="宋体" w:cs="Times New Roman"/>
                      <w:color w:val="auto"/>
                      <w:spacing w:val="6"/>
                      <w:sz w:val="21"/>
                      <w:szCs w:val="21"/>
                      <w:highlight w:val="none"/>
                    </w:rPr>
                    <w:t>乱弃造成环境污染；</w:t>
                  </w:r>
                </w:p>
                <w:p>
                  <w:pPr>
                    <w:pStyle w:val="46"/>
                    <w:keepNext w:val="0"/>
                    <w:keepLines w:val="0"/>
                    <w:pageBreakBefore w:val="0"/>
                    <w:widowControl/>
                    <w:kinsoku w:val="0"/>
                    <w:wordWrap/>
                    <w:overflowPunct/>
                    <w:topLinePunct w:val="0"/>
                    <w:autoSpaceDE w:val="0"/>
                    <w:autoSpaceDN w:val="0"/>
                    <w:bidi w:val="0"/>
                    <w:adjustRightInd/>
                    <w:snapToGrid/>
                    <w:spacing w:line="240" w:lineRule="auto"/>
                    <w:ind w:left="0" w:right="0" w:firstLine="444" w:firstLineChars="200"/>
                    <w:jc w:val="both"/>
                    <w:textAlignment w:val="baseline"/>
                    <w:rPr>
                      <w:rFonts w:hint="default" w:ascii="Times New Roman" w:hAnsi="Times New Roman" w:eastAsia="宋体" w:cs="Times New Roman"/>
                      <w:snapToGrid w:val="0"/>
                      <w:color w:val="auto"/>
                      <w:kern w:val="0"/>
                      <w:sz w:val="21"/>
                      <w:szCs w:val="21"/>
                      <w:highlight w:val="none"/>
                      <w:lang w:val="en-US" w:eastAsia="en-US" w:bidi="ar-SA"/>
                    </w:rPr>
                  </w:pPr>
                  <w:r>
                    <w:rPr>
                      <w:rFonts w:hint="default" w:ascii="Times New Roman" w:hAnsi="Times New Roman" w:eastAsia="宋体" w:cs="Times New Roman"/>
                      <w:color w:val="auto"/>
                      <w:spacing w:val="6"/>
                      <w:sz w:val="21"/>
                      <w:szCs w:val="21"/>
                      <w:highlight w:val="none"/>
                    </w:rPr>
                    <w:t>3）应指定专人负责危废的收集、运输管理工作，</w:t>
                  </w:r>
                  <w:r>
                    <w:rPr>
                      <w:rFonts w:hint="default" w:ascii="Times New Roman" w:hAnsi="Times New Roman" w:eastAsia="宋体" w:cs="Times New Roman"/>
                      <w:color w:val="auto"/>
                      <w:spacing w:val="8"/>
                      <w:sz w:val="21"/>
                      <w:szCs w:val="21"/>
                      <w:highlight w:val="none"/>
                    </w:rPr>
                    <w:t>运输车辆的司机和押运人员应经专业培训。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5000" w:type="pct"/>
                  <w:gridSpan w:val="2"/>
                  <w:vAlign w:val="center"/>
                </w:tcPr>
                <w:p>
                  <w:pPr>
                    <w:pStyle w:val="46"/>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宋体" w:cs="Times New Roman"/>
                      <w:color w:val="auto"/>
                      <w:spacing w:val="9"/>
                      <w:sz w:val="21"/>
                      <w:szCs w:val="21"/>
                      <w:highlight w:val="none"/>
                    </w:rPr>
                  </w:pPr>
                  <w:r>
                    <w:rPr>
                      <w:rFonts w:hint="default" w:ascii="Times New Roman" w:hAnsi="Times New Roman" w:eastAsia="宋体" w:cs="Times New Roman"/>
                      <w:color w:val="auto"/>
                      <w:spacing w:val="7"/>
                      <w:sz w:val="21"/>
                      <w:szCs w:val="21"/>
                      <w:highlight w:val="none"/>
                    </w:rPr>
                    <w:t>填表说明（列出项目相关信息及评价说明</w:t>
                  </w:r>
                  <w:r>
                    <w:rPr>
                      <w:rFonts w:hint="default" w:ascii="Times New Roman" w:hAnsi="Times New Roman" w:eastAsia="宋体" w:cs="Times New Roman"/>
                      <w:color w:val="auto"/>
                      <w:spacing w:val="26"/>
                      <w:sz w:val="21"/>
                      <w:szCs w:val="21"/>
                      <w:highlight w:val="none"/>
                    </w:rPr>
                    <w:t>）：</w:t>
                  </w:r>
                  <w:r>
                    <w:rPr>
                      <w:rFonts w:hint="default" w:ascii="Times New Roman" w:hAnsi="Times New Roman" w:eastAsia="宋体" w:cs="Times New Roman"/>
                      <w:color w:val="auto"/>
                      <w:spacing w:val="7"/>
                      <w:sz w:val="21"/>
                      <w:szCs w:val="21"/>
                      <w:highlight w:val="none"/>
                    </w:rPr>
                    <w:t>项目涉及危险物质为废</w:t>
                  </w:r>
                  <w:r>
                    <w:rPr>
                      <w:rFonts w:hint="eastAsia" w:ascii="Times New Roman" w:hAnsi="Times New Roman" w:eastAsia="宋体" w:cs="Times New Roman"/>
                      <w:color w:val="auto"/>
                      <w:spacing w:val="7"/>
                      <w:sz w:val="21"/>
                      <w:szCs w:val="21"/>
                      <w:highlight w:val="none"/>
                      <w:lang w:eastAsia="zh-CN"/>
                    </w:rPr>
                    <w:t>机</w:t>
                  </w:r>
                  <w:r>
                    <w:rPr>
                      <w:rFonts w:hint="default" w:ascii="Times New Roman" w:hAnsi="Times New Roman" w:eastAsia="宋体" w:cs="Times New Roman"/>
                      <w:color w:val="auto"/>
                      <w:spacing w:val="7"/>
                      <w:sz w:val="21"/>
                      <w:szCs w:val="21"/>
                      <w:highlight w:val="none"/>
                    </w:rPr>
                    <w:t>油，Q&lt;1，</w:t>
                  </w:r>
                  <w:r>
                    <w:rPr>
                      <w:rFonts w:hint="default" w:ascii="Times New Roman" w:hAnsi="Times New Roman" w:eastAsia="宋体" w:cs="Times New Roman"/>
                      <w:color w:val="auto"/>
                      <w:spacing w:val="4"/>
                      <w:sz w:val="21"/>
                      <w:szCs w:val="21"/>
                      <w:highlight w:val="none"/>
                    </w:rPr>
                    <w:t>环境风险潜势为Ⅰ</w:t>
                  </w:r>
                  <w:r>
                    <w:rPr>
                      <w:rFonts w:hint="eastAsia" w:ascii="Times New Roman" w:hAnsi="Times New Roman" w:eastAsia="宋体" w:cs="Times New Roman"/>
                      <w:color w:val="auto"/>
                      <w:spacing w:val="4"/>
                      <w:sz w:val="21"/>
                      <w:szCs w:val="21"/>
                      <w:highlight w:val="none"/>
                      <w:lang w:eastAsia="zh-CN"/>
                    </w:rPr>
                    <w:t>，</w:t>
                  </w:r>
                  <w:r>
                    <w:rPr>
                      <w:rFonts w:hint="default" w:ascii="Times New Roman" w:hAnsi="Times New Roman" w:eastAsia="宋体" w:cs="Times New Roman"/>
                      <w:color w:val="auto"/>
                      <w:spacing w:val="4"/>
                      <w:sz w:val="21"/>
                      <w:szCs w:val="21"/>
                      <w:highlight w:val="none"/>
                    </w:rPr>
                    <w:t>仅需进行简单分析。</w:t>
                  </w:r>
                </w:p>
              </w:tc>
            </w:tr>
          </w:tbl>
          <w:p>
            <w:pPr>
              <w:bidi w:val="0"/>
              <w:ind w:left="0" w:leftChars="0" w:firstLine="0" w:firstLineChars="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688" w:type="dxa"/>
            <w:vAlign w:val="center"/>
          </w:tcPr>
          <w:p>
            <w:pPr>
              <w:pStyle w:val="31"/>
              <w:rPr>
                <w:rFonts w:hint="default"/>
              </w:rPr>
            </w:pPr>
            <w:r>
              <w:t>其他</w:t>
            </w:r>
          </w:p>
        </w:tc>
        <w:tc>
          <w:tcPr>
            <w:tcW w:w="7710" w:type="dxa"/>
            <w:vAlign w:val="center"/>
          </w:tcPr>
          <w:p>
            <w:pPr>
              <w:pStyle w:val="9"/>
              <w:ind w:left="0" w:leftChars="0" w:firstLine="0" w:firstLineChars="0"/>
              <w:jc w:val="center"/>
              <w:rPr>
                <w:rFonts w:hint="default"/>
                <w:color w:val="000000"/>
              </w:rPr>
            </w:pPr>
            <w:r>
              <w:rPr>
                <w:rFonts w:hint="eastAsia"/>
                <w:b w:val="0"/>
                <w:bCs w:val="0"/>
                <w:color w:val="000000"/>
                <w:sz w:val="24"/>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pStyle w:val="31"/>
              <w:jc w:val="both"/>
              <w:rPr>
                <w:rFonts w:hint="default"/>
              </w:rPr>
            </w:pPr>
            <w:r>
              <w:t>环保投资</w:t>
            </w:r>
          </w:p>
        </w:tc>
        <w:tc>
          <w:tcPr>
            <w:tcW w:w="7710" w:type="dxa"/>
          </w:tcPr>
          <w:p>
            <w:pPr>
              <w:ind w:left="0" w:leftChars="0" w:firstLine="480" w:firstLineChars="200"/>
            </w:pPr>
            <w:r>
              <w:t>本项目工程总投资</w:t>
            </w:r>
            <w:r>
              <w:rPr>
                <w:rFonts w:hint="eastAsia"/>
              </w:rPr>
              <w:t>250.08</w:t>
            </w:r>
            <w:r>
              <w:t>万元，环保投资</w:t>
            </w:r>
            <w:r>
              <w:rPr>
                <w:rFonts w:hint="eastAsia"/>
                <w:lang w:val="en-US" w:eastAsia="zh-CN"/>
              </w:rPr>
              <w:t>52.2</w:t>
            </w:r>
            <w:r>
              <w:t>万元，占</w:t>
            </w:r>
            <w:r>
              <w:rPr>
                <w:rFonts w:hint="eastAsia"/>
                <w:lang w:val="en-US" w:eastAsia="zh-CN"/>
              </w:rPr>
              <w:t>20.9</w:t>
            </w:r>
            <w:r>
              <w:t>%</w:t>
            </w:r>
            <w:r>
              <w:rPr>
                <w:rFonts w:hint="eastAsia"/>
                <w:lang w:eastAsia="zh-CN"/>
              </w:rPr>
              <w:t>，详见表</w:t>
            </w:r>
            <w:r>
              <w:rPr>
                <w:rFonts w:hint="eastAsia"/>
                <w:lang w:val="en-US" w:eastAsia="zh-CN"/>
              </w:rPr>
              <w:t>5-9</w:t>
            </w:r>
            <w:r>
              <w:t>。</w:t>
            </w:r>
          </w:p>
          <w:p>
            <w:pPr>
              <w:adjustRightInd w:val="0"/>
              <w:snapToGrid w:val="0"/>
              <w:spacing w:line="240" w:lineRule="auto"/>
              <w:jc w:val="center"/>
              <w:rPr>
                <w:rFonts w:hint="eastAsia"/>
                <w:sz w:val="21"/>
                <w:szCs w:val="21"/>
              </w:rPr>
            </w:pPr>
            <w:r>
              <w:rPr>
                <w:b/>
                <w:bCs/>
                <w:color w:val="000000"/>
                <w:sz w:val="21"/>
                <w:szCs w:val="21"/>
              </w:rPr>
              <w:t>表5-</w:t>
            </w:r>
            <w:r>
              <w:rPr>
                <w:rFonts w:hint="eastAsia"/>
                <w:b/>
                <w:bCs/>
                <w:color w:val="000000"/>
                <w:sz w:val="21"/>
                <w:szCs w:val="21"/>
                <w:lang w:val="en-US" w:eastAsia="zh-CN"/>
              </w:rPr>
              <w:t xml:space="preserve">9 </w:t>
            </w:r>
            <w:r>
              <w:rPr>
                <w:b/>
                <w:bCs/>
                <w:color w:val="000000"/>
                <w:sz w:val="21"/>
                <w:szCs w:val="21"/>
              </w:rPr>
              <w:t xml:space="preserve">  项目环境保护措施与投资一览表  单位：万元</w:t>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1"/>
              <w:gridCol w:w="1255"/>
              <w:gridCol w:w="4870"/>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66" w:type="pct"/>
                  <w:gridSpan w:val="2"/>
                  <w:vAlign w:val="center"/>
                </w:tcPr>
                <w:p>
                  <w:pPr>
                    <w:pStyle w:val="44"/>
                    <w:spacing w:line="240" w:lineRule="auto"/>
                    <w:jc w:val="center"/>
                    <w:rPr>
                      <w:b/>
                      <w:bCs/>
                    </w:rPr>
                  </w:pPr>
                  <w:r>
                    <w:rPr>
                      <w:b/>
                      <w:bCs/>
                    </w:rPr>
                    <w:t>项目</w:t>
                  </w:r>
                </w:p>
              </w:tc>
              <w:tc>
                <w:tcPr>
                  <w:tcW w:w="3253" w:type="pct"/>
                  <w:vAlign w:val="center"/>
                </w:tcPr>
                <w:p>
                  <w:pPr>
                    <w:pStyle w:val="44"/>
                    <w:spacing w:line="240" w:lineRule="auto"/>
                    <w:jc w:val="center"/>
                    <w:rPr>
                      <w:b/>
                      <w:bCs/>
                    </w:rPr>
                  </w:pPr>
                  <w:r>
                    <w:rPr>
                      <w:b/>
                      <w:bCs/>
                    </w:rPr>
                    <w:t>环境保护措施</w:t>
                  </w:r>
                </w:p>
              </w:tc>
              <w:tc>
                <w:tcPr>
                  <w:tcW w:w="479" w:type="pct"/>
                  <w:vAlign w:val="center"/>
                </w:tcPr>
                <w:p>
                  <w:pPr>
                    <w:pStyle w:val="44"/>
                    <w:spacing w:line="240" w:lineRule="auto"/>
                    <w:jc w:val="center"/>
                    <w:rPr>
                      <w:b/>
                      <w:bCs/>
                    </w:rPr>
                  </w:pPr>
                  <w:r>
                    <w:rPr>
                      <w:b/>
                      <w:bCs/>
                    </w:rPr>
                    <w:t>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28" w:type="pct"/>
                  <w:vMerge w:val="restart"/>
                  <w:vAlign w:val="center"/>
                </w:tcPr>
                <w:p>
                  <w:pPr>
                    <w:pStyle w:val="44"/>
                    <w:spacing w:line="240" w:lineRule="auto"/>
                    <w:jc w:val="center"/>
                    <w:rPr>
                      <w:sz w:val="21"/>
                      <w:szCs w:val="21"/>
                    </w:rPr>
                  </w:pPr>
                  <w:r>
                    <w:rPr>
                      <w:sz w:val="21"/>
                      <w:szCs w:val="21"/>
                    </w:rPr>
                    <w:t>污水</w:t>
                  </w:r>
                </w:p>
                <w:p>
                  <w:pPr>
                    <w:pStyle w:val="44"/>
                    <w:spacing w:line="240" w:lineRule="auto"/>
                    <w:jc w:val="center"/>
                    <w:rPr>
                      <w:sz w:val="21"/>
                      <w:szCs w:val="21"/>
                    </w:rPr>
                  </w:pPr>
                  <w:r>
                    <w:rPr>
                      <w:sz w:val="21"/>
                      <w:szCs w:val="21"/>
                    </w:rPr>
                    <w:t>治理</w:t>
                  </w:r>
                </w:p>
              </w:tc>
              <w:tc>
                <w:tcPr>
                  <w:tcW w:w="837" w:type="pct"/>
                  <w:vAlign w:val="center"/>
                </w:tcPr>
                <w:p>
                  <w:pPr>
                    <w:pStyle w:val="44"/>
                    <w:spacing w:line="240" w:lineRule="auto"/>
                    <w:jc w:val="center"/>
                    <w:rPr>
                      <w:sz w:val="21"/>
                      <w:szCs w:val="21"/>
                    </w:rPr>
                  </w:pPr>
                  <w:r>
                    <w:rPr>
                      <w:rFonts w:hint="eastAsia"/>
                      <w:sz w:val="21"/>
                      <w:szCs w:val="21"/>
                      <w:lang w:eastAsia="zh-CN"/>
                    </w:rPr>
                    <w:t>洗砂</w:t>
                  </w:r>
                  <w:r>
                    <w:rPr>
                      <w:sz w:val="21"/>
                      <w:szCs w:val="21"/>
                    </w:rPr>
                    <w:t>废水</w:t>
                  </w:r>
                </w:p>
              </w:tc>
              <w:tc>
                <w:tcPr>
                  <w:tcW w:w="3253" w:type="pct"/>
                  <w:vAlign w:val="center"/>
                </w:tcPr>
                <w:p>
                  <w:pPr>
                    <w:pStyle w:val="44"/>
                    <w:spacing w:line="240" w:lineRule="auto"/>
                    <w:jc w:val="center"/>
                    <w:rPr>
                      <w:rFonts w:hint="eastAsia" w:eastAsia="宋体"/>
                      <w:sz w:val="21"/>
                      <w:szCs w:val="21"/>
                      <w:lang w:eastAsia="zh-CN"/>
                    </w:rPr>
                  </w:pPr>
                  <w:r>
                    <w:rPr>
                      <w:rFonts w:hint="eastAsia"/>
                      <w:sz w:val="21"/>
                      <w:szCs w:val="21"/>
                      <w:lang w:eastAsia="zh-CN"/>
                    </w:rPr>
                    <w:t>三级沉淀池</w:t>
                  </w:r>
                </w:p>
              </w:tc>
              <w:tc>
                <w:tcPr>
                  <w:tcW w:w="479" w:type="pct"/>
                  <w:vAlign w:val="center"/>
                </w:tcPr>
                <w:p>
                  <w:pPr>
                    <w:pStyle w:val="44"/>
                    <w:spacing w:line="240" w:lineRule="auto"/>
                    <w:jc w:val="center"/>
                    <w:rPr>
                      <w:rFonts w:hint="default" w:eastAsia="宋体"/>
                      <w:sz w:val="21"/>
                      <w:szCs w:val="21"/>
                      <w:lang w:val="en-US" w:eastAsia="zh-CN"/>
                    </w:rPr>
                  </w:pPr>
                  <w:r>
                    <w:rPr>
                      <w:rFonts w:hint="eastAsia"/>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28" w:type="pct"/>
                  <w:vMerge w:val="continue"/>
                  <w:vAlign w:val="center"/>
                </w:tcPr>
                <w:p>
                  <w:pPr>
                    <w:pStyle w:val="44"/>
                    <w:spacing w:line="240" w:lineRule="auto"/>
                    <w:jc w:val="center"/>
                    <w:rPr>
                      <w:sz w:val="21"/>
                      <w:szCs w:val="21"/>
                    </w:rPr>
                  </w:pPr>
                </w:p>
              </w:tc>
              <w:tc>
                <w:tcPr>
                  <w:tcW w:w="837" w:type="pct"/>
                  <w:vAlign w:val="center"/>
                </w:tcPr>
                <w:p>
                  <w:pPr>
                    <w:pStyle w:val="44"/>
                    <w:spacing w:line="240" w:lineRule="auto"/>
                    <w:jc w:val="center"/>
                    <w:rPr>
                      <w:sz w:val="21"/>
                      <w:szCs w:val="21"/>
                    </w:rPr>
                  </w:pPr>
                  <w:r>
                    <w:rPr>
                      <w:sz w:val="21"/>
                      <w:szCs w:val="21"/>
                    </w:rPr>
                    <w:t>生活污水</w:t>
                  </w:r>
                </w:p>
              </w:tc>
              <w:tc>
                <w:tcPr>
                  <w:tcW w:w="3253" w:type="pct"/>
                  <w:vAlign w:val="center"/>
                </w:tcPr>
                <w:p>
                  <w:pPr>
                    <w:pStyle w:val="44"/>
                    <w:spacing w:line="240" w:lineRule="auto"/>
                    <w:jc w:val="center"/>
                    <w:rPr>
                      <w:rFonts w:hint="default" w:eastAsia="宋体"/>
                      <w:sz w:val="21"/>
                      <w:szCs w:val="21"/>
                      <w:lang w:val="en-US" w:eastAsia="zh-CN"/>
                    </w:rPr>
                  </w:pPr>
                  <w:r>
                    <w:rPr>
                      <w:rFonts w:hint="eastAsia"/>
                      <w:sz w:val="21"/>
                      <w:szCs w:val="21"/>
                      <w:lang w:val="en-US" w:eastAsia="zh-CN"/>
                    </w:rPr>
                    <w:t>一体化污水处理设施</w:t>
                  </w:r>
                </w:p>
              </w:tc>
              <w:tc>
                <w:tcPr>
                  <w:tcW w:w="479" w:type="pct"/>
                  <w:vAlign w:val="center"/>
                </w:tcPr>
                <w:p>
                  <w:pPr>
                    <w:pStyle w:val="44"/>
                    <w:spacing w:line="240" w:lineRule="auto"/>
                    <w:jc w:val="center"/>
                    <w:rPr>
                      <w:rFonts w:hint="eastAsia" w:eastAsia="宋体"/>
                      <w:sz w:val="21"/>
                      <w:szCs w:val="21"/>
                      <w:lang w:val="en-US" w:eastAsia="zh-CN"/>
                    </w:rPr>
                  </w:pPr>
                  <w:r>
                    <w:rPr>
                      <w:rFonts w:hint="eastAsia"/>
                      <w:sz w:val="21"/>
                      <w:szCs w:val="21"/>
                      <w:lang w:val="en-US" w:eastAsia="zh-CN"/>
                    </w:rPr>
                    <w:t>5</w:t>
                  </w:r>
                  <w:r>
                    <w:rPr>
                      <w:sz w:val="21"/>
                      <w:szCs w:val="21"/>
                    </w:rPr>
                    <w:t>.</w:t>
                  </w:r>
                  <w:r>
                    <w:rPr>
                      <w:rFonts w:hint="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28" w:type="pct"/>
                  <w:vAlign w:val="center"/>
                </w:tcPr>
                <w:p>
                  <w:pPr>
                    <w:pStyle w:val="44"/>
                    <w:spacing w:line="240" w:lineRule="auto"/>
                    <w:jc w:val="center"/>
                    <w:rPr>
                      <w:sz w:val="21"/>
                      <w:szCs w:val="21"/>
                    </w:rPr>
                  </w:pPr>
                  <w:r>
                    <w:rPr>
                      <w:sz w:val="21"/>
                      <w:szCs w:val="21"/>
                    </w:rPr>
                    <w:t>废气</w:t>
                  </w:r>
                </w:p>
                <w:p>
                  <w:pPr>
                    <w:pStyle w:val="44"/>
                    <w:spacing w:line="240" w:lineRule="auto"/>
                    <w:jc w:val="center"/>
                    <w:rPr>
                      <w:sz w:val="21"/>
                      <w:szCs w:val="21"/>
                    </w:rPr>
                  </w:pPr>
                  <w:r>
                    <w:rPr>
                      <w:sz w:val="21"/>
                      <w:szCs w:val="21"/>
                    </w:rPr>
                    <w:t>治理</w:t>
                  </w:r>
                </w:p>
              </w:tc>
              <w:tc>
                <w:tcPr>
                  <w:tcW w:w="837" w:type="pct"/>
                  <w:vAlign w:val="center"/>
                </w:tcPr>
                <w:p>
                  <w:pPr>
                    <w:pStyle w:val="44"/>
                    <w:spacing w:line="240" w:lineRule="auto"/>
                    <w:jc w:val="center"/>
                    <w:rPr>
                      <w:sz w:val="21"/>
                      <w:szCs w:val="21"/>
                    </w:rPr>
                  </w:pPr>
                  <w:r>
                    <w:rPr>
                      <w:rFonts w:hint="eastAsia"/>
                      <w:color w:val="000000"/>
                      <w:sz w:val="21"/>
                      <w:szCs w:val="21"/>
                      <w:highlight w:val="none"/>
                    </w:rPr>
                    <w:t>粉尘</w:t>
                  </w:r>
                </w:p>
              </w:tc>
              <w:tc>
                <w:tcPr>
                  <w:tcW w:w="3253" w:type="pct"/>
                  <w:vAlign w:val="center"/>
                </w:tcPr>
                <w:p>
                  <w:pPr>
                    <w:pStyle w:val="44"/>
                    <w:spacing w:line="240" w:lineRule="auto"/>
                    <w:jc w:val="center"/>
                    <w:rPr>
                      <w:rFonts w:hint="eastAsia" w:eastAsia="宋体"/>
                      <w:sz w:val="21"/>
                      <w:szCs w:val="21"/>
                      <w:lang w:eastAsia="zh-CN"/>
                    </w:rPr>
                  </w:pPr>
                  <w:r>
                    <w:rPr>
                      <w:rFonts w:hint="eastAsia"/>
                      <w:sz w:val="21"/>
                      <w:szCs w:val="21"/>
                      <w:lang w:eastAsia="zh-CN"/>
                    </w:rPr>
                    <w:t>全封闭车间、集气罩、布袋除尘器</w:t>
                  </w:r>
                  <w:r>
                    <w:rPr>
                      <w:rFonts w:hint="eastAsia"/>
                      <w:sz w:val="21"/>
                      <w:szCs w:val="21"/>
                      <w:lang w:val="en-US" w:eastAsia="zh-CN"/>
                    </w:rPr>
                    <w:t>+15m排气筒；喷雾抑尘、油烟净化器</w:t>
                  </w:r>
                </w:p>
              </w:tc>
              <w:tc>
                <w:tcPr>
                  <w:tcW w:w="479" w:type="pct"/>
                  <w:vAlign w:val="center"/>
                </w:tcPr>
                <w:p>
                  <w:pPr>
                    <w:pStyle w:val="44"/>
                    <w:spacing w:line="240" w:lineRule="auto"/>
                    <w:jc w:val="center"/>
                    <w:rPr>
                      <w:rFonts w:hint="default" w:eastAsia="宋体"/>
                      <w:sz w:val="21"/>
                      <w:szCs w:val="21"/>
                      <w:lang w:val="en-US" w:eastAsia="zh-CN"/>
                    </w:rPr>
                  </w:pPr>
                  <w:r>
                    <w:rPr>
                      <w:rFonts w:hint="eastAsia"/>
                      <w:sz w:val="21"/>
                      <w:szCs w:val="21"/>
                      <w:highlight w:val="no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28" w:type="pct"/>
                  <w:vAlign w:val="center"/>
                </w:tcPr>
                <w:p>
                  <w:pPr>
                    <w:pStyle w:val="44"/>
                    <w:spacing w:line="240" w:lineRule="auto"/>
                    <w:jc w:val="center"/>
                    <w:rPr>
                      <w:sz w:val="21"/>
                      <w:szCs w:val="21"/>
                    </w:rPr>
                  </w:pPr>
                  <w:r>
                    <w:rPr>
                      <w:sz w:val="21"/>
                      <w:szCs w:val="21"/>
                    </w:rPr>
                    <w:t>噪声</w:t>
                  </w:r>
                </w:p>
                <w:p>
                  <w:pPr>
                    <w:pStyle w:val="44"/>
                    <w:spacing w:line="240" w:lineRule="auto"/>
                    <w:jc w:val="center"/>
                    <w:rPr>
                      <w:sz w:val="21"/>
                      <w:szCs w:val="21"/>
                    </w:rPr>
                  </w:pPr>
                  <w:r>
                    <w:rPr>
                      <w:sz w:val="21"/>
                      <w:szCs w:val="21"/>
                    </w:rPr>
                    <w:t>治理</w:t>
                  </w:r>
                </w:p>
              </w:tc>
              <w:tc>
                <w:tcPr>
                  <w:tcW w:w="837" w:type="pct"/>
                  <w:vAlign w:val="center"/>
                </w:tcPr>
                <w:p>
                  <w:pPr>
                    <w:pStyle w:val="44"/>
                    <w:spacing w:line="240" w:lineRule="auto"/>
                    <w:jc w:val="center"/>
                    <w:rPr>
                      <w:sz w:val="21"/>
                      <w:szCs w:val="21"/>
                    </w:rPr>
                  </w:pPr>
                  <w:r>
                    <w:rPr>
                      <w:sz w:val="21"/>
                      <w:szCs w:val="21"/>
                    </w:rPr>
                    <w:t>噪声防治</w:t>
                  </w:r>
                </w:p>
              </w:tc>
              <w:tc>
                <w:tcPr>
                  <w:tcW w:w="3253" w:type="pct"/>
                  <w:vAlign w:val="center"/>
                </w:tcPr>
                <w:p>
                  <w:pPr>
                    <w:pStyle w:val="44"/>
                    <w:spacing w:line="240" w:lineRule="auto"/>
                    <w:jc w:val="center"/>
                    <w:rPr>
                      <w:sz w:val="21"/>
                      <w:szCs w:val="21"/>
                    </w:rPr>
                  </w:pPr>
                  <w:r>
                    <w:rPr>
                      <w:sz w:val="21"/>
                      <w:szCs w:val="21"/>
                    </w:rPr>
                    <w:t>优选设备、合理施工安排施工布局及施工时间，禁止夜间施工、控制鸣笛等</w:t>
                  </w:r>
                </w:p>
              </w:tc>
              <w:tc>
                <w:tcPr>
                  <w:tcW w:w="479" w:type="pct"/>
                  <w:vAlign w:val="center"/>
                </w:tcPr>
                <w:p>
                  <w:pPr>
                    <w:pStyle w:val="44"/>
                    <w:spacing w:line="240" w:lineRule="auto"/>
                    <w:jc w:val="center"/>
                    <w:rPr>
                      <w:rFonts w:hint="default"/>
                      <w:sz w:val="21"/>
                      <w:szCs w:val="21"/>
                      <w:lang w:val="en-US"/>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28" w:type="pct"/>
                  <w:vMerge w:val="restart"/>
                  <w:vAlign w:val="center"/>
                </w:tcPr>
                <w:p>
                  <w:pPr>
                    <w:pStyle w:val="44"/>
                    <w:spacing w:line="240" w:lineRule="auto"/>
                    <w:jc w:val="center"/>
                    <w:rPr>
                      <w:sz w:val="21"/>
                      <w:szCs w:val="21"/>
                    </w:rPr>
                  </w:pPr>
                  <w:r>
                    <w:rPr>
                      <w:sz w:val="21"/>
                      <w:szCs w:val="21"/>
                    </w:rPr>
                    <w:t>固废</w:t>
                  </w:r>
                </w:p>
                <w:p>
                  <w:pPr>
                    <w:pStyle w:val="44"/>
                    <w:spacing w:line="240" w:lineRule="auto"/>
                    <w:jc w:val="center"/>
                    <w:rPr>
                      <w:sz w:val="21"/>
                      <w:szCs w:val="21"/>
                    </w:rPr>
                  </w:pPr>
                  <w:r>
                    <w:rPr>
                      <w:sz w:val="21"/>
                      <w:szCs w:val="21"/>
                    </w:rPr>
                    <w:t>治理</w:t>
                  </w:r>
                </w:p>
              </w:tc>
              <w:tc>
                <w:tcPr>
                  <w:tcW w:w="837" w:type="pct"/>
                  <w:vAlign w:val="center"/>
                </w:tcPr>
                <w:p>
                  <w:pPr>
                    <w:pStyle w:val="44"/>
                    <w:spacing w:line="240" w:lineRule="auto"/>
                    <w:jc w:val="center"/>
                    <w:rPr>
                      <w:sz w:val="21"/>
                      <w:szCs w:val="21"/>
                    </w:rPr>
                  </w:pPr>
                  <w:r>
                    <w:rPr>
                      <w:sz w:val="21"/>
                      <w:szCs w:val="21"/>
                    </w:rPr>
                    <w:t>生活垃圾</w:t>
                  </w:r>
                </w:p>
              </w:tc>
              <w:tc>
                <w:tcPr>
                  <w:tcW w:w="3253" w:type="pct"/>
                  <w:vAlign w:val="center"/>
                </w:tcPr>
                <w:p>
                  <w:pPr>
                    <w:pStyle w:val="44"/>
                    <w:spacing w:line="240" w:lineRule="auto"/>
                    <w:jc w:val="center"/>
                    <w:rPr>
                      <w:sz w:val="21"/>
                      <w:szCs w:val="21"/>
                    </w:rPr>
                  </w:pPr>
                  <w:r>
                    <w:rPr>
                      <w:sz w:val="21"/>
                      <w:szCs w:val="21"/>
                    </w:rPr>
                    <w:t>设垃圾桶分类收集后，运至附近生活垃圾收集点处置。</w:t>
                  </w:r>
                </w:p>
              </w:tc>
              <w:tc>
                <w:tcPr>
                  <w:tcW w:w="479" w:type="pct"/>
                  <w:vAlign w:val="center"/>
                </w:tcPr>
                <w:p>
                  <w:pPr>
                    <w:pStyle w:val="44"/>
                    <w:spacing w:line="240" w:lineRule="auto"/>
                    <w:jc w:val="center"/>
                    <w:rPr>
                      <w:rFonts w:hint="default" w:eastAsia="宋体"/>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28" w:type="pct"/>
                  <w:vMerge w:val="continue"/>
                  <w:vAlign w:val="center"/>
                </w:tcPr>
                <w:p>
                  <w:pPr>
                    <w:pStyle w:val="44"/>
                    <w:spacing w:line="240" w:lineRule="auto"/>
                    <w:jc w:val="center"/>
                    <w:rPr>
                      <w:sz w:val="21"/>
                      <w:szCs w:val="21"/>
                    </w:rPr>
                  </w:pPr>
                </w:p>
              </w:tc>
              <w:tc>
                <w:tcPr>
                  <w:tcW w:w="837" w:type="pct"/>
                  <w:vAlign w:val="center"/>
                </w:tcPr>
                <w:p>
                  <w:pPr>
                    <w:pStyle w:val="44"/>
                    <w:spacing w:line="240" w:lineRule="auto"/>
                    <w:jc w:val="center"/>
                    <w:rPr>
                      <w:rFonts w:hint="eastAsia" w:eastAsia="宋体"/>
                      <w:sz w:val="21"/>
                      <w:szCs w:val="21"/>
                      <w:lang w:eastAsia="zh-CN"/>
                    </w:rPr>
                  </w:pPr>
                  <w:r>
                    <w:rPr>
                      <w:rFonts w:hint="eastAsia"/>
                      <w:sz w:val="21"/>
                      <w:szCs w:val="21"/>
                      <w:lang w:eastAsia="zh-CN"/>
                    </w:rPr>
                    <w:t>沉淀池泥沙</w:t>
                  </w:r>
                </w:p>
              </w:tc>
              <w:tc>
                <w:tcPr>
                  <w:tcW w:w="3253" w:type="pct"/>
                  <w:vAlign w:val="center"/>
                </w:tcPr>
                <w:p>
                  <w:pPr>
                    <w:pStyle w:val="44"/>
                    <w:spacing w:line="240" w:lineRule="auto"/>
                    <w:jc w:val="center"/>
                    <w:rPr>
                      <w:sz w:val="21"/>
                      <w:szCs w:val="21"/>
                    </w:rPr>
                  </w:pPr>
                  <w:r>
                    <w:rPr>
                      <w:rFonts w:hint="eastAsia"/>
                      <w:sz w:val="21"/>
                      <w:szCs w:val="21"/>
                      <w:lang w:eastAsia="zh-CN"/>
                    </w:rPr>
                    <w:t>收集后进行</w:t>
                  </w:r>
                  <w:r>
                    <w:rPr>
                      <w:rFonts w:hint="eastAsia"/>
                      <w:sz w:val="21"/>
                      <w:szCs w:val="21"/>
                      <w:lang w:val="en-US" w:eastAsia="zh-CN"/>
                    </w:rPr>
                    <w:t>回填</w:t>
                  </w:r>
                  <w:r>
                    <w:rPr>
                      <w:sz w:val="21"/>
                      <w:szCs w:val="21"/>
                    </w:rPr>
                    <w:t>。</w:t>
                  </w:r>
                </w:p>
              </w:tc>
              <w:tc>
                <w:tcPr>
                  <w:tcW w:w="479" w:type="pct"/>
                  <w:vAlign w:val="center"/>
                </w:tcPr>
                <w:p>
                  <w:pPr>
                    <w:pStyle w:val="44"/>
                    <w:spacing w:line="240" w:lineRule="auto"/>
                    <w:jc w:val="center"/>
                    <w:rPr>
                      <w:rFonts w:hint="default" w:eastAsia="宋体"/>
                      <w:sz w:val="21"/>
                      <w:szCs w:val="21"/>
                      <w:lang w:val="en-US" w:eastAsia="zh-CN"/>
                    </w:rPr>
                  </w:pPr>
                  <w:r>
                    <w:rPr>
                      <w:rFonts w:hint="eastAsia"/>
                      <w:sz w:val="21"/>
                      <w:szCs w:val="21"/>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28" w:type="pct"/>
                  <w:vMerge w:val="continue"/>
                  <w:vAlign w:val="center"/>
                </w:tcPr>
                <w:p>
                  <w:pPr>
                    <w:pStyle w:val="44"/>
                    <w:spacing w:line="240" w:lineRule="auto"/>
                    <w:jc w:val="center"/>
                    <w:rPr>
                      <w:sz w:val="21"/>
                      <w:szCs w:val="21"/>
                    </w:rPr>
                  </w:pPr>
                </w:p>
              </w:tc>
              <w:tc>
                <w:tcPr>
                  <w:tcW w:w="837" w:type="pct"/>
                  <w:vAlign w:val="center"/>
                </w:tcPr>
                <w:p>
                  <w:pPr>
                    <w:pStyle w:val="44"/>
                    <w:spacing w:line="240" w:lineRule="auto"/>
                    <w:jc w:val="center"/>
                    <w:rPr>
                      <w:rFonts w:hint="eastAsia"/>
                      <w:sz w:val="21"/>
                      <w:szCs w:val="21"/>
                      <w:lang w:eastAsia="zh-CN"/>
                    </w:rPr>
                  </w:pPr>
                  <w:r>
                    <w:rPr>
                      <w:rFonts w:hint="eastAsia"/>
                      <w:sz w:val="21"/>
                      <w:szCs w:val="21"/>
                      <w:lang w:eastAsia="zh-CN"/>
                    </w:rPr>
                    <w:t>废机油</w:t>
                  </w:r>
                </w:p>
              </w:tc>
              <w:tc>
                <w:tcPr>
                  <w:tcW w:w="3253" w:type="pct"/>
                  <w:vAlign w:val="center"/>
                </w:tcPr>
                <w:p>
                  <w:pPr>
                    <w:pStyle w:val="44"/>
                    <w:spacing w:line="240" w:lineRule="auto"/>
                    <w:jc w:val="center"/>
                    <w:rPr>
                      <w:rFonts w:hint="eastAsia"/>
                      <w:sz w:val="21"/>
                      <w:szCs w:val="21"/>
                      <w:lang w:eastAsia="zh-CN"/>
                    </w:rPr>
                  </w:pPr>
                  <w:r>
                    <w:rPr>
                      <w:rFonts w:hint="eastAsia"/>
                      <w:sz w:val="21"/>
                      <w:szCs w:val="21"/>
                      <w:lang w:eastAsia="zh-CN"/>
                    </w:rPr>
                    <w:t>暂存于危险废物暂存间，定期交由有资质单位进行处置</w:t>
                  </w:r>
                </w:p>
              </w:tc>
              <w:tc>
                <w:tcPr>
                  <w:tcW w:w="479" w:type="pct"/>
                  <w:vAlign w:val="center"/>
                </w:tcPr>
                <w:p>
                  <w:pPr>
                    <w:pStyle w:val="44"/>
                    <w:spacing w:line="240" w:lineRule="auto"/>
                    <w:jc w:val="center"/>
                    <w:rPr>
                      <w:rFonts w:hint="default" w:eastAsia="宋体"/>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66" w:type="pct"/>
                  <w:gridSpan w:val="2"/>
                  <w:vAlign w:val="center"/>
                </w:tcPr>
                <w:p>
                  <w:pPr>
                    <w:pStyle w:val="44"/>
                    <w:spacing w:line="240" w:lineRule="auto"/>
                    <w:jc w:val="center"/>
                    <w:rPr>
                      <w:sz w:val="21"/>
                      <w:szCs w:val="21"/>
                    </w:rPr>
                  </w:pPr>
                  <w:r>
                    <w:rPr>
                      <w:sz w:val="21"/>
                      <w:szCs w:val="21"/>
                    </w:rPr>
                    <w:t>其他</w:t>
                  </w:r>
                </w:p>
              </w:tc>
              <w:tc>
                <w:tcPr>
                  <w:tcW w:w="3253" w:type="pct"/>
                  <w:vAlign w:val="center"/>
                </w:tcPr>
                <w:p>
                  <w:pPr>
                    <w:pStyle w:val="44"/>
                    <w:spacing w:line="240" w:lineRule="auto"/>
                    <w:jc w:val="center"/>
                    <w:rPr>
                      <w:rFonts w:hint="default" w:eastAsia="宋体"/>
                      <w:sz w:val="21"/>
                      <w:szCs w:val="21"/>
                      <w:lang w:val="en-US" w:eastAsia="zh-CN"/>
                    </w:rPr>
                  </w:pPr>
                  <w:r>
                    <w:rPr>
                      <w:rFonts w:hint="eastAsia"/>
                      <w:sz w:val="21"/>
                      <w:szCs w:val="21"/>
                      <w:lang w:val="en-US" w:eastAsia="zh-CN"/>
                    </w:rPr>
                    <w:t>生态恢复</w:t>
                  </w:r>
                </w:p>
              </w:tc>
              <w:tc>
                <w:tcPr>
                  <w:tcW w:w="479" w:type="pct"/>
                  <w:vAlign w:val="center"/>
                </w:tcPr>
                <w:p>
                  <w:pPr>
                    <w:pStyle w:val="44"/>
                    <w:spacing w:line="240" w:lineRule="auto"/>
                    <w:jc w:val="center"/>
                    <w:rPr>
                      <w:rFonts w:hint="default" w:eastAsia="宋体"/>
                      <w:sz w:val="21"/>
                      <w:szCs w:val="21"/>
                      <w:lang w:val="en-US" w:eastAsia="zh-CN"/>
                    </w:rPr>
                  </w:pPr>
                  <w:r>
                    <w:rPr>
                      <w:rFonts w:hint="eastAsia"/>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66" w:type="pct"/>
                  <w:gridSpan w:val="2"/>
                  <w:vAlign w:val="center"/>
                </w:tcPr>
                <w:p>
                  <w:pPr>
                    <w:pStyle w:val="44"/>
                    <w:spacing w:line="240" w:lineRule="auto"/>
                    <w:jc w:val="center"/>
                    <w:rPr>
                      <w:sz w:val="21"/>
                      <w:szCs w:val="21"/>
                    </w:rPr>
                  </w:pPr>
                  <w:r>
                    <w:rPr>
                      <w:sz w:val="21"/>
                      <w:szCs w:val="21"/>
                    </w:rPr>
                    <w:t>环保总投资（万元）</w:t>
                  </w:r>
                </w:p>
              </w:tc>
              <w:tc>
                <w:tcPr>
                  <w:tcW w:w="3253" w:type="pct"/>
                  <w:vAlign w:val="center"/>
                </w:tcPr>
                <w:p>
                  <w:pPr>
                    <w:pStyle w:val="44"/>
                    <w:spacing w:line="240" w:lineRule="auto"/>
                    <w:jc w:val="center"/>
                    <w:rPr>
                      <w:sz w:val="21"/>
                      <w:szCs w:val="21"/>
                    </w:rPr>
                  </w:pPr>
                  <w:r>
                    <w:rPr>
                      <w:sz w:val="21"/>
                      <w:szCs w:val="21"/>
                    </w:rPr>
                    <w:t>/</w:t>
                  </w:r>
                </w:p>
              </w:tc>
              <w:tc>
                <w:tcPr>
                  <w:tcW w:w="479" w:type="pct"/>
                  <w:vAlign w:val="center"/>
                </w:tcPr>
                <w:p>
                  <w:pPr>
                    <w:pStyle w:val="44"/>
                    <w:spacing w:line="240" w:lineRule="auto"/>
                    <w:jc w:val="center"/>
                    <w:rPr>
                      <w:rFonts w:hint="default" w:eastAsia="宋体"/>
                      <w:sz w:val="21"/>
                      <w:szCs w:val="21"/>
                      <w:lang w:val="en-US" w:eastAsia="zh-CN"/>
                    </w:rPr>
                  </w:pPr>
                  <w:r>
                    <w:rPr>
                      <w:rFonts w:hint="eastAsia"/>
                      <w:sz w:val="21"/>
                      <w:szCs w:val="21"/>
                      <w:lang w:val="en-US" w:eastAsia="zh-CN"/>
                    </w:rPr>
                    <w:t>52.2</w:t>
                  </w:r>
                </w:p>
              </w:tc>
            </w:tr>
          </w:tbl>
          <w:p>
            <w:pPr>
              <w:pStyle w:val="9"/>
              <w:ind w:left="0" w:leftChars="0" w:firstLine="0" w:firstLineChars="0"/>
            </w:pPr>
          </w:p>
        </w:tc>
      </w:tr>
    </w:tbl>
    <w:p>
      <w:pPr>
        <w:ind w:firstLine="480"/>
      </w:pPr>
      <w:r>
        <w:rPr>
          <w:rFonts w:hint="eastAsia"/>
        </w:rPr>
        <w:br w:type="page"/>
      </w:r>
    </w:p>
    <w:p>
      <w:pPr>
        <w:pStyle w:val="2"/>
        <w:numPr>
          <w:ilvl w:val="0"/>
          <w:numId w:val="0"/>
        </w:numPr>
        <w:jc w:val="center"/>
      </w:pPr>
      <w:r>
        <w:rPr>
          <w:rFonts w:hint="eastAsia" w:ascii="Times New Roman" w:hAnsi="Times New Roman" w:eastAsia="宋体" w:cstheme="minorBidi"/>
          <w:b/>
          <w:kern w:val="44"/>
          <w:sz w:val="30"/>
          <w:szCs w:val="24"/>
          <w:lang w:val="en-US" w:eastAsia="zh-CN" w:bidi="ar-SA"/>
        </w:rPr>
        <w:t>六、</w:t>
      </w:r>
      <w:r>
        <w:rPr>
          <w:rFonts w:hint="eastAsia"/>
        </w:rPr>
        <w:t>生态环境保护措施监督检查清单</w:t>
      </w:r>
    </w:p>
    <w:tbl>
      <w:tblPr>
        <w:tblStyle w:val="24"/>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375"/>
        <w:gridCol w:w="1313"/>
        <w:gridCol w:w="3050"/>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32"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bCs w:val="0"/>
              </w:rPr>
            </w:pPr>
            <w:r>
              <w:rPr>
                <w:rFonts w:hint="eastAsia"/>
                <w:b/>
                <w:bCs w:val="0"/>
              </w:rPr>
              <w:t>要素</w:t>
            </w:r>
          </w:p>
        </w:tc>
        <w:tc>
          <w:tcPr>
            <w:tcW w:w="3688" w:type="dxa"/>
            <w:gridSpan w:val="2"/>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bCs w:val="0"/>
              </w:rPr>
            </w:pPr>
            <w:r>
              <w:rPr>
                <w:rFonts w:hint="eastAsia"/>
                <w:b/>
                <w:bCs w:val="0"/>
              </w:rPr>
              <w:t>施工期</w:t>
            </w:r>
          </w:p>
        </w:tc>
        <w:tc>
          <w:tcPr>
            <w:tcW w:w="4605" w:type="dxa"/>
            <w:gridSpan w:val="2"/>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bCs w:val="0"/>
              </w:rPr>
            </w:pPr>
            <w:r>
              <w:rPr>
                <w:rFonts w:hint="eastAsia"/>
                <w:b/>
                <w:bCs w:val="0"/>
              </w:rPr>
              <w:t>运营期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32"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内容</w:t>
            </w:r>
          </w:p>
        </w:tc>
        <w:tc>
          <w:tcPr>
            <w:tcW w:w="2375"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环境保护措施</w:t>
            </w:r>
          </w:p>
        </w:tc>
        <w:tc>
          <w:tcPr>
            <w:tcW w:w="1313"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验收要求</w:t>
            </w:r>
          </w:p>
        </w:tc>
        <w:tc>
          <w:tcPr>
            <w:tcW w:w="3050"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环境保护措施</w:t>
            </w:r>
          </w:p>
        </w:tc>
        <w:tc>
          <w:tcPr>
            <w:tcW w:w="1555"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32"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陆生生态</w:t>
            </w:r>
          </w:p>
        </w:tc>
        <w:tc>
          <w:tcPr>
            <w:tcW w:w="2375"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限制施工车辆及人员活动范围，减少占地；尽量缩短施工期，减少水土流失；施工物料、堆土、施工作业面雨天遮盖，避免雨水冲刷产生水土流失；加强施工人员教育，减少占地和植被破坏</w:t>
            </w:r>
          </w:p>
        </w:tc>
        <w:tc>
          <w:tcPr>
            <w:tcW w:w="1313"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工程现场无渣土堆放；临时占地恢复至原状，进行植被恢复或绿化。</w:t>
            </w:r>
          </w:p>
        </w:tc>
        <w:tc>
          <w:tcPr>
            <w:tcW w:w="3050"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rFonts w:hint="eastAsia" w:eastAsia="宋体"/>
                <w:b w:val="0"/>
                <w:bCs/>
                <w:lang w:eastAsia="zh-CN"/>
              </w:rPr>
            </w:pPr>
            <w:r>
              <w:rPr>
                <w:rFonts w:hint="eastAsia" w:eastAsia="宋体"/>
                <w:b w:val="0"/>
                <w:bCs/>
                <w:lang w:eastAsia="zh-CN"/>
              </w:rPr>
              <w:t>严格限制开采机械设备和作业人员的活动范围，合理划定开采和活动范围，减少地表扰动面积；道路出入口竖立保护植被警示牌，提醒区内人员勿破坏植被；道路铺筑避开植被，车辆在指定道路上行驶，严禁随意行驶以防碾压植被；闭矿期土地复垦面积。</w:t>
            </w:r>
          </w:p>
        </w:tc>
        <w:tc>
          <w:tcPr>
            <w:tcW w:w="1555"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rFonts w:hint="eastAsia" w:eastAsia="宋体"/>
                <w:b w:val="0"/>
                <w:bCs/>
                <w:lang w:eastAsia="zh-CN"/>
              </w:rPr>
            </w:pPr>
            <w:r>
              <w:rPr>
                <w:rFonts w:hint="eastAsia"/>
                <w:b w:val="0"/>
                <w:bCs/>
                <w:lang w:val="en-US" w:eastAsia="zh-CN"/>
              </w:rPr>
              <w:t>进行生态恢复至原有水平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32"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水生生态</w:t>
            </w:r>
          </w:p>
        </w:tc>
        <w:tc>
          <w:tcPr>
            <w:tcW w:w="2375"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rFonts w:hint="eastAsia" w:eastAsia="宋体"/>
                <w:b w:val="0"/>
                <w:bCs/>
                <w:lang w:eastAsia="zh-CN"/>
              </w:rPr>
            </w:pPr>
            <w:r>
              <w:rPr>
                <w:rFonts w:hint="eastAsia"/>
                <w:b w:val="0"/>
                <w:bCs/>
                <w:lang w:val="en-US" w:eastAsia="zh-CN"/>
              </w:rPr>
              <w:t>/</w:t>
            </w:r>
          </w:p>
        </w:tc>
        <w:tc>
          <w:tcPr>
            <w:tcW w:w="1313"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rFonts w:hint="eastAsia" w:eastAsia="宋体"/>
                <w:b w:val="0"/>
                <w:bCs/>
                <w:lang w:eastAsia="zh-CN"/>
              </w:rPr>
            </w:pPr>
            <w:r>
              <w:rPr>
                <w:rFonts w:hint="eastAsia"/>
                <w:b w:val="0"/>
                <w:bCs/>
                <w:lang w:val="en-US" w:eastAsia="zh-CN"/>
              </w:rPr>
              <w:t>/</w:t>
            </w:r>
          </w:p>
        </w:tc>
        <w:tc>
          <w:tcPr>
            <w:tcW w:w="3050"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w:t>
            </w:r>
          </w:p>
        </w:tc>
        <w:tc>
          <w:tcPr>
            <w:tcW w:w="1555"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732"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地表水环境</w:t>
            </w:r>
          </w:p>
        </w:tc>
        <w:tc>
          <w:tcPr>
            <w:tcW w:w="2375"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1、施工区内</w:t>
            </w:r>
            <w:r>
              <w:rPr>
                <w:rFonts w:hint="eastAsia"/>
                <w:b w:val="0"/>
                <w:bCs/>
                <w:lang w:val="en-US" w:eastAsia="zh-CN"/>
              </w:rPr>
              <w:t>生活污水临时移动式环保厕所，生活污水清运处置</w:t>
            </w:r>
            <w:r>
              <w:rPr>
                <w:rFonts w:hint="eastAsia"/>
                <w:b w:val="0"/>
                <w:bCs/>
              </w:rPr>
              <w:t>；2、</w:t>
            </w:r>
            <w:r>
              <w:rPr>
                <w:rFonts w:hint="eastAsia"/>
                <w:b w:val="0"/>
                <w:bCs/>
                <w:lang w:val="en-US" w:eastAsia="zh-CN"/>
              </w:rPr>
              <w:t>施工废水经沉淀后回用与洒水降尘</w:t>
            </w:r>
            <w:r>
              <w:rPr>
                <w:rFonts w:hint="eastAsia"/>
                <w:b w:val="0"/>
                <w:bCs/>
              </w:rPr>
              <w:t>；</w:t>
            </w:r>
          </w:p>
        </w:tc>
        <w:tc>
          <w:tcPr>
            <w:tcW w:w="1313" w:type="dxa"/>
            <w:vAlign w:val="center"/>
          </w:tcPr>
          <w:p>
            <w:pPr>
              <w:pStyle w:val="27"/>
              <w:keepNext w:val="0"/>
              <w:keepLines w:val="0"/>
              <w:pageBreakBefore w:val="0"/>
              <w:widowControl w:val="0"/>
              <w:kinsoku/>
              <w:wordWrap w:val="0"/>
              <w:overflowPunct/>
              <w:topLinePunct w:val="0"/>
              <w:autoSpaceDE/>
              <w:autoSpaceDN/>
              <w:bidi w:val="0"/>
              <w:snapToGrid/>
              <w:spacing w:line="240" w:lineRule="auto"/>
              <w:jc w:val="center"/>
              <w:textAlignment w:val="auto"/>
              <w:rPr>
                <w:b w:val="0"/>
                <w:bCs/>
              </w:rPr>
            </w:pPr>
            <w:r>
              <w:rPr>
                <w:b w:val="0"/>
                <w:bCs/>
              </w:rPr>
              <w:t>相关地表水环境保护措施落实，对周边地表水环境未造成明显不利影响。</w:t>
            </w:r>
          </w:p>
        </w:tc>
        <w:tc>
          <w:tcPr>
            <w:tcW w:w="3050"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rFonts w:hint="eastAsia" w:eastAsia="宋体"/>
                <w:b w:val="0"/>
                <w:bCs/>
                <w:lang w:val="en-US" w:eastAsia="zh-CN"/>
              </w:rPr>
            </w:pPr>
            <w:r>
              <w:rPr>
                <w:rFonts w:hint="eastAsia"/>
                <w:b w:val="0"/>
                <w:bCs/>
              </w:rPr>
              <w:t>1、生产废水</w:t>
            </w:r>
            <w:r>
              <w:rPr>
                <w:rFonts w:hint="eastAsia"/>
                <w:b w:val="0"/>
                <w:bCs/>
                <w:lang w:eastAsia="zh-CN"/>
              </w:rPr>
              <w:t>经三级沉淀池沉淀后回用生产，不外排</w:t>
            </w:r>
            <w:r>
              <w:rPr>
                <w:rFonts w:hint="eastAsia"/>
                <w:b w:val="0"/>
                <w:bCs/>
              </w:rPr>
              <w:t>；2、食堂废水经隔油处理后与其他生活污水经地埋式一体化污水处理设施处理后用于场地洒水抑尘。</w:t>
            </w:r>
          </w:p>
        </w:tc>
        <w:tc>
          <w:tcPr>
            <w:tcW w:w="1555"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rFonts w:hint="eastAsia" w:eastAsia="宋体"/>
                <w:b w:val="0"/>
                <w:bCs/>
                <w:lang w:eastAsia="zh-CN"/>
              </w:rPr>
            </w:pPr>
            <w:r>
              <w:rPr>
                <w:rFonts w:hint="eastAsia" w:eastAsia="宋体"/>
                <w:b w:val="0"/>
                <w:bCs/>
                <w:lang w:eastAsia="zh-CN"/>
              </w:rPr>
              <w:t>满足《农村生活污水处理排放标准》（DB65/4275―2019）表2中B级标准要求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732"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地下水及土壤环境</w:t>
            </w:r>
          </w:p>
        </w:tc>
        <w:tc>
          <w:tcPr>
            <w:tcW w:w="2375"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w:t>
            </w:r>
          </w:p>
        </w:tc>
        <w:tc>
          <w:tcPr>
            <w:tcW w:w="1313"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w:t>
            </w:r>
          </w:p>
        </w:tc>
        <w:tc>
          <w:tcPr>
            <w:tcW w:w="3050"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w:t>
            </w:r>
          </w:p>
        </w:tc>
        <w:tc>
          <w:tcPr>
            <w:tcW w:w="1555"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32"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声环境</w:t>
            </w:r>
          </w:p>
        </w:tc>
        <w:tc>
          <w:tcPr>
            <w:tcW w:w="2375"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合理安排布局，制定施工计划，禁止夜间施工，加强施工管理，必要时采取临时降噪措施</w:t>
            </w:r>
          </w:p>
        </w:tc>
        <w:tc>
          <w:tcPr>
            <w:tcW w:w="1313"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《建筑施工场界环境噪声排放标准》（GB12523-2011）</w:t>
            </w:r>
          </w:p>
        </w:tc>
        <w:tc>
          <w:tcPr>
            <w:tcW w:w="3050" w:type="dxa"/>
            <w:vAlign w:val="center"/>
          </w:tcPr>
          <w:p>
            <w:pPr>
              <w:pStyle w:val="27"/>
              <w:keepNext w:val="0"/>
              <w:keepLines w:val="0"/>
              <w:pageBreakBefore w:val="0"/>
              <w:widowControl w:val="0"/>
              <w:kinsoku/>
              <w:wordWrap w:val="0"/>
              <w:overflowPunct/>
              <w:topLinePunct w:val="0"/>
              <w:autoSpaceDE/>
              <w:autoSpaceDN/>
              <w:bidi w:val="0"/>
              <w:snapToGrid/>
              <w:spacing w:line="240" w:lineRule="auto"/>
              <w:jc w:val="both"/>
              <w:textAlignment w:val="auto"/>
              <w:rPr>
                <w:rFonts w:hint="eastAsia" w:eastAsia="宋体"/>
                <w:b w:val="0"/>
                <w:bCs/>
                <w:lang w:eastAsia="zh-CN"/>
              </w:rPr>
            </w:pPr>
            <w:r>
              <w:rPr>
                <w:rFonts w:hint="eastAsia" w:eastAsia="宋体"/>
                <w:b w:val="0"/>
                <w:bCs/>
                <w:lang w:eastAsia="zh-CN"/>
              </w:rPr>
              <w:t>选用低噪声设备，设备定期维护；减震、隔声；合理安排作业时间；合理设置运输路线</w:t>
            </w:r>
          </w:p>
        </w:tc>
        <w:tc>
          <w:tcPr>
            <w:tcW w:w="1555"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rFonts w:hint="eastAsia" w:eastAsia="宋体"/>
                <w:b w:val="0"/>
                <w:bCs/>
                <w:lang w:eastAsia="zh-CN"/>
              </w:rPr>
            </w:pPr>
            <w:r>
              <w:rPr>
                <w:rFonts w:hint="eastAsia" w:eastAsia="宋体"/>
                <w:b w:val="0"/>
                <w:bCs/>
                <w:lang w:val="en-US" w:eastAsia="zh-CN"/>
              </w:rPr>
              <w:t>《工业企业厂界环境噪声排放标准》（GB12348-2008）中2类标准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32"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振动</w:t>
            </w:r>
          </w:p>
        </w:tc>
        <w:tc>
          <w:tcPr>
            <w:tcW w:w="2375"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w:t>
            </w:r>
          </w:p>
        </w:tc>
        <w:tc>
          <w:tcPr>
            <w:tcW w:w="1313"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w:t>
            </w:r>
          </w:p>
        </w:tc>
        <w:tc>
          <w:tcPr>
            <w:tcW w:w="3050"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w:t>
            </w:r>
          </w:p>
        </w:tc>
        <w:tc>
          <w:tcPr>
            <w:tcW w:w="1555"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732"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大气环境</w:t>
            </w:r>
          </w:p>
        </w:tc>
        <w:tc>
          <w:tcPr>
            <w:tcW w:w="2375"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定期对施工场地进行洒水降尘，采用商品混凝土，对原辅材料、运输车辆采取密闭措施，加盖篷布等措施</w:t>
            </w:r>
          </w:p>
        </w:tc>
        <w:tc>
          <w:tcPr>
            <w:tcW w:w="1313"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rFonts w:hint="eastAsia" w:eastAsia="宋体"/>
                <w:b w:val="0"/>
                <w:bCs/>
                <w:lang w:eastAsia="zh-CN"/>
              </w:rPr>
            </w:pPr>
            <w:r>
              <w:rPr>
                <w:rFonts w:hint="eastAsia"/>
                <w:b w:val="0"/>
                <w:bCs/>
                <w:lang w:val="en-US" w:eastAsia="zh-CN"/>
              </w:rPr>
              <w:t>/</w:t>
            </w:r>
          </w:p>
        </w:tc>
        <w:tc>
          <w:tcPr>
            <w:tcW w:w="3050" w:type="dxa"/>
            <w:vAlign w:val="center"/>
          </w:tcPr>
          <w:p>
            <w:pPr>
              <w:pStyle w:val="27"/>
              <w:keepNext w:val="0"/>
              <w:keepLines w:val="0"/>
              <w:pageBreakBefore w:val="0"/>
              <w:widowControl w:val="0"/>
              <w:tabs>
                <w:tab w:val="center" w:pos="788"/>
                <w:tab w:val="right" w:pos="1456"/>
              </w:tabs>
              <w:kinsoku/>
              <w:wordWrap w:val="0"/>
              <w:overflowPunct/>
              <w:topLinePunct w:val="0"/>
              <w:autoSpaceDE/>
              <w:autoSpaceDN/>
              <w:bidi w:val="0"/>
              <w:snapToGrid/>
              <w:spacing w:line="240" w:lineRule="auto"/>
              <w:jc w:val="both"/>
              <w:textAlignment w:val="auto"/>
              <w:rPr>
                <w:rFonts w:hint="default" w:eastAsia="宋体"/>
                <w:b w:val="0"/>
                <w:bCs/>
                <w:lang w:val="en-US" w:eastAsia="zh-CN"/>
              </w:rPr>
            </w:pPr>
            <w:r>
              <w:rPr>
                <w:rFonts w:hint="eastAsia"/>
                <w:b w:val="0"/>
                <w:bCs/>
                <w:lang w:val="en-US" w:eastAsia="zh-CN"/>
              </w:rPr>
              <w:t>开采粉尘、输送及转载点粉尘采用喷雾抑尘措施；对筛分工序进行半封闭，安装集气罩+布袋除尘器+15m排气筒措施；矿区运输道路及时洒水降尘，运输车辆篷布遮盖，限速；堆料场采取防尘网苫盖，洒水降尘；食堂油烟经油烟净化器处理后排放。</w:t>
            </w:r>
          </w:p>
        </w:tc>
        <w:tc>
          <w:tcPr>
            <w:tcW w:w="1555"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rFonts w:hint="eastAsia" w:eastAsia="宋体"/>
                <w:b w:val="0"/>
                <w:bCs/>
                <w:lang w:eastAsia="zh-CN"/>
              </w:rPr>
            </w:pPr>
            <w:r>
              <w:rPr>
                <w:rFonts w:hint="eastAsia"/>
                <w:b w:val="0"/>
                <w:bCs/>
              </w:rPr>
              <w:t>《大气污染物综合排放标准》（G</w:t>
            </w:r>
            <w:r>
              <w:rPr>
                <w:b w:val="0"/>
                <w:bCs/>
              </w:rPr>
              <w:t>B16297</w:t>
            </w:r>
            <w:r>
              <w:rPr>
                <w:rFonts w:hint="eastAsia"/>
                <w:b w:val="0"/>
                <w:bCs/>
              </w:rPr>
              <w:t>-</w:t>
            </w:r>
            <w:r>
              <w:rPr>
                <w:b w:val="0"/>
                <w:bCs/>
              </w:rPr>
              <w:t>1996</w:t>
            </w:r>
            <w:r>
              <w:rPr>
                <w:rFonts w:hint="eastAsia"/>
                <w:b w:val="0"/>
                <w:bCs/>
              </w:rPr>
              <w:t>）</w:t>
            </w:r>
            <w:r>
              <w:rPr>
                <w:rFonts w:hint="eastAsia"/>
                <w:b w:val="0"/>
                <w:bCs/>
                <w:lang w:eastAsia="zh-CN"/>
              </w:rPr>
              <w:t>、《饮食业油烟排放标准》（GB18483-2001）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32"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固体废物</w:t>
            </w:r>
          </w:p>
        </w:tc>
        <w:tc>
          <w:tcPr>
            <w:tcW w:w="2375"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rFonts w:hint="eastAsia"/>
                <w:b w:val="0"/>
                <w:bCs/>
              </w:rPr>
            </w:pPr>
            <w:r>
              <w:rPr>
                <w:rFonts w:hint="eastAsia"/>
                <w:b w:val="0"/>
                <w:bCs/>
              </w:rPr>
              <w:t>（1）项目的生活垃圾禁止随意丢弃，设垃圾桶分类收集后，运至附近生活垃圾收集点处置。</w:t>
            </w:r>
          </w:p>
          <w:p>
            <w:pPr>
              <w:pStyle w:val="27"/>
              <w:keepNext w:val="0"/>
              <w:keepLines w:val="0"/>
              <w:pageBreakBefore w:val="0"/>
              <w:widowControl w:val="0"/>
              <w:kinsoku/>
              <w:wordWrap w:val="0"/>
              <w:overflowPunct/>
              <w:topLinePunct w:val="0"/>
              <w:autoSpaceDE/>
              <w:autoSpaceDN/>
              <w:bidi w:val="0"/>
              <w:snapToGrid/>
              <w:spacing w:line="240" w:lineRule="auto"/>
              <w:textAlignment w:val="auto"/>
              <w:rPr>
                <w:rFonts w:hint="eastAsia" w:eastAsia="宋体"/>
                <w:b w:val="0"/>
                <w:bCs/>
                <w:lang w:eastAsia="zh-CN"/>
              </w:rPr>
            </w:pPr>
            <w:r>
              <w:rPr>
                <w:rFonts w:hint="eastAsia"/>
                <w:b w:val="0"/>
                <w:bCs/>
              </w:rPr>
              <w:t>（2）对本次建设过程中产生的建筑垃圾，可回收利用的建筑材料进行回收利用，不能回收利用的建筑垃圾经规范收集后运往一般固体废物处置场处置</w:t>
            </w:r>
            <w:r>
              <w:rPr>
                <w:rFonts w:hint="eastAsia"/>
                <w:b w:val="0"/>
                <w:bCs/>
                <w:lang w:eastAsia="zh-CN"/>
              </w:rPr>
              <w:t>。</w:t>
            </w:r>
          </w:p>
        </w:tc>
        <w:tc>
          <w:tcPr>
            <w:tcW w:w="1313"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施工现场建筑垃圾及生活垃圾得到合规处置</w:t>
            </w:r>
          </w:p>
        </w:tc>
        <w:tc>
          <w:tcPr>
            <w:tcW w:w="3050" w:type="dxa"/>
            <w:vAlign w:val="center"/>
          </w:tcPr>
          <w:p>
            <w:pPr>
              <w:pStyle w:val="27"/>
              <w:keepNext w:val="0"/>
              <w:keepLines w:val="0"/>
              <w:pageBreakBefore w:val="0"/>
              <w:widowControl w:val="0"/>
              <w:kinsoku/>
              <w:wordWrap w:val="0"/>
              <w:overflowPunct/>
              <w:topLinePunct w:val="0"/>
              <w:autoSpaceDE/>
              <w:autoSpaceDN/>
              <w:bidi w:val="0"/>
              <w:snapToGrid/>
              <w:spacing w:line="240" w:lineRule="auto"/>
              <w:jc w:val="both"/>
              <w:textAlignment w:val="auto"/>
              <w:rPr>
                <w:rFonts w:hint="default" w:eastAsia="宋体"/>
                <w:b w:val="0"/>
                <w:bCs/>
                <w:lang w:val="en-US" w:eastAsia="zh-CN"/>
              </w:rPr>
            </w:pPr>
            <w:r>
              <w:rPr>
                <w:rFonts w:hint="eastAsia"/>
                <w:b w:val="0"/>
                <w:bCs/>
                <w:lang w:val="en-US" w:eastAsia="zh-CN"/>
              </w:rPr>
              <w:t>1.沉淀池底泥：定期清掏，晾晒后用于采坑回填；2.生活垃圾：集中分类收集后由当地环卫部门统一清运处理；3.废机油：暂存于危险废物暂存间，委托有资质单位处置</w:t>
            </w:r>
          </w:p>
        </w:tc>
        <w:tc>
          <w:tcPr>
            <w:tcW w:w="1555" w:type="dxa"/>
            <w:vAlign w:val="center"/>
          </w:tcPr>
          <w:p>
            <w:pPr>
              <w:pStyle w:val="44"/>
              <w:keepNext w:val="0"/>
              <w:keepLines w:val="0"/>
              <w:pageBreakBefore w:val="0"/>
              <w:widowControl w:val="0"/>
              <w:kinsoku/>
              <w:wordWrap w:val="0"/>
              <w:overflowPunct/>
              <w:topLinePunct w:val="0"/>
              <w:autoSpaceDE/>
              <w:autoSpaceDN/>
              <w:bidi w:val="0"/>
              <w:snapToGrid/>
              <w:spacing w:line="240" w:lineRule="auto"/>
              <w:jc w:val="both"/>
              <w:textAlignment w:val="auto"/>
              <w:rPr>
                <w:b w:val="0"/>
                <w:bCs/>
              </w:rPr>
            </w:pPr>
            <w:r>
              <w:rPr>
                <w:b w:val="0"/>
                <w:bCs/>
              </w:rPr>
              <w:t>固体废物处置执行《一般工业固体废物贮存和填埋污染控制标准》(GB18599-2020)；危险废物执行《危险废物贮存污染控制标准》(GB18597-20</w:t>
            </w:r>
            <w:r>
              <w:rPr>
                <w:rFonts w:hint="eastAsia"/>
                <w:b w:val="0"/>
                <w:bCs/>
              </w:rPr>
              <w:t>23</w:t>
            </w:r>
            <w:r>
              <w:rPr>
                <w:b w:val="0"/>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732"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电磁环境</w:t>
            </w:r>
          </w:p>
        </w:tc>
        <w:tc>
          <w:tcPr>
            <w:tcW w:w="2375"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w:t>
            </w:r>
          </w:p>
        </w:tc>
        <w:tc>
          <w:tcPr>
            <w:tcW w:w="1313"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w:t>
            </w:r>
          </w:p>
        </w:tc>
        <w:tc>
          <w:tcPr>
            <w:tcW w:w="3050"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w:t>
            </w:r>
          </w:p>
        </w:tc>
        <w:tc>
          <w:tcPr>
            <w:tcW w:w="1555"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732"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环境风险</w:t>
            </w:r>
          </w:p>
        </w:tc>
        <w:tc>
          <w:tcPr>
            <w:tcW w:w="2375"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w:t>
            </w:r>
          </w:p>
        </w:tc>
        <w:tc>
          <w:tcPr>
            <w:tcW w:w="1313"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w:t>
            </w:r>
          </w:p>
        </w:tc>
        <w:tc>
          <w:tcPr>
            <w:tcW w:w="3050"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加强对边坡的检查，及时处理安全隐患；根据工程地质条件，必要时调整边坡角；经常检查边坡，发现隐患及时处理；建立全面严格的各项管理制度和安全管理体系；严格按生产工艺规程进行生产和操作。</w:t>
            </w:r>
          </w:p>
        </w:tc>
        <w:tc>
          <w:tcPr>
            <w:tcW w:w="1555"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732"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环境监测</w:t>
            </w:r>
          </w:p>
        </w:tc>
        <w:tc>
          <w:tcPr>
            <w:tcW w:w="2375"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rFonts w:hint="eastAsia" w:eastAsia="宋体"/>
                <w:b w:val="0"/>
                <w:bCs/>
                <w:lang w:eastAsia="zh-CN"/>
              </w:rPr>
            </w:pPr>
            <w:r>
              <w:rPr>
                <w:rFonts w:hint="eastAsia"/>
                <w:b w:val="0"/>
                <w:bCs/>
                <w:lang w:val="en-US" w:eastAsia="zh-CN"/>
              </w:rPr>
              <w:t>/</w:t>
            </w:r>
          </w:p>
        </w:tc>
        <w:tc>
          <w:tcPr>
            <w:tcW w:w="1313"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落实相关监测技术规范要求</w:t>
            </w:r>
          </w:p>
        </w:tc>
        <w:tc>
          <w:tcPr>
            <w:tcW w:w="3050" w:type="dxa"/>
            <w:vAlign w:val="center"/>
          </w:tcPr>
          <w:p>
            <w:pPr>
              <w:pStyle w:val="27"/>
              <w:keepNext w:val="0"/>
              <w:keepLines w:val="0"/>
              <w:pageBreakBefore w:val="0"/>
              <w:widowControl w:val="0"/>
              <w:kinsoku/>
              <w:wordWrap w:val="0"/>
              <w:overflowPunct/>
              <w:topLinePunct w:val="0"/>
              <w:autoSpaceDE/>
              <w:autoSpaceDN/>
              <w:bidi w:val="0"/>
              <w:snapToGrid/>
              <w:spacing w:line="240" w:lineRule="auto"/>
              <w:jc w:val="both"/>
              <w:textAlignment w:val="auto"/>
              <w:rPr>
                <w:rFonts w:hint="eastAsia"/>
                <w:b w:val="0"/>
                <w:bCs/>
                <w:lang w:eastAsia="zh-CN"/>
              </w:rPr>
            </w:pPr>
            <w:r>
              <w:rPr>
                <w:rFonts w:hint="eastAsia"/>
                <w:b w:val="0"/>
                <w:bCs/>
                <w:lang w:eastAsia="zh-CN"/>
              </w:rPr>
              <w:t>大气：有组织在排放筒（</w:t>
            </w:r>
            <w:r>
              <w:rPr>
                <w:rFonts w:hint="eastAsia"/>
                <w:b w:val="0"/>
                <w:bCs/>
                <w:lang w:val="en-US" w:eastAsia="zh-CN"/>
              </w:rPr>
              <w:t>DA001</w:t>
            </w:r>
            <w:r>
              <w:rPr>
                <w:rFonts w:hint="eastAsia"/>
                <w:b w:val="0"/>
                <w:bCs/>
                <w:lang w:eastAsia="zh-CN"/>
              </w:rPr>
              <w:t>）出口，每年监测一次颗粒物，无组织在厂界上风向</w:t>
            </w:r>
            <w:r>
              <w:rPr>
                <w:rFonts w:hint="eastAsia"/>
                <w:b w:val="0"/>
                <w:bCs/>
                <w:lang w:val="en-US" w:eastAsia="zh-CN"/>
              </w:rPr>
              <w:t>1个，下风向3个，监测颗粒物；</w:t>
            </w:r>
          </w:p>
          <w:p>
            <w:pPr>
              <w:pStyle w:val="27"/>
              <w:keepNext w:val="0"/>
              <w:keepLines w:val="0"/>
              <w:pageBreakBefore w:val="0"/>
              <w:widowControl w:val="0"/>
              <w:kinsoku/>
              <w:wordWrap w:val="0"/>
              <w:overflowPunct/>
              <w:topLinePunct w:val="0"/>
              <w:autoSpaceDE/>
              <w:autoSpaceDN/>
              <w:bidi w:val="0"/>
              <w:snapToGrid/>
              <w:spacing w:line="240" w:lineRule="auto"/>
              <w:jc w:val="both"/>
              <w:textAlignment w:val="auto"/>
              <w:rPr>
                <w:rFonts w:hint="eastAsia"/>
                <w:b w:val="0"/>
                <w:bCs/>
                <w:lang w:eastAsia="zh-CN"/>
              </w:rPr>
            </w:pPr>
            <w:r>
              <w:rPr>
                <w:rFonts w:hint="eastAsia"/>
                <w:b w:val="0"/>
                <w:bCs/>
                <w:lang w:eastAsia="zh-CN"/>
              </w:rPr>
              <w:t>废水：每年监测一次PH、COD、NH3-N、SS、BOD5、动植物油，废水排放口；</w:t>
            </w:r>
          </w:p>
          <w:p>
            <w:pPr>
              <w:pStyle w:val="27"/>
              <w:keepNext w:val="0"/>
              <w:keepLines w:val="0"/>
              <w:pageBreakBefore w:val="0"/>
              <w:widowControl w:val="0"/>
              <w:kinsoku/>
              <w:wordWrap w:val="0"/>
              <w:overflowPunct/>
              <w:topLinePunct w:val="0"/>
              <w:autoSpaceDE/>
              <w:autoSpaceDN/>
              <w:bidi w:val="0"/>
              <w:snapToGrid/>
              <w:spacing w:line="240" w:lineRule="auto"/>
              <w:jc w:val="both"/>
              <w:textAlignment w:val="auto"/>
              <w:rPr>
                <w:rFonts w:hint="eastAsia"/>
                <w:lang w:eastAsia="zh-CN"/>
              </w:rPr>
            </w:pPr>
            <w:r>
              <w:rPr>
                <w:rFonts w:hint="eastAsia"/>
                <w:b w:val="0"/>
                <w:bCs/>
                <w:lang w:eastAsia="zh-CN"/>
              </w:rPr>
              <w:t>噪声：每季度在厂界监测一次。</w:t>
            </w:r>
          </w:p>
        </w:tc>
        <w:tc>
          <w:tcPr>
            <w:tcW w:w="1555" w:type="dxa"/>
            <w:vAlign w:val="center"/>
          </w:tcPr>
          <w:p>
            <w:pPr>
              <w:pStyle w:val="27"/>
              <w:keepNext w:val="0"/>
              <w:keepLines w:val="0"/>
              <w:pageBreakBefore w:val="0"/>
              <w:widowControl w:val="0"/>
              <w:kinsoku/>
              <w:wordWrap w:val="0"/>
              <w:overflowPunct/>
              <w:topLinePunct w:val="0"/>
              <w:autoSpaceDE/>
              <w:autoSpaceDN/>
              <w:bidi w:val="0"/>
              <w:snapToGrid/>
              <w:spacing w:line="240" w:lineRule="auto"/>
              <w:jc w:val="both"/>
              <w:textAlignment w:val="auto"/>
              <w:rPr>
                <w:rFonts w:hint="eastAsia"/>
                <w:b w:val="0"/>
                <w:bCs/>
                <w:lang w:eastAsia="zh-CN"/>
              </w:rPr>
            </w:pPr>
            <w:r>
              <w:rPr>
                <w:rFonts w:hint="eastAsia"/>
                <w:b w:val="0"/>
                <w:bCs/>
                <w:lang w:eastAsia="zh-CN"/>
              </w:rPr>
              <w:t>大气：</w:t>
            </w:r>
            <w:r>
              <w:rPr>
                <w:rFonts w:hint="eastAsia"/>
                <w:b w:val="0"/>
                <w:bCs/>
              </w:rPr>
              <w:t>《大气污染物综合排放标准》（G</w:t>
            </w:r>
            <w:r>
              <w:rPr>
                <w:b w:val="0"/>
                <w:bCs/>
              </w:rPr>
              <w:t>B16297</w:t>
            </w:r>
            <w:r>
              <w:rPr>
                <w:rFonts w:hint="eastAsia"/>
                <w:b w:val="0"/>
                <w:bCs/>
              </w:rPr>
              <w:t>-</w:t>
            </w:r>
            <w:r>
              <w:rPr>
                <w:b w:val="0"/>
                <w:bCs/>
              </w:rPr>
              <w:t>1996</w:t>
            </w:r>
            <w:r>
              <w:rPr>
                <w:rFonts w:hint="eastAsia"/>
                <w:b w:val="0"/>
                <w:bCs/>
              </w:rPr>
              <w:t>）</w:t>
            </w:r>
            <w:r>
              <w:rPr>
                <w:rFonts w:hint="eastAsia"/>
                <w:b w:val="0"/>
                <w:bCs/>
                <w:lang w:eastAsia="zh-CN"/>
              </w:rPr>
              <w:t>；</w:t>
            </w:r>
          </w:p>
          <w:p>
            <w:pPr>
              <w:keepNext w:val="0"/>
              <w:keepLines w:val="0"/>
              <w:pageBreakBefore w:val="0"/>
              <w:widowControl w:val="0"/>
              <w:kinsoku/>
              <w:wordWrap w:val="0"/>
              <w:overflowPunct/>
              <w:topLinePunct w:val="0"/>
              <w:autoSpaceDE/>
              <w:autoSpaceDN/>
              <w:bidi w:val="0"/>
              <w:snapToGrid/>
              <w:spacing w:line="240" w:lineRule="auto"/>
              <w:ind w:left="0" w:leftChars="0" w:firstLine="0" w:firstLineChars="0"/>
              <w:jc w:val="both"/>
              <w:textAlignment w:val="auto"/>
              <w:rPr>
                <w:rFonts w:hint="eastAsia"/>
                <w:lang w:eastAsia="zh-CN"/>
              </w:rPr>
            </w:pPr>
            <w:r>
              <w:rPr>
                <w:rFonts w:hint="eastAsia" w:cstheme="minorBidi"/>
                <w:b w:val="0"/>
                <w:bCs/>
                <w:kern w:val="44"/>
                <w:sz w:val="21"/>
                <w:szCs w:val="24"/>
                <w:lang w:val="en-US" w:eastAsia="zh-CN" w:bidi="ar-SA"/>
              </w:rPr>
              <w:t>废水：《农村生活污水处理排放标准》（DB65/4275―2019）表2中B级标准要求；</w:t>
            </w:r>
            <w:r>
              <w:rPr>
                <w:rFonts w:hint="eastAsia" w:ascii="Times New Roman" w:hAnsi="Times New Roman" w:eastAsia="宋体" w:cstheme="minorBidi"/>
                <w:b w:val="0"/>
                <w:bCs/>
                <w:kern w:val="44"/>
                <w:sz w:val="21"/>
                <w:szCs w:val="24"/>
                <w:lang w:val="en-US" w:eastAsia="zh-CN" w:bidi="ar-SA"/>
              </w:rPr>
              <w:t>噪声：《工业企业厂界环境噪声排放标准》（GB12348-2008）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732"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其他</w:t>
            </w:r>
          </w:p>
        </w:tc>
        <w:tc>
          <w:tcPr>
            <w:tcW w:w="2375"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w:t>
            </w:r>
          </w:p>
        </w:tc>
        <w:tc>
          <w:tcPr>
            <w:tcW w:w="1313"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w:t>
            </w:r>
          </w:p>
        </w:tc>
        <w:tc>
          <w:tcPr>
            <w:tcW w:w="3050"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w:t>
            </w:r>
          </w:p>
        </w:tc>
        <w:tc>
          <w:tcPr>
            <w:tcW w:w="1555" w:type="dxa"/>
            <w:vAlign w:val="center"/>
          </w:tcPr>
          <w:p>
            <w:pPr>
              <w:pStyle w:val="27"/>
              <w:keepNext w:val="0"/>
              <w:keepLines w:val="0"/>
              <w:pageBreakBefore w:val="0"/>
              <w:widowControl w:val="0"/>
              <w:kinsoku/>
              <w:wordWrap w:val="0"/>
              <w:overflowPunct/>
              <w:topLinePunct w:val="0"/>
              <w:autoSpaceDE/>
              <w:autoSpaceDN/>
              <w:bidi w:val="0"/>
              <w:snapToGrid/>
              <w:spacing w:line="240" w:lineRule="auto"/>
              <w:textAlignment w:val="auto"/>
              <w:rPr>
                <w:b w:val="0"/>
                <w:bCs/>
              </w:rPr>
            </w:pPr>
            <w:r>
              <w:rPr>
                <w:rFonts w:hint="eastAsia"/>
                <w:b w:val="0"/>
                <w:bCs/>
              </w:rPr>
              <w:t>/</w:t>
            </w:r>
          </w:p>
        </w:tc>
      </w:tr>
    </w:tbl>
    <w:p>
      <w:pPr>
        <w:ind w:firstLine="480"/>
      </w:pPr>
      <w:r>
        <w:rPr>
          <w:rFonts w:hint="eastAsia"/>
        </w:rPr>
        <w:br w:type="page"/>
      </w:r>
    </w:p>
    <w:p>
      <w:pPr>
        <w:pStyle w:val="2"/>
        <w:numPr>
          <w:ilvl w:val="0"/>
          <w:numId w:val="0"/>
        </w:numPr>
        <w:jc w:val="center"/>
      </w:pPr>
      <w:r>
        <w:rPr>
          <w:rFonts w:hint="eastAsia" w:ascii="Times New Roman" w:hAnsi="Times New Roman" w:eastAsia="宋体" w:cstheme="minorBidi"/>
          <w:b/>
          <w:kern w:val="44"/>
          <w:sz w:val="30"/>
          <w:szCs w:val="24"/>
          <w:lang w:val="en-US" w:eastAsia="zh-CN" w:bidi="ar-SA"/>
        </w:rPr>
        <w:t>七、</w:t>
      </w:r>
      <w:r>
        <w:rPr>
          <w:rFonts w:hint="eastAsia"/>
        </w:rPr>
        <w:t>结论</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8" w:hRule="atLeast"/>
        </w:trPr>
        <w:tc>
          <w:tcPr>
            <w:tcW w:w="8480" w:type="dxa"/>
            <w:vAlign w:val="center"/>
          </w:tcPr>
          <w:p>
            <w:pPr>
              <w:ind w:firstLine="480"/>
              <w:jc w:val="both"/>
            </w:pPr>
            <w:r>
              <w:rPr>
                <w:rFonts w:hint="eastAsia"/>
              </w:rPr>
              <w:t>本项目建设满足“三线一单”要求，施工期落实本评价提出的污染防治措施和生态保护措施，认真履行“三同时”制度后，各项污染物均可实现达标排放，生态影响在可接受范围内。本项目建成后不会降低评价区域原有生态环境质量功能级别，可以实现其经济效益、社会效益和环境效益的协调发展。因而从环境保护的角度而言，该项目是可行的。</w:t>
            </w:r>
          </w:p>
        </w:tc>
      </w:tr>
    </w:tbl>
    <w:p>
      <w:pPr>
        <w:ind w:left="0" w:leftChars="0" w:firstLine="0" w:firstLineChars="0"/>
        <w:rPr>
          <w:rFonts w:hint="eastAsia"/>
          <w:lang w:val="en-US" w:eastAsia="zh-CN"/>
        </w:rPr>
      </w:pPr>
    </w:p>
    <w:sectPr>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67363"/>
    <w:multiLevelType w:val="singleLevel"/>
    <w:tmpl w:val="99467363"/>
    <w:lvl w:ilvl="0" w:tentative="0">
      <w:start w:val="1"/>
      <w:numFmt w:val="bullet"/>
      <w:pStyle w:val="13"/>
      <w:lvlText w:val=""/>
      <w:lvlJc w:val="left"/>
      <w:pPr>
        <w:tabs>
          <w:tab w:val="left" w:pos="2040"/>
        </w:tabs>
        <w:ind w:left="2040" w:hanging="360"/>
      </w:pPr>
      <w:rPr>
        <w:rFonts w:hint="default" w:ascii="Wingdings" w:hAnsi="Wingdings"/>
      </w:rPr>
    </w:lvl>
  </w:abstractNum>
  <w:abstractNum w:abstractNumId="1">
    <w:nsid w:val="EAC03613"/>
    <w:multiLevelType w:val="singleLevel"/>
    <w:tmpl w:val="EAC03613"/>
    <w:lvl w:ilvl="0" w:tentative="0">
      <w:start w:val="8"/>
      <w:numFmt w:val="chineseCounting"/>
      <w:suff w:val="nothing"/>
      <w:lvlText w:val="%1、"/>
      <w:lvlJc w:val="left"/>
      <w:rPr>
        <w:rFonts w:hint="eastAsia"/>
      </w:rPr>
    </w:lvl>
  </w:abstractNum>
  <w:abstractNum w:abstractNumId="2">
    <w:nsid w:val="F4687CCB"/>
    <w:multiLevelType w:val="singleLevel"/>
    <w:tmpl w:val="F4687CCB"/>
    <w:lvl w:ilvl="0" w:tentative="0">
      <w:start w:val="1"/>
      <w:numFmt w:val="chineseCounting"/>
      <w:pStyle w:val="2"/>
      <w:suff w:val="nothing"/>
      <w:lvlText w:val="%1、"/>
      <w:lvlJc w:val="left"/>
      <w:pPr>
        <w:ind w:left="4320" w:firstLine="420"/>
      </w:pPr>
      <w:rPr>
        <w:rFonts w:hint="eastAsia"/>
      </w:rPr>
    </w:lvl>
  </w:abstractNum>
  <w:abstractNum w:abstractNumId="3">
    <w:nsid w:val="37CD2D62"/>
    <w:multiLevelType w:val="multilevel"/>
    <w:tmpl w:val="37CD2D62"/>
    <w:lvl w:ilvl="0" w:tentative="0">
      <w:start w:val="1"/>
      <w:numFmt w:val="decimal"/>
      <w:pStyle w:val="3"/>
      <w:suff w:val="space"/>
      <w:lvlText w:val="%1."/>
      <w:lvlJc w:val="left"/>
      <w:pPr>
        <w:tabs>
          <w:tab w:val="left" w:pos="0"/>
        </w:tabs>
        <w:ind w:left="0" w:firstLine="0"/>
      </w:pPr>
      <w:rPr>
        <w:rFonts w:hint="default" w:ascii="宋体" w:hAnsi="宋体" w:eastAsia="宋体" w:cs="宋体"/>
        <w:sz w:val="24"/>
      </w:rPr>
    </w:lvl>
    <w:lvl w:ilvl="1" w:tentative="0">
      <w:start w:val="1"/>
      <w:numFmt w:val="decimal"/>
      <w:pStyle w:val="4"/>
      <w:suff w:val="space"/>
      <w:lvlText w:val="%1.%2."/>
      <w:lvlJc w:val="left"/>
      <w:pPr>
        <w:tabs>
          <w:tab w:val="left" w:pos="0"/>
        </w:tabs>
        <w:ind w:left="0" w:firstLine="0"/>
      </w:pPr>
      <w:rPr>
        <w:rFonts w:hint="default" w:ascii="宋体" w:hAnsi="宋体" w:eastAsia="宋体" w:cs="宋体"/>
        <w:sz w:val="24"/>
      </w:rPr>
    </w:lvl>
    <w:lvl w:ilvl="2" w:tentative="0">
      <w:start w:val="1"/>
      <w:numFmt w:val="decimal"/>
      <w:suff w:val="space"/>
      <w:lvlText w:val="%1.%2.%3."/>
      <w:lvlJc w:val="left"/>
      <w:pPr>
        <w:tabs>
          <w:tab w:val="left" w:pos="0"/>
        </w:tabs>
        <w:ind w:left="0" w:firstLine="0"/>
      </w:pPr>
      <w:rPr>
        <w:rFonts w:hint="default" w:ascii="宋体" w:hAnsi="宋体" w:eastAsia="宋体" w:cs="宋体"/>
        <w:sz w:val="24"/>
      </w:rPr>
    </w:lvl>
    <w:lvl w:ilvl="3" w:tentative="0">
      <w:start w:val="1"/>
      <w:numFmt w:val="decimal"/>
      <w:lvlText w:val="%1.%2.%3.%4."/>
      <w:lvlJc w:val="left"/>
      <w:pPr>
        <w:tabs>
          <w:tab w:val="left" w:pos="420"/>
        </w:tabs>
        <w:ind w:left="0" w:firstLine="0"/>
      </w:pPr>
      <w:rPr>
        <w:rFonts w:hint="default" w:ascii="Times New Roman" w:hAnsi="Times New Roman" w:eastAsia="宋体" w:cs="Arial"/>
        <w:sz w:val="24"/>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4">
    <w:nsid w:val="50EF1347"/>
    <w:multiLevelType w:val="singleLevel"/>
    <w:tmpl w:val="50EF1347"/>
    <w:lvl w:ilvl="0" w:tentative="0">
      <w:start w:val="3"/>
      <w:numFmt w:val="decimal"/>
      <w:suff w:val="nothing"/>
      <w:lvlText w:val="（%1）"/>
      <w:lvlJc w:val="left"/>
    </w:lvl>
  </w:abstractNum>
  <w:abstractNum w:abstractNumId="5">
    <w:nsid w:val="776E044C"/>
    <w:multiLevelType w:val="singleLevel"/>
    <w:tmpl w:val="776E044C"/>
    <w:lvl w:ilvl="0" w:tentative="0">
      <w:start w:val="3"/>
      <w:numFmt w:val="decimal"/>
      <w:suff w:val="nothing"/>
      <w:lvlText w:val="（%1）"/>
      <w:lvlJc w:val="left"/>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3NDQ5YmFmYTRmZDU2YmMxOWY2ZDc3YTdkZmQxNDEifQ=="/>
  </w:docVars>
  <w:rsids>
    <w:rsidRoot w:val="1D4D510F"/>
    <w:rsid w:val="00034553"/>
    <w:rsid w:val="000371AD"/>
    <w:rsid w:val="000B6E7E"/>
    <w:rsid w:val="001C4295"/>
    <w:rsid w:val="002B247F"/>
    <w:rsid w:val="00355CBC"/>
    <w:rsid w:val="00387CA6"/>
    <w:rsid w:val="004536E8"/>
    <w:rsid w:val="004C08CD"/>
    <w:rsid w:val="004F0388"/>
    <w:rsid w:val="00530216"/>
    <w:rsid w:val="005F59F3"/>
    <w:rsid w:val="006C77D7"/>
    <w:rsid w:val="007316CE"/>
    <w:rsid w:val="007427C6"/>
    <w:rsid w:val="00747646"/>
    <w:rsid w:val="0083034F"/>
    <w:rsid w:val="00853A9A"/>
    <w:rsid w:val="008734C0"/>
    <w:rsid w:val="00A91EA7"/>
    <w:rsid w:val="00B93A86"/>
    <w:rsid w:val="00D05117"/>
    <w:rsid w:val="00F654CB"/>
    <w:rsid w:val="01993D60"/>
    <w:rsid w:val="020B4F28"/>
    <w:rsid w:val="020F1E60"/>
    <w:rsid w:val="022B63FB"/>
    <w:rsid w:val="02DE7C7D"/>
    <w:rsid w:val="037A1030"/>
    <w:rsid w:val="03E07A24"/>
    <w:rsid w:val="04141B3B"/>
    <w:rsid w:val="041F60D6"/>
    <w:rsid w:val="04786625"/>
    <w:rsid w:val="04E14A4E"/>
    <w:rsid w:val="052878D5"/>
    <w:rsid w:val="05C173E2"/>
    <w:rsid w:val="060043AE"/>
    <w:rsid w:val="06530982"/>
    <w:rsid w:val="06592FB9"/>
    <w:rsid w:val="06804F30"/>
    <w:rsid w:val="06C13B3D"/>
    <w:rsid w:val="078F6C01"/>
    <w:rsid w:val="07A27B30"/>
    <w:rsid w:val="07B40FAC"/>
    <w:rsid w:val="07CA6A21"/>
    <w:rsid w:val="08AC6127"/>
    <w:rsid w:val="08B922C0"/>
    <w:rsid w:val="08D8516E"/>
    <w:rsid w:val="08DE298C"/>
    <w:rsid w:val="08EB1166"/>
    <w:rsid w:val="08FA50E4"/>
    <w:rsid w:val="091A5AFF"/>
    <w:rsid w:val="09750C0F"/>
    <w:rsid w:val="09EC6BE2"/>
    <w:rsid w:val="0A380BA6"/>
    <w:rsid w:val="0A59408D"/>
    <w:rsid w:val="0C166546"/>
    <w:rsid w:val="0C4D7C21"/>
    <w:rsid w:val="0CC04897"/>
    <w:rsid w:val="0D561998"/>
    <w:rsid w:val="0DB22432"/>
    <w:rsid w:val="0DB839CC"/>
    <w:rsid w:val="0DB90AF6"/>
    <w:rsid w:val="0E116BEA"/>
    <w:rsid w:val="0E686F94"/>
    <w:rsid w:val="0E6E5F02"/>
    <w:rsid w:val="0F757C27"/>
    <w:rsid w:val="0FDD12BC"/>
    <w:rsid w:val="1109680C"/>
    <w:rsid w:val="114A2083"/>
    <w:rsid w:val="11A44FAA"/>
    <w:rsid w:val="11D72467"/>
    <w:rsid w:val="11D76D51"/>
    <w:rsid w:val="11DE251A"/>
    <w:rsid w:val="12380A2C"/>
    <w:rsid w:val="123F7D8F"/>
    <w:rsid w:val="13863D22"/>
    <w:rsid w:val="1393060F"/>
    <w:rsid w:val="13CC3B21"/>
    <w:rsid w:val="14613F13"/>
    <w:rsid w:val="149951B7"/>
    <w:rsid w:val="14E770DA"/>
    <w:rsid w:val="14F21366"/>
    <w:rsid w:val="15994DE8"/>
    <w:rsid w:val="15CC0233"/>
    <w:rsid w:val="161A6DC6"/>
    <w:rsid w:val="167069E6"/>
    <w:rsid w:val="16BC177A"/>
    <w:rsid w:val="16BC60CF"/>
    <w:rsid w:val="16E7156F"/>
    <w:rsid w:val="178D35C8"/>
    <w:rsid w:val="17A05C0A"/>
    <w:rsid w:val="17B2302E"/>
    <w:rsid w:val="17C4348D"/>
    <w:rsid w:val="181A42A2"/>
    <w:rsid w:val="18483F57"/>
    <w:rsid w:val="18581E27"/>
    <w:rsid w:val="189E383E"/>
    <w:rsid w:val="19A277FE"/>
    <w:rsid w:val="19B968F6"/>
    <w:rsid w:val="19F56F8B"/>
    <w:rsid w:val="1A09162B"/>
    <w:rsid w:val="1A20638B"/>
    <w:rsid w:val="1A393593"/>
    <w:rsid w:val="1A497C7A"/>
    <w:rsid w:val="1A4C1518"/>
    <w:rsid w:val="1A670100"/>
    <w:rsid w:val="1C774A8F"/>
    <w:rsid w:val="1CE43C8A"/>
    <w:rsid w:val="1D4D510F"/>
    <w:rsid w:val="1D70377E"/>
    <w:rsid w:val="1DE010FB"/>
    <w:rsid w:val="1E4C3260"/>
    <w:rsid w:val="1E7D7EF2"/>
    <w:rsid w:val="1ECE2198"/>
    <w:rsid w:val="1F2923AE"/>
    <w:rsid w:val="1F5A0AF8"/>
    <w:rsid w:val="1F8B30B9"/>
    <w:rsid w:val="20125565"/>
    <w:rsid w:val="204A474C"/>
    <w:rsid w:val="205547C5"/>
    <w:rsid w:val="20671765"/>
    <w:rsid w:val="207A17F5"/>
    <w:rsid w:val="208A6CE1"/>
    <w:rsid w:val="222351CF"/>
    <w:rsid w:val="22A9441F"/>
    <w:rsid w:val="22EB365A"/>
    <w:rsid w:val="239857FE"/>
    <w:rsid w:val="23D2198E"/>
    <w:rsid w:val="24765A82"/>
    <w:rsid w:val="247F56FE"/>
    <w:rsid w:val="24A759DB"/>
    <w:rsid w:val="24D506FE"/>
    <w:rsid w:val="24D875FD"/>
    <w:rsid w:val="24E46F1D"/>
    <w:rsid w:val="252062D9"/>
    <w:rsid w:val="25270BB7"/>
    <w:rsid w:val="26263565"/>
    <w:rsid w:val="268A3AF4"/>
    <w:rsid w:val="276B6318"/>
    <w:rsid w:val="28A644E9"/>
    <w:rsid w:val="2973086F"/>
    <w:rsid w:val="29D85AE2"/>
    <w:rsid w:val="2A1A0CEB"/>
    <w:rsid w:val="2A293624"/>
    <w:rsid w:val="2A396FA8"/>
    <w:rsid w:val="2A930C96"/>
    <w:rsid w:val="2A9D36CA"/>
    <w:rsid w:val="2AB5455C"/>
    <w:rsid w:val="2B910D93"/>
    <w:rsid w:val="2BD355F5"/>
    <w:rsid w:val="2CD45F89"/>
    <w:rsid w:val="2CD70A7D"/>
    <w:rsid w:val="2D6D7163"/>
    <w:rsid w:val="2D9E5425"/>
    <w:rsid w:val="2DB91AE0"/>
    <w:rsid w:val="2DDE492F"/>
    <w:rsid w:val="2DFC7CFE"/>
    <w:rsid w:val="2E0622F6"/>
    <w:rsid w:val="2E24038A"/>
    <w:rsid w:val="2E24482E"/>
    <w:rsid w:val="2E620EB2"/>
    <w:rsid w:val="2E743721"/>
    <w:rsid w:val="2E7B1F74"/>
    <w:rsid w:val="2E9C6A50"/>
    <w:rsid w:val="2EA43508"/>
    <w:rsid w:val="2F9B28CE"/>
    <w:rsid w:val="2FF67C20"/>
    <w:rsid w:val="305F1B4D"/>
    <w:rsid w:val="317C6D20"/>
    <w:rsid w:val="31F273F9"/>
    <w:rsid w:val="323B0398"/>
    <w:rsid w:val="326571C3"/>
    <w:rsid w:val="327D0B10"/>
    <w:rsid w:val="329864C4"/>
    <w:rsid w:val="32A45F3D"/>
    <w:rsid w:val="32C6008A"/>
    <w:rsid w:val="337E22EA"/>
    <w:rsid w:val="33AE6187"/>
    <w:rsid w:val="33B93FE9"/>
    <w:rsid w:val="33B95A18"/>
    <w:rsid w:val="3474193F"/>
    <w:rsid w:val="349B6ECC"/>
    <w:rsid w:val="35926521"/>
    <w:rsid w:val="36075DA5"/>
    <w:rsid w:val="36341386"/>
    <w:rsid w:val="364A44B7"/>
    <w:rsid w:val="374B5E63"/>
    <w:rsid w:val="37865C12"/>
    <w:rsid w:val="37CC6CEC"/>
    <w:rsid w:val="390C2146"/>
    <w:rsid w:val="39161217"/>
    <w:rsid w:val="3929365D"/>
    <w:rsid w:val="39311BAD"/>
    <w:rsid w:val="394E0561"/>
    <w:rsid w:val="396E1053"/>
    <w:rsid w:val="39893797"/>
    <w:rsid w:val="399953B2"/>
    <w:rsid w:val="39B27192"/>
    <w:rsid w:val="39B50A30"/>
    <w:rsid w:val="3A033549"/>
    <w:rsid w:val="3A8057CA"/>
    <w:rsid w:val="3A83468A"/>
    <w:rsid w:val="3ACD05B6"/>
    <w:rsid w:val="3AD13648"/>
    <w:rsid w:val="3B325DC0"/>
    <w:rsid w:val="3B506C62"/>
    <w:rsid w:val="3BE16CCB"/>
    <w:rsid w:val="3C9E30AB"/>
    <w:rsid w:val="3CD4410D"/>
    <w:rsid w:val="3D0C6BB9"/>
    <w:rsid w:val="3D332795"/>
    <w:rsid w:val="3D456615"/>
    <w:rsid w:val="3D794247"/>
    <w:rsid w:val="3DA43295"/>
    <w:rsid w:val="3E3D2DA2"/>
    <w:rsid w:val="3E494CAD"/>
    <w:rsid w:val="3E5A1BA6"/>
    <w:rsid w:val="3ED96F6F"/>
    <w:rsid w:val="3F1735F3"/>
    <w:rsid w:val="3FBB48C6"/>
    <w:rsid w:val="40506A6D"/>
    <w:rsid w:val="40CA1FEE"/>
    <w:rsid w:val="410C7808"/>
    <w:rsid w:val="412A1D04"/>
    <w:rsid w:val="41390524"/>
    <w:rsid w:val="41D028AB"/>
    <w:rsid w:val="41D46F4C"/>
    <w:rsid w:val="420F409B"/>
    <w:rsid w:val="422C6F6D"/>
    <w:rsid w:val="42701998"/>
    <w:rsid w:val="42CF2B62"/>
    <w:rsid w:val="430D368B"/>
    <w:rsid w:val="434846C3"/>
    <w:rsid w:val="43DC569E"/>
    <w:rsid w:val="44E81AD2"/>
    <w:rsid w:val="455A3F34"/>
    <w:rsid w:val="45723C79"/>
    <w:rsid w:val="45D35543"/>
    <w:rsid w:val="45E020FB"/>
    <w:rsid w:val="461D1E37"/>
    <w:rsid w:val="469F0A9E"/>
    <w:rsid w:val="46F1509D"/>
    <w:rsid w:val="473D1DB7"/>
    <w:rsid w:val="474C7FA6"/>
    <w:rsid w:val="47A04ACD"/>
    <w:rsid w:val="47A5258E"/>
    <w:rsid w:val="47B655B2"/>
    <w:rsid w:val="47D429C9"/>
    <w:rsid w:val="47F4316C"/>
    <w:rsid w:val="47FD1CA9"/>
    <w:rsid w:val="48A57EC2"/>
    <w:rsid w:val="48EC3D42"/>
    <w:rsid w:val="495F4514"/>
    <w:rsid w:val="49A10689"/>
    <w:rsid w:val="49B02FC2"/>
    <w:rsid w:val="49B67B88"/>
    <w:rsid w:val="4A5F5A11"/>
    <w:rsid w:val="4ABC3301"/>
    <w:rsid w:val="4AE47571"/>
    <w:rsid w:val="4B010016"/>
    <w:rsid w:val="4B0344D7"/>
    <w:rsid w:val="4B9225EF"/>
    <w:rsid w:val="4C583BC9"/>
    <w:rsid w:val="4D342260"/>
    <w:rsid w:val="4D3D691B"/>
    <w:rsid w:val="4D73619F"/>
    <w:rsid w:val="4D814A59"/>
    <w:rsid w:val="4DDE1EAC"/>
    <w:rsid w:val="4DFE1F2D"/>
    <w:rsid w:val="4E4D2FFF"/>
    <w:rsid w:val="4F68711A"/>
    <w:rsid w:val="4FA62E9D"/>
    <w:rsid w:val="506D39BB"/>
    <w:rsid w:val="507E6391"/>
    <w:rsid w:val="50847BD3"/>
    <w:rsid w:val="509A7775"/>
    <w:rsid w:val="50A33062"/>
    <w:rsid w:val="50AD699C"/>
    <w:rsid w:val="50D17AA6"/>
    <w:rsid w:val="50FC089B"/>
    <w:rsid w:val="517448D5"/>
    <w:rsid w:val="51962A9D"/>
    <w:rsid w:val="51DF4444"/>
    <w:rsid w:val="51F6353C"/>
    <w:rsid w:val="522703AF"/>
    <w:rsid w:val="5268268C"/>
    <w:rsid w:val="53096A57"/>
    <w:rsid w:val="53605111"/>
    <w:rsid w:val="53CB21B1"/>
    <w:rsid w:val="5472334E"/>
    <w:rsid w:val="550815AF"/>
    <w:rsid w:val="55A95A08"/>
    <w:rsid w:val="55BA31FE"/>
    <w:rsid w:val="55E8317F"/>
    <w:rsid w:val="55EC3543"/>
    <w:rsid w:val="56021134"/>
    <w:rsid w:val="5664316A"/>
    <w:rsid w:val="56E65BB4"/>
    <w:rsid w:val="56FC7F74"/>
    <w:rsid w:val="570010E5"/>
    <w:rsid w:val="57EB618B"/>
    <w:rsid w:val="58727DC0"/>
    <w:rsid w:val="58F76517"/>
    <w:rsid w:val="59A24F8C"/>
    <w:rsid w:val="5A0233C6"/>
    <w:rsid w:val="5A956D79"/>
    <w:rsid w:val="5ABA77FD"/>
    <w:rsid w:val="5AD52888"/>
    <w:rsid w:val="5AFA22EF"/>
    <w:rsid w:val="5B8D4F11"/>
    <w:rsid w:val="5BAD5810"/>
    <w:rsid w:val="5BED3C02"/>
    <w:rsid w:val="5D124EDC"/>
    <w:rsid w:val="5D8A32F2"/>
    <w:rsid w:val="5D9119F0"/>
    <w:rsid w:val="5D9C143B"/>
    <w:rsid w:val="5DF838CD"/>
    <w:rsid w:val="5ECB022A"/>
    <w:rsid w:val="5EF261D7"/>
    <w:rsid w:val="5EF62DCD"/>
    <w:rsid w:val="5F30008D"/>
    <w:rsid w:val="5FBF146B"/>
    <w:rsid w:val="613C540F"/>
    <w:rsid w:val="61F51F86"/>
    <w:rsid w:val="62306F99"/>
    <w:rsid w:val="62E008BD"/>
    <w:rsid w:val="63A25373"/>
    <w:rsid w:val="64055F8C"/>
    <w:rsid w:val="646D58E0"/>
    <w:rsid w:val="64D01DBB"/>
    <w:rsid w:val="64D15E6F"/>
    <w:rsid w:val="64E6295F"/>
    <w:rsid w:val="66157FDD"/>
    <w:rsid w:val="66562603"/>
    <w:rsid w:val="667657BC"/>
    <w:rsid w:val="670855E5"/>
    <w:rsid w:val="673F55E2"/>
    <w:rsid w:val="677156E7"/>
    <w:rsid w:val="68A97A41"/>
    <w:rsid w:val="68DB3389"/>
    <w:rsid w:val="693B29F9"/>
    <w:rsid w:val="694D4F50"/>
    <w:rsid w:val="695D4175"/>
    <w:rsid w:val="696F3372"/>
    <w:rsid w:val="6993435F"/>
    <w:rsid w:val="699345C0"/>
    <w:rsid w:val="69B01F8E"/>
    <w:rsid w:val="69CE1B88"/>
    <w:rsid w:val="69F36843"/>
    <w:rsid w:val="6A042842"/>
    <w:rsid w:val="6A3824EC"/>
    <w:rsid w:val="6A895B7D"/>
    <w:rsid w:val="6A8C56F6"/>
    <w:rsid w:val="6B8B6C4A"/>
    <w:rsid w:val="6B8F73FB"/>
    <w:rsid w:val="6BA37E39"/>
    <w:rsid w:val="6EB1286D"/>
    <w:rsid w:val="6EBA7973"/>
    <w:rsid w:val="6FCD1928"/>
    <w:rsid w:val="6FE949B4"/>
    <w:rsid w:val="701A52E2"/>
    <w:rsid w:val="704900E6"/>
    <w:rsid w:val="71810C1C"/>
    <w:rsid w:val="71DE3A18"/>
    <w:rsid w:val="722D66AE"/>
    <w:rsid w:val="723F6B0D"/>
    <w:rsid w:val="72480C77"/>
    <w:rsid w:val="73927111"/>
    <w:rsid w:val="73970283"/>
    <w:rsid w:val="739F538A"/>
    <w:rsid w:val="73DF0907"/>
    <w:rsid w:val="74564BF7"/>
    <w:rsid w:val="75430C38"/>
    <w:rsid w:val="75A67BFC"/>
    <w:rsid w:val="75CD53FF"/>
    <w:rsid w:val="75E33C54"/>
    <w:rsid w:val="763E310C"/>
    <w:rsid w:val="76DC4753"/>
    <w:rsid w:val="76F105F2"/>
    <w:rsid w:val="77701517"/>
    <w:rsid w:val="777E7F8D"/>
    <w:rsid w:val="77961E75"/>
    <w:rsid w:val="77F4529E"/>
    <w:rsid w:val="78C47320"/>
    <w:rsid w:val="794B3FEA"/>
    <w:rsid w:val="797863A1"/>
    <w:rsid w:val="7A4E3666"/>
    <w:rsid w:val="7A770E0E"/>
    <w:rsid w:val="7B203A85"/>
    <w:rsid w:val="7C06244A"/>
    <w:rsid w:val="7C504C5E"/>
    <w:rsid w:val="7C53287A"/>
    <w:rsid w:val="7C8B0BA1"/>
    <w:rsid w:val="7DB55ED6"/>
    <w:rsid w:val="7DC97BD3"/>
    <w:rsid w:val="7E12157A"/>
    <w:rsid w:val="7E501061"/>
    <w:rsid w:val="7E5E656D"/>
    <w:rsid w:val="7E795C8F"/>
    <w:rsid w:val="7ED57018"/>
    <w:rsid w:val="7F003179"/>
    <w:rsid w:val="7FCA19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02" w:firstLineChars="200"/>
      <w:jc w:val="both"/>
    </w:pPr>
    <w:rPr>
      <w:rFonts w:ascii="Times New Roman" w:hAnsi="Times New Roman" w:eastAsia="宋体" w:cstheme="minorBidi"/>
      <w:kern w:val="2"/>
      <w:sz w:val="24"/>
      <w:szCs w:val="24"/>
      <w:lang w:val="en-US" w:eastAsia="zh-CN" w:bidi="ar-SA"/>
    </w:rPr>
  </w:style>
  <w:style w:type="paragraph" w:styleId="2">
    <w:name w:val="heading 1"/>
    <w:basedOn w:val="1"/>
    <w:next w:val="1"/>
    <w:link w:val="37"/>
    <w:qFormat/>
    <w:uiPriority w:val="0"/>
    <w:pPr>
      <w:keepNext/>
      <w:keepLines/>
      <w:numPr>
        <w:ilvl w:val="0"/>
        <w:numId w:val="1"/>
      </w:numPr>
      <w:spacing w:line="240" w:lineRule="auto"/>
      <w:ind w:firstLine="0" w:firstLineChars="0"/>
      <w:jc w:val="center"/>
      <w:outlineLvl w:val="0"/>
    </w:pPr>
    <w:rPr>
      <w:b/>
      <w:kern w:val="44"/>
      <w:sz w:val="30"/>
    </w:rPr>
  </w:style>
  <w:style w:type="paragraph" w:styleId="3">
    <w:name w:val="heading 2"/>
    <w:basedOn w:val="1"/>
    <w:next w:val="1"/>
    <w:unhideWhenUsed/>
    <w:qFormat/>
    <w:uiPriority w:val="0"/>
    <w:pPr>
      <w:keepNext/>
      <w:keepLines/>
      <w:numPr>
        <w:ilvl w:val="0"/>
        <w:numId w:val="2"/>
      </w:numPr>
      <w:spacing w:beforeLines="50" w:afterLines="50" w:line="240" w:lineRule="auto"/>
      <w:outlineLvl w:val="1"/>
    </w:pPr>
    <w:rPr>
      <w:rFonts w:ascii="Arial" w:hAnsi="Arial"/>
      <w:b/>
    </w:rPr>
  </w:style>
  <w:style w:type="paragraph" w:styleId="4">
    <w:name w:val="heading 3"/>
    <w:basedOn w:val="1"/>
    <w:next w:val="1"/>
    <w:unhideWhenUsed/>
    <w:qFormat/>
    <w:uiPriority w:val="0"/>
    <w:pPr>
      <w:keepNext/>
      <w:keepLines/>
      <w:numPr>
        <w:ilvl w:val="1"/>
        <w:numId w:val="2"/>
      </w:numPr>
      <w:spacing w:line="240" w:lineRule="auto"/>
      <w:outlineLvl w:val="2"/>
    </w:pPr>
    <w:rPr>
      <w:b/>
    </w:rPr>
  </w:style>
  <w:style w:type="paragraph" w:styleId="5">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5"/>
    <w:qFormat/>
    <w:uiPriority w:val="0"/>
    <w:rPr>
      <w:rFonts w:ascii="宋体"/>
      <w:sz w:val="18"/>
      <w:szCs w:val="18"/>
    </w:rPr>
  </w:style>
  <w:style w:type="paragraph" w:styleId="7">
    <w:name w:val="toa heading"/>
    <w:basedOn w:val="1"/>
    <w:next w:val="1"/>
    <w:qFormat/>
    <w:uiPriority w:val="0"/>
    <w:pPr>
      <w:spacing w:before="120"/>
    </w:pPr>
    <w:rPr>
      <w:rFonts w:ascii="Arial" w:hAnsi="Arial" w:cs="Arial"/>
    </w:rPr>
  </w:style>
  <w:style w:type="paragraph" w:styleId="8">
    <w:name w:val="annotation text"/>
    <w:basedOn w:val="1"/>
    <w:qFormat/>
    <w:uiPriority w:val="0"/>
    <w:pPr>
      <w:jc w:val="left"/>
    </w:pPr>
  </w:style>
  <w:style w:type="paragraph" w:styleId="9">
    <w:name w:val="Body Text"/>
    <w:basedOn w:val="1"/>
    <w:next w:val="10"/>
    <w:link w:val="32"/>
    <w:qFormat/>
    <w:uiPriority w:val="0"/>
    <w:pPr>
      <w:widowControl/>
      <w:snapToGrid w:val="0"/>
      <w:spacing w:before="60" w:after="160" w:line="259" w:lineRule="auto"/>
      <w:ind w:right="113"/>
    </w:pPr>
    <w:rPr>
      <w:kern w:val="0"/>
      <w:sz w:val="18"/>
      <w:szCs w:val="20"/>
    </w:rPr>
  </w:style>
  <w:style w:type="paragraph" w:customStyle="1" w:styleId="10">
    <w:name w:val="Body Text 21"/>
    <w:basedOn w:val="1"/>
    <w:qFormat/>
    <w:uiPriority w:val="0"/>
    <w:pPr>
      <w:spacing w:after="120" w:line="480" w:lineRule="auto"/>
    </w:pPr>
  </w:style>
  <w:style w:type="paragraph" w:styleId="11">
    <w:name w:val="Body Text Indent"/>
    <w:basedOn w:val="1"/>
    <w:qFormat/>
    <w:uiPriority w:val="0"/>
    <w:pPr>
      <w:spacing w:after="100"/>
      <w:ind w:firstLine="720"/>
    </w:pPr>
    <w:rPr>
      <w:kern w:val="0"/>
      <w:szCs w:val="20"/>
    </w:rPr>
  </w:style>
  <w:style w:type="paragraph" w:styleId="12">
    <w:name w:val="Plain Text"/>
    <w:basedOn w:val="1"/>
    <w:next w:val="1"/>
    <w:qFormat/>
    <w:uiPriority w:val="0"/>
    <w:rPr>
      <w:rFonts w:ascii="宋体" w:hAnsi="Courier New" w:cs="Courier New"/>
      <w:sz w:val="21"/>
      <w:szCs w:val="21"/>
    </w:rPr>
  </w:style>
  <w:style w:type="paragraph" w:styleId="13">
    <w:name w:val="List Bullet 5"/>
    <w:basedOn w:val="1"/>
    <w:qFormat/>
    <w:uiPriority w:val="0"/>
    <w:pPr>
      <w:numPr>
        <w:ilvl w:val="0"/>
        <w:numId w:val="3"/>
      </w:numPr>
    </w:pPr>
  </w:style>
  <w:style w:type="paragraph" w:styleId="14">
    <w:name w:val="Body Text Indent 2"/>
    <w:basedOn w:val="1"/>
    <w:qFormat/>
    <w:uiPriority w:val="0"/>
    <w:pPr>
      <w:spacing w:line="480" w:lineRule="auto"/>
      <w:ind w:left="420" w:leftChars="200"/>
    </w:pPr>
  </w:style>
  <w:style w:type="paragraph" w:styleId="15">
    <w:name w:val="Balloon Text"/>
    <w:basedOn w:val="1"/>
    <w:link w:val="36"/>
    <w:qFormat/>
    <w:uiPriority w:val="0"/>
    <w:pPr>
      <w:spacing w:line="240" w:lineRule="auto"/>
    </w:pPr>
    <w:rPr>
      <w:sz w:val="18"/>
      <w:szCs w:val="18"/>
    </w:rPr>
  </w:style>
  <w:style w:type="paragraph" w:styleId="16">
    <w:name w:val="footer"/>
    <w:basedOn w:val="1"/>
    <w:unhideWhenUsed/>
    <w:qFormat/>
    <w:uiPriority w:val="99"/>
    <w:pPr>
      <w:tabs>
        <w:tab w:val="center" w:pos="4153"/>
        <w:tab w:val="right" w:pos="8306"/>
      </w:tabs>
    </w:pPr>
    <w:rPr>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8">
    <w:name w:val="List"/>
    <w:basedOn w:val="1"/>
    <w:qFormat/>
    <w:uiPriority w:val="0"/>
    <w:pPr>
      <w:ind w:left="200" w:hanging="200" w:hangingChars="200"/>
    </w:pPr>
  </w:style>
  <w:style w:type="paragraph" w:styleId="19">
    <w:name w:val="Body Text 2"/>
    <w:basedOn w:val="1"/>
    <w:unhideWhenUsed/>
    <w:qFormat/>
    <w:uiPriority w:val="99"/>
    <w:pPr>
      <w:spacing w:after="120" w:line="480" w:lineRule="auto"/>
    </w:pPr>
  </w:style>
  <w:style w:type="paragraph" w:styleId="20">
    <w:name w:val="Normal (Web)"/>
    <w:basedOn w:val="1"/>
    <w:qFormat/>
    <w:uiPriority w:val="0"/>
    <w:pPr>
      <w:spacing w:beforeAutospacing="1" w:afterAutospacing="1"/>
      <w:jc w:val="left"/>
    </w:pPr>
    <w:rPr>
      <w:rFonts w:cs="Times New Roman"/>
      <w:kern w:val="0"/>
    </w:rPr>
  </w:style>
  <w:style w:type="paragraph" w:styleId="21">
    <w:name w:val="Body Text First Indent"/>
    <w:basedOn w:val="9"/>
    <w:next w:val="1"/>
    <w:qFormat/>
    <w:uiPriority w:val="99"/>
    <w:pPr>
      <w:spacing w:line="360" w:lineRule="auto"/>
      <w:ind w:firstLine="643"/>
      <w:jc w:val="left"/>
    </w:pPr>
    <w:rPr>
      <w:sz w:val="28"/>
    </w:rPr>
  </w:style>
  <w:style w:type="paragraph" w:styleId="22">
    <w:name w:val="Body Text First Indent 2"/>
    <w:basedOn w:val="11"/>
    <w:next w:val="1"/>
    <w:qFormat/>
    <w:uiPriority w:val="0"/>
    <w:pPr>
      <w:spacing w:after="120" w:line="240" w:lineRule="auto"/>
      <w:ind w:left="420" w:leftChars="200" w:firstLine="420"/>
    </w:pPr>
    <w:rPr>
      <w:rFonts w:eastAsia="宋体"/>
      <w:kern w:val="2"/>
      <w:sz w:val="21"/>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6">
    <w:name w:val="Strong"/>
    <w:basedOn w:val="25"/>
    <w:qFormat/>
    <w:uiPriority w:val="0"/>
    <w:rPr>
      <w:b/>
    </w:rPr>
  </w:style>
  <w:style w:type="paragraph" w:customStyle="1" w:styleId="27">
    <w:name w:val="表内字体"/>
    <w:basedOn w:val="1"/>
    <w:next w:val="1"/>
    <w:qFormat/>
    <w:uiPriority w:val="0"/>
    <w:pPr>
      <w:keepNext/>
      <w:keepLines/>
      <w:spacing w:line="240" w:lineRule="auto"/>
      <w:ind w:firstLine="0" w:firstLineChars="0"/>
      <w:jc w:val="center"/>
      <w:outlineLvl w:val="0"/>
    </w:pPr>
    <w:rPr>
      <w:b/>
      <w:kern w:val="44"/>
      <w:sz w:val="21"/>
    </w:rPr>
  </w:style>
  <w:style w:type="paragraph" w:customStyle="1" w:styleId="28">
    <w:name w:val="表头"/>
    <w:basedOn w:val="29"/>
    <w:next w:val="30"/>
    <w:qFormat/>
    <w:uiPriority w:val="0"/>
    <w:pPr>
      <w:keepNext/>
      <w:keepLines/>
      <w:spacing w:beforeLines="50"/>
      <w:outlineLvl w:val="0"/>
    </w:pPr>
    <w:rPr>
      <w:kern w:val="44"/>
    </w:rPr>
  </w:style>
  <w:style w:type="paragraph" w:customStyle="1" w:styleId="29">
    <w:name w:val="表格"/>
    <w:basedOn w:val="18"/>
    <w:next w:val="1"/>
    <w:qFormat/>
    <w:uiPriority w:val="0"/>
    <w:pPr>
      <w:adjustRightInd w:val="0"/>
      <w:snapToGrid w:val="0"/>
      <w:spacing w:line="240" w:lineRule="auto"/>
      <w:ind w:left="0" w:firstLine="0" w:firstLineChars="0"/>
      <w:jc w:val="center"/>
    </w:pPr>
    <w:rPr>
      <w:kern w:val="0"/>
      <w:sz w:val="21"/>
      <w:szCs w:val="21"/>
    </w:rPr>
  </w:style>
  <w:style w:type="paragraph" w:customStyle="1" w:styleId="30">
    <w:name w:val="别动"/>
    <w:basedOn w:val="28"/>
    <w:qFormat/>
    <w:uiPriority w:val="0"/>
    <w:pPr>
      <w:spacing w:line="340" w:lineRule="exact"/>
    </w:pPr>
    <w:rPr>
      <w:rFonts w:ascii="Times New Roman" w:hAnsi="Times New Roman" w:eastAsia="宋体"/>
      <w:sz w:val="21"/>
    </w:rPr>
  </w:style>
  <w:style w:type="paragraph" w:customStyle="1" w:styleId="31">
    <w:name w:val="样式1"/>
    <w:basedOn w:val="1"/>
    <w:qFormat/>
    <w:uiPriority w:val="0"/>
    <w:pPr>
      <w:keepNext/>
      <w:keepLines/>
      <w:spacing w:line="240" w:lineRule="auto"/>
      <w:ind w:firstLine="0" w:firstLineChars="0"/>
      <w:jc w:val="center"/>
      <w:outlineLvl w:val="0"/>
    </w:pPr>
    <w:rPr>
      <w:rFonts w:hint="eastAsia"/>
      <w:kern w:val="44"/>
    </w:rPr>
  </w:style>
  <w:style w:type="character" w:customStyle="1" w:styleId="32">
    <w:name w:val="正文文本 Char"/>
    <w:link w:val="9"/>
    <w:qFormat/>
    <w:uiPriority w:val="0"/>
    <w:rPr>
      <w:kern w:val="0"/>
      <w:sz w:val="18"/>
      <w:szCs w:val="20"/>
    </w:rPr>
  </w:style>
  <w:style w:type="character" w:customStyle="1" w:styleId="33">
    <w:name w:val="font21"/>
    <w:basedOn w:val="25"/>
    <w:qFormat/>
    <w:uiPriority w:val="0"/>
    <w:rPr>
      <w:rFonts w:ascii="宋体" w:hAnsi="宋体" w:eastAsia="宋体" w:cs="宋体"/>
      <w:b/>
      <w:bCs/>
      <w:color w:val="000000"/>
      <w:sz w:val="40"/>
      <w:szCs w:val="40"/>
      <w:u w:val="none"/>
    </w:rPr>
  </w:style>
  <w:style w:type="character" w:customStyle="1" w:styleId="34">
    <w:name w:val="font31"/>
    <w:basedOn w:val="25"/>
    <w:qFormat/>
    <w:uiPriority w:val="0"/>
    <w:rPr>
      <w:rFonts w:ascii="宋体" w:hAnsi="宋体" w:eastAsia="宋体" w:cs="宋体"/>
      <w:color w:val="000000"/>
      <w:sz w:val="40"/>
      <w:szCs w:val="40"/>
      <w:u w:val="none"/>
    </w:rPr>
  </w:style>
  <w:style w:type="character" w:customStyle="1" w:styleId="35">
    <w:name w:val="文档结构图 Char"/>
    <w:basedOn w:val="25"/>
    <w:link w:val="6"/>
    <w:qFormat/>
    <w:uiPriority w:val="0"/>
    <w:rPr>
      <w:rFonts w:ascii="宋体" w:cstheme="minorBidi"/>
      <w:kern w:val="2"/>
      <w:sz w:val="18"/>
      <w:szCs w:val="18"/>
    </w:rPr>
  </w:style>
  <w:style w:type="character" w:customStyle="1" w:styleId="36">
    <w:name w:val="批注框文本 Char"/>
    <w:basedOn w:val="25"/>
    <w:link w:val="15"/>
    <w:qFormat/>
    <w:uiPriority w:val="0"/>
    <w:rPr>
      <w:rFonts w:cstheme="minorBidi"/>
      <w:kern w:val="2"/>
      <w:sz w:val="18"/>
      <w:szCs w:val="18"/>
    </w:rPr>
  </w:style>
  <w:style w:type="character" w:customStyle="1" w:styleId="37">
    <w:name w:val="标题 1 Char"/>
    <w:link w:val="2"/>
    <w:qFormat/>
    <w:uiPriority w:val="0"/>
    <w:rPr>
      <w:b/>
      <w:kern w:val="44"/>
      <w:sz w:val="30"/>
    </w:rPr>
  </w:style>
  <w:style w:type="paragraph" w:customStyle="1" w:styleId="38">
    <w:name w:val="【标题3】"/>
    <w:basedOn w:val="4"/>
    <w:qFormat/>
    <w:uiPriority w:val="0"/>
    <w:pPr>
      <w:keepNext w:val="0"/>
      <w:numPr>
        <w:ilvl w:val="0"/>
        <w:numId w:val="0"/>
      </w:numPr>
      <w:tabs>
        <w:tab w:val="clear" w:pos="0"/>
      </w:tabs>
      <w:spacing w:line="500" w:lineRule="exact"/>
    </w:pPr>
    <w:rPr>
      <w:rFonts w:eastAsia="黑体" w:cs="Times New Roman"/>
      <w:b w:val="0"/>
      <w:bCs/>
      <w:szCs w:val="20"/>
    </w:rPr>
  </w:style>
  <w:style w:type="paragraph" w:customStyle="1" w:styleId="39">
    <w:name w:val="表格标题"/>
    <w:basedOn w:val="1"/>
    <w:next w:val="1"/>
    <w:qFormat/>
    <w:uiPriority w:val="0"/>
    <w:pPr>
      <w:spacing w:line="240" w:lineRule="auto"/>
      <w:ind w:firstLine="0" w:firstLineChars="0"/>
      <w:jc w:val="left"/>
    </w:pPr>
    <w:rPr>
      <w:rFonts w:hint="eastAsia" w:ascii="Times New Roman" w:hAnsi="Times New Roman" w:eastAsia="宋体"/>
      <w:b/>
      <w:sz w:val="21"/>
    </w:rPr>
  </w:style>
  <w:style w:type="paragraph" w:customStyle="1" w:styleId="40">
    <w:name w:val="表格文字"/>
    <w:basedOn w:val="1"/>
    <w:next w:val="1"/>
    <w:qFormat/>
    <w:uiPriority w:val="0"/>
    <w:pPr>
      <w:spacing w:line="240" w:lineRule="auto"/>
      <w:ind w:firstLine="0" w:firstLineChars="0"/>
      <w:jc w:val="center"/>
    </w:pPr>
    <w:rPr>
      <w:rFonts w:hint="eastAsia" w:ascii="Times New Roman" w:hAnsi="Times New Roman" w:eastAsia="宋体" w:cs="Times New Roman"/>
      <w:sz w:val="21"/>
      <w:szCs w:val="22"/>
    </w:rPr>
  </w:style>
  <w:style w:type="paragraph" w:customStyle="1" w:styleId="41">
    <w:name w:val="正文-欣欣"/>
    <w:basedOn w:val="1"/>
    <w:qFormat/>
    <w:uiPriority w:val="0"/>
    <w:pPr>
      <w:adjustRightInd w:val="0"/>
      <w:spacing w:line="360" w:lineRule="auto"/>
      <w:ind w:firstLine="200" w:firstLineChars="200"/>
      <w:jc w:val="both"/>
    </w:pPr>
    <w:rPr>
      <w:rFonts w:cs="Courier New"/>
      <w:szCs w:val="21"/>
    </w:rPr>
  </w:style>
  <w:style w:type="paragraph" w:customStyle="1" w:styleId="42">
    <w:name w:val="正文样式1"/>
    <w:qFormat/>
    <w:uiPriority w:val="0"/>
    <w:pPr>
      <w:widowControl w:val="0"/>
      <w:spacing w:line="500" w:lineRule="exact"/>
      <w:ind w:firstLine="200" w:firstLineChars="200"/>
      <w:jc w:val="both"/>
    </w:pPr>
    <w:rPr>
      <w:rFonts w:ascii="Times New Roman" w:hAnsi="Times New Roman" w:eastAsia="宋体" w:cs="Times New Roman"/>
      <w:color w:val="000000"/>
      <w:sz w:val="24"/>
      <w:lang w:val="en-US" w:eastAsia="zh-CN" w:bidi="ar-SA"/>
    </w:rPr>
  </w:style>
  <w:style w:type="paragraph" w:customStyle="1" w:styleId="43">
    <w:name w:val="样式 纯文本 + Times New Roman 四号 左 行距: 1.5 倍行距"/>
    <w:basedOn w:val="12"/>
    <w:qFormat/>
    <w:uiPriority w:val="0"/>
    <w:pPr>
      <w:spacing w:line="360" w:lineRule="auto"/>
      <w:ind w:firstLine="560" w:firstLineChars="200"/>
    </w:pPr>
    <w:rPr>
      <w:rFonts w:ascii="Times New Roman" w:hAnsi="宋体" w:cs="Times New Roman"/>
      <w:sz w:val="28"/>
      <w:lang w:val="zh-CN"/>
    </w:rPr>
  </w:style>
  <w:style w:type="paragraph" w:customStyle="1" w:styleId="44">
    <w:name w:val="表内111"/>
    <w:qFormat/>
    <w:uiPriority w:val="0"/>
    <w:pPr>
      <w:widowControl w:val="0"/>
      <w:pBdr>
        <w:top w:val="none" w:color="auto" w:sz="0" w:space="1"/>
        <w:left w:val="none" w:color="auto" w:sz="0" w:space="4"/>
        <w:bottom w:val="none" w:color="auto" w:sz="0" w:space="1"/>
        <w:right w:val="none" w:color="auto" w:sz="0" w:space="4"/>
      </w:pBdr>
      <w:adjustRightInd w:val="0"/>
      <w:snapToGrid w:val="0"/>
      <w:spacing w:line="360" w:lineRule="auto"/>
      <w:jc w:val="center"/>
    </w:pPr>
    <w:rPr>
      <w:rFonts w:ascii="Times New Roman" w:hAnsi="Times New Roman" w:eastAsia="宋体" w:cs="Times New Roman"/>
      <w:snapToGrid w:val="0"/>
      <w:sz w:val="21"/>
      <w:szCs w:val="21"/>
      <w:lang w:val="en-US" w:eastAsia="zh-CN" w:bidi="ar-SA"/>
    </w:rPr>
  </w:style>
  <w:style w:type="paragraph" w:customStyle="1" w:styleId="45">
    <w:name w:val="表样式1"/>
    <w:qFormat/>
    <w:uiPriority w:val="0"/>
    <w:pPr>
      <w:widowControl w:val="0"/>
      <w:spacing w:line="500" w:lineRule="exact"/>
      <w:jc w:val="center"/>
    </w:pPr>
    <w:rPr>
      <w:rFonts w:ascii="Times New Roman" w:hAnsi="Times New Roman" w:eastAsia="宋体" w:cs="Times New Roman"/>
      <w:b/>
      <w:color w:val="000000"/>
      <w:sz w:val="24"/>
      <w:lang w:val="en-US" w:eastAsia="zh-CN" w:bidi="ar-SA"/>
    </w:rPr>
  </w:style>
  <w:style w:type="paragraph" w:customStyle="1" w:styleId="46">
    <w:name w:val="Table Text"/>
    <w:basedOn w:val="1"/>
    <w:semiHidden/>
    <w:qFormat/>
    <w:uiPriority w:val="0"/>
    <w:rPr>
      <w:rFonts w:ascii="宋体" w:hAnsi="宋体" w:eastAsia="宋体" w:cs="宋体"/>
      <w:sz w:val="19"/>
      <w:szCs w:val="19"/>
      <w:lang w:val="en-US" w:eastAsia="en-US" w:bidi="ar-SA"/>
    </w:rPr>
  </w:style>
  <w:style w:type="table" w:customStyle="1" w:styleId="47">
    <w:name w:val="Table Normal"/>
    <w:semiHidden/>
    <w:unhideWhenUsed/>
    <w:qFormat/>
    <w:uiPriority w:val="0"/>
    <w:tblPr>
      <w:tblCellMar>
        <w:top w:w="0" w:type="dxa"/>
        <w:left w:w="0" w:type="dxa"/>
        <w:bottom w:w="0" w:type="dxa"/>
        <w:right w:w="0" w:type="dxa"/>
      </w:tblCellMar>
    </w:tblPr>
  </w:style>
  <w:style w:type="paragraph" w:customStyle="1" w:styleId="48">
    <w:name w:val="Table Paragraph"/>
    <w:basedOn w:val="1"/>
    <w:qFormat/>
    <w:uiPriority w:val="1"/>
    <w:pPr>
      <w:jc w:val="center"/>
    </w:pPr>
    <w:rPr>
      <w:rFonts w:ascii="宋体" w:hAnsi="宋体" w:cs="宋体"/>
      <w:lang w:val="zh-CN" w:bidi="zh-CN"/>
    </w:rPr>
  </w:style>
  <w:style w:type="paragraph" w:customStyle="1" w:styleId="49">
    <w:name w:val="表格1"/>
    <w:basedOn w:val="1"/>
    <w:qFormat/>
    <w:uiPriority w:val="0"/>
    <w:pPr>
      <w:adjustRightInd w:val="0"/>
      <w:snapToGrid w:val="0"/>
      <w:jc w:val="center"/>
    </w:pPr>
    <w:rPr>
      <w:rFonts w:ascii="Times New Roman" w:hAnsi="Times New Roman" w:eastAsia="方正仿宋_GBK"/>
      <w:color w:val="000000"/>
      <w:kern w:val="0"/>
      <w:szCs w:val="24"/>
    </w:rPr>
  </w:style>
  <w:style w:type="paragraph" w:styleId="50">
    <w:name w:val="List Paragraph"/>
    <w:basedOn w:val="1"/>
    <w:qFormat/>
    <w:uiPriority w:val="99"/>
    <w:pPr>
      <w:ind w:firstLine="420" w:firstLineChars="200"/>
    </w:pPr>
  </w:style>
  <w:style w:type="paragraph" w:customStyle="1" w:styleId="51">
    <w:name w:val="正文文本2"/>
    <w:basedOn w:val="9"/>
    <w:qFormat/>
    <w:uiPriority w:val="0"/>
    <w:pPr>
      <w:spacing w:after="0" w:line="360" w:lineRule="auto"/>
      <w:ind w:firstLine="480" w:firstLineChars="200"/>
    </w:pPr>
    <w:rPr>
      <w:rFonts w:ascii="宋体" w:hAnsi="Calibri" w:cs="宋体"/>
    </w:rPr>
  </w:style>
  <w:style w:type="paragraph" w:customStyle="1" w:styleId="52">
    <w:name w:val=" Char"/>
    <w:basedOn w:val="1"/>
    <w:qFormat/>
    <w:uiPriority w:val="0"/>
    <w:pPr>
      <w:spacing w:line="240" w:lineRule="auto"/>
      <w:ind w:firstLine="0" w:firstLineChars="0"/>
      <w:jc w:val="both"/>
    </w:pPr>
    <w:rPr>
      <w:rFonts w:cs="Times New Roman"/>
      <w:sz w:val="21"/>
    </w:rPr>
  </w:style>
  <w:style w:type="paragraph" w:customStyle="1" w:styleId="53">
    <w:name w:val="正文样式"/>
    <w:basedOn w:val="1"/>
    <w:qFormat/>
    <w:uiPriority w:val="0"/>
    <w:pPr>
      <w:adjustRightInd w:val="0"/>
      <w:snapToGrid w:val="0"/>
      <w:spacing w:line="360" w:lineRule="auto"/>
      <w:ind w:firstLine="542" w:firstLineChars="225"/>
      <w:jc w:val="center"/>
    </w:pPr>
    <w:rPr>
      <w:b/>
      <w:color w:val="FF0000"/>
    </w:rPr>
  </w:style>
  <w:style w:type="paragraph" w:customStyle="1" w:styleId="54">
    <w:name w:val="表头A"/>
    <w:basedOn w:val="28"/>
    <w:qFormat/>
    <w:uiPriority w:val="0"/>
    <w:pPr>
      <w:snapToGrid/>
      <w:spacing w:line="400" w:lineRule="exact"/>
      <w:ind w:firstLine="0" w:firstLineChars="0"/>
      <w:jc w:val="center"/>
    </w:pPr>
    <w:rPr>
      <w:sz w:val="24"/>
    </w:rPr>
  </w:style>
  <w:style w:type="paragraph" w:customStyle="1" w:styleId="55">
    <w:name w:val="表+五号"/>
    <w:basedOn w:val="1"/>
    <w:qFormat/>
    <w:uiPriority w:val="0"/>
    <w:rPr>
      <w:szCs w:val="28"/>
    </w:rPr>
  </w:style>
  <w:style w:type="character" w:customStyle="1" w:styleId="56">
    <w:name w:val="正文文本_"/>
    <w:link w:val="57"/>
    <w:qFormat/>
    <w:uiPriority w:val="0"/>
    <w:rPr>
      <w:rFonts w:hint="eastAsia" w:ascii="微软雅黑" w:hAnsi="微软雅黑" w:eastAsia="微软雅黑"/>
      <w:sz w:val="22"/>
    </w:rPr>
  </w:style>
  <w:style w:type="paragraph" w:customStyle="1" w:styleId="57">
    <w:name w:val="正文文本1"/>
    <w:basedOn w:val="1"/>
    <w:link w:val="56"/>
    <w:unhideWhenUsed/>
    <w:qFormat/>
    <w:uiPriority w:val="99"/>
    <w:pPr>
      <w:shd w:val="clear" w:color="auto" w:fill="FFFFFF"/>
      <w:spacing w:before="1320" w:beforeLines="0" w:afterLines="0" w:line="1001" w:lineRule="exact"/>
      <w:ind w:hanging="500"/>
      <w:jc w:val="distribute"/>
    </w:pPr>
    <w:rPr>
      <w:rFonts w:hint="eastAsia" w:ascii="微软雅黑" w:hAnsi="微软雅黑" w:eastAsia="微软雅黑"/>
      <w:sz w:val="22"/>
    </w:rPr>
  </w:style>
  <w:style w:type="paragraph" w:customStyle="1" w:styleId="58">
    <w:name w:val="样式 宋体 小四 首行缩进:  0.85 厘米 行距: 1.5 倍行距"/>
    <w:basedOn w:val="1"/>
    <w:qFormat/>
    <w:uiPriority w:val="0"/>
    <w:pPr>
      <w:spacing w:line="360" w:lineRule="auto"/>
      <w:ind w:firstLine="480" w:firstLineChars="200"/>
    </w:pPr>
    <w:rPr>
      <w:rFonts w:ascii="宋体" w:hAnsi="宋体" w:eastAsia="宋体" w:cs="宋体"/>
      <w:sz w:val="24"/>
    </w:rPr>
  </w:style>
  <w:style w:type="paragraph" w:customStyle="1" w:styleId="59">
    <w:name w:val="报告表正文"/>
    <w:basedOn w:val="60"/>
    <w:qFormat/>
    <w:uiPriority w:val="0"/>
    <w:pPr>
      <w:adjustRightInd w:val="0"/>
      <w:ind w:left="113" w:right="113" w:firstLine="482"/>
      <w:jc w:val="left"/>
      <w:textAlignment w:val="baseline"/>
    </w:pPr>
    <w:rPr>
      <w:kern w:val="0"/>
      <w:szCs w:val="21"/>
    </w:rPr>
  </w:style>
  <w:style w:type="paragraph" w:customStyle="1" w:styleId="60">
    <w:name w:val="报告正文"/>
    <w:basedOn w:val="61"/>
    <w:qFormat/>
    <w:uiPriority w:val="0"/>
    <w:pPr>
      <w:widowControl w:val="0"/>
      <w:snapToGrid w:val="0"/>
      <w:spacing w:line="360" w:lineRule="auto"/>
      <w:ind w:firstLine="200" w:firstLineChars="200"/>
    </w:pPr>
    <w:rPr>
      <w:rFonts w:ascii="Times New Roman" w:hAnsi="Times New Roman" w:cs="Times New Roman"/>
      <w:snapToGrid w:val="0"/>
      <w:sz w:val="24"/>
      <w:szCs w:val="28"/>
    </w:rPr>
  </w:style>
  <w:style w:type="paragraph" w:customStyle="1" w:styleId="61">
    <w:name w:val="p17"/>
    <w:basedOn w:val="1"/>
    <w:qFormat/>
    <w:uiPriority w:val="0"/>
    <w:pPr>
      <w:widowControl/>
    </w:pPr>
    <w:rPr>
      <w:rFonts w:ascii="宋体" w:hAnsi="宋体" w:cs="宋体"/>
      <w:kern w:val="0"/>
      <w:szCs w:val="21"/>
    </w:rPr>
  </w:style>
  <w:style w:type="paragraph" w:customStyle="1" w:styleId="62">
    <w:name w:val="txt"/>
    <w:basedOn w:val="63"/>
    <w:qFormat/>
    <w:uiPriority w:val="0"/>
    <w:rPr>
      <w:sz w:val="21"/>
      <w:szCs w:val="21"/>
    </w:rPr>
  </w:style>
  <w:style w:type="paragraph" w:customStyle="1" w:styleId="63">
    <w:name w:val="text"/>
    <w:basedOn w:val="1"/>
    <w:qFormat/>
    <w:uiPriority w:val="0"/>
    <w:pPr>
      <w:wordWrap w:val="0"/>
      <w:spacing w:line="360" w:lineRule="auto"/>
      <w:ind w:firstLine="200" w:firstLineChars="200"/>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7.jpe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wmf"/><Relationship Id="rId12" Type="http://schemas.openxmlformats.org/officeDocument/2006/relationships/oleObject" Target="embeddings/oleObject1.bin"/><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extobjs>
    <extobj name="ECB019B1-382A-4266-B25C-5B523AA43C14-1">
      <extobjdata type="ECB019B1-382A-4266-B25C-5B523AA43C14" data="ewoJIkZpbGVJZCIgOiAiMzE2MTAzNjg2Mzc0IiwKCSJHcm91cElkIiA6ICIxNDk2NDI4MTAiLAoJIkltYWdlIiA6ICJpVkJPUncwS0dnb0FBQUFOU1VoRVVnQUFCR3dBQUFOQUNBWUFBQUIrT2Z1ZkFBQUFBWE5TUjBJQXJzNGM2UUFBSUFCSlJFRlVlSnpzM1hsOFZOWDkvL0gzdVptWkxDUXhtckFZUUlLRW9pQ1FnTGlnVWdSS1c2VW9hbGtVVzBCQTNLMVlsVkpFeElKaTdBOWNRUlFWRnhSRlJSQXBhdEc2SUtJU1FhQW9TTmhCVXRaQWttRm16dThQeUh3SkNaQmxrcG1FMS9QeDRFSG1ubnZ2dklkSHVIZnU1NTU3amdR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12932</Words>
  <Characters>13990</Characters>
  <Lines>1</Lines>
  <Paragraphs>1</Paragraphs>
  <TotalTime>1</TotalTime>
  <ScaleCrop>false</ScaleCrop>
  <LinksUpToDate>false</LinksUpToDate>
  <CharactersWithSpaces>14139</CharactersWithSpaces>
  <Application>WPS Office_12.8.2.15286_F1E327BC-269C-435d-A152-05C5408002CA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2023-02-10T02:58:00Z</dcterms:created>
  <dc:creator>Administrator</dc:creator>
  <cp:lastModifiedBy>Administrator</cp:lastModifiedBy>
  <cp:lastPrinted>2023-09-14T02:10:00Z</cp:lastPrinted>
  <dcterms:modified xsi:type="dcterms:W3CDTF">2024-12-10T10:11:25Z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2052-12.8.2.15286</vt:lpwstr>
  </property>
  <property fmtid="{D5CDD505-2E9C-101B-9397-08002B2CF9AE}" pid="3" name="ICV">
    <vt:lpwstr>C8920C618C6D4ED88E6B05235BAF1FF3_13</vt:lpwstr>
  </property>
</Properties>
</file>